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D1FF1">
      <w:pPr>
        <w:pStyle w:val="8"/>
        <w:spacing w:before="77"/>
        <w:ind w:left="997" w:firstLine="866"/>
        <w:rPr>
          <w:rFonts w:hint="eastAsia" w:ascii="宋体" w:hAnsi="宋体" w:eastAsia="宋体" w:cs="宋体"/>
          <w:spacing w:val="-7"/>
          <w:lang w:val="en-US" w:eastAsia="zh-CN"/>
        </w:rPr>
      </w:pPr>
      <w:r>
        <w:rPr>
          <w:rFonts w:hint="eastAsia" w:ascii="宋体" w:hAnsi="宋体" w:eastAsia="宋体" w:cs="宋体"/>
          <w:spacing w:val="-7"/>
          <w:lang w:val="en-US" w:eastAsia="zh-CN"/>
        </w:rPr>
        <w:t>《海南消费领域区域公共品牌特色产品技术规范 糟粕醋》</w:t>
      </w:r>
    </w:p>
    <w:p w14:paraId="3F2DEC06">
      <w:pPr>
        <w:pStyle w:val="8"/>
        <w:spacing w:before="77"/>
        <w:ind w:left="997" w:firstLine="866"/>
        <w:rPr>
          <w:rFonts w:hint="eastAsia" w:ascii="宋体" w:hAnsi="宋体" w:eastAsia="宋体" w:cs="宋体"/>
          <w:spacing w:val="-7"/>
          <w:lang w:val="en-US" w:eastAsia="zh-CN"/>
        </w:rPr>
      </w:pPr>
      <w:r>
        <w:rPr>
          <w:rFonts w:hint="eastAsia" w:ascii="宋体" w:hAnsi="宋体" w:eastAsia="宋体" w:cs="宋体"/>
          <w:spacing w:val="-7"/>
          <w:lang w:val="en-US" w:eastAsia="zh-CN"/>
        </w:rPr>
        <w:t>团体标准编制说明</w:t>
      </w:r>
    </w:p>
    <w:p w14:paraId="5FC46C6F">
      <w:pPr>
        <w:pStyle w:val="5"/>
        <w:spacing w:before="12"/>
        <w:ind w:left="0" w:firstLine="1240"/>
        <w:rPr>
          <w:rFonts w:hint="eastAsia"/>
          <w:sz w:val="62"/>
        </w:rPr>
      </w:pPr>
    </w:p>
    <w:p w14:paraId="0D80B864">
      <w:pPr>
        <w:pStyle w:val="2"/>
        <w:rPr>
          <w:rFonts w:hint="eastAsia" w:ascii="Times New Roman" w:hAnsi="Times New Roman" w:eastAsia="仿宋"/>
          <w:sz w:val="30"/>
        </w:rPr>
      </w:pPr>
      <w:r>
        <w:rPr>
          <w:rFonts w:hint="eastAsia" w:ascii="Times New Roman" w:hAnsi="Times New Roman" w:eastAsia="仿宋"/>
          <w:sz w:val="30"/>
        </w:rPr>
        <w:t>一、项目简况</w:t>
      </w:r>
    </w:p>
    <w:p w14:paraId="1E2E948B">
      <w:pPr>
        <w:pStyle w:val="2"/>
        <w:rPr>
          <w:rFonts w:hint="eastAsia" w:ascii="Times New Roman" w:hAnsi="Times New Roman" w:eastAsia="仿宋"/>
          <w:sz w:val="30"/>
        </w:rPr>
      </w:pPr>
      <w:r>
        <w:rPr>
          <w:rFonts w:hint="eastAsia" w:ascii="Times New Roman" w:hAnsi="Times New Roman" w:eastAsia="仿宋"/>
          <w:sz w:val="30"/>
        </w:rPr>
        <w:t>（一）标准名称：《海南消费领域区域公共品牌特色产品技术规范 糟粕醋》。</w:t>
      </w:r>
    </w:p>
    <w:p w14:paraId="7C056585">
      <w:pPr>
        <w:pStyle w:val="2"/>
        <w:rPr>
          <w:rFonts w:hint="eastAsia" w:ascii="Times New Roman" w:hAnsi="Times New Roman" w:eastAsia="仿宋"/>
          <w:sz w:val="30"/>
        </w:rPr>
      </w:pPr>
      <w:r>
        <w:rPr>
          <w:rFonts w:hint="eastAsia" w:ascii="Times New Roman" w:hAnsi="Times New Roman" w:eastAsia="仿宋"/>
          <w:sz w:val="30"/>
        </w:rPr>
        <w:t>（二）任务来源（项目计划号）：HNQA-2025-T11。</w:t>
      </w:r>
    </w:p>
    <w:p w14:paraId="76149507">
      <w:pPr>
        <w:pStyle w:val="2"/>
        <w:rPr>
          <w:rFonts w:hint="eastAsia" w:ascii="Times New Roman" w:hAnsi="Times New Roman" w:eastAsia="仿宋"/>
          <w:sz w:val="30"/>
        </w:rPr>
      </w:pPr>
      <w:r>
        <w:rPr>
          <w:rFonts w:hint="eastAsia" w:ascii="Times New Roman" w:hAnsi="Times New Roman" w:eastAsia="仿宋"/>
          <w:sz w:val="30"/>
        </w:rPr>
        <w:t>（三）起草单位：方圆标志认证集团有限公司。</w:t>
      </w:r>
    </w:p>
    <w:p w14:paraId="0EA6152C">
      <w:pPr>
        <w:pStyle w:val="2"/>
        <w:rPr>
          <w:rFonts w:hint="eastAsia" w:ascii="Times New Roman" w:hAnsi="Times New Roman" w:eastAsia="仿宋"/>
          <w:sz w:val="30"/>
        </w:rPr>
      </w:pPr>
      <w:r>
        <w:rPr>
          <w:rFonts w:hint="eastAsia" w:ascii="Times New Roman" w:hAnsi="Times New Roman" w:eastAsia="仿宋"/>
          <w:sz w:val="30"/>
        </w:rPr>
        <w:t>（四）单位地址：北京市海淀区增光路33号</w:t>
      </w:r>
    </w:p>
    <w:p w14:paraId="1486F48E">
      <w:pPr>
        <w:pStyle w:val="2"/>
        <w:rPr>
          <w:rFonts w:hint="eastAsia" w:ascii="Times New Roman" w:hAnsi="Times New Roman" w:eastAsia="仿宋"/>
          <w:sz w:val="30"/>
        </w:rPr>
      </w:pPr>
      <w:r>
        <w:rPr>
          <w:rFonts w:hint="eastAsia" w:ascii="Times New Roman" w:hAnsi="Times New Roman" w:eastAsia="仿宋"/>
          <w:sz w:val="30"/>
        </w:rPr>
        <w:t>（五）参与起草单位：</w:t>
      </w:r>
    </w:p>
    <w:p w14:paraId="1860AE93">
      <w:pPr>
        <w:pStyle w:val="2"/>
        <w:rPr>
          <w:rFonts w:hint="eastAsia" w:ascii="Times New Roman" w:hAnsi="Times New Roman" w:eastAsia="仿宋"/>
          <w:sz w:val="30"/>
        </w:rPr>
      </w:pPr>
      <w:r>
        <w:rPr>
          <w:rFonts w:hint="eastAsia" w:ascii="Times New Roman" w:hAnsi="Times New Roman" w:eastAsia="仿宋"/>
          <w:sz w:val="30"/>
        </w:rPr>
        <w:t>（六）标准起草人：</w:t>
      </w:r>
    </w:p>
    <w:p w14:paraId="5015FFB7">
      <w:pPr>
        <w:ind w:firstLine="0" w:firstLineChars="0"/>
        <w:jc w:val="center"/>
        <w:rPr>
          <w:rFonts w:hint="eastAsia" w:ascii="Times New Roman" w:hAnsi="Times New Roman" w:cs="宋体"/>
          <w:sz w:val="28"/>
          <w:szCs w:val="28"/>
        </w:rPr>
      </w:pPr>
      <w:r>
        <w:rPr>
          <w:rFonts w:hint="eastAsia" w:ascii="Times New Roman" w:hAnsi="Times New Roman" w:cs="宋体"/>
          <w:sz w:val="28"/>
          <w:szCs w:val="28"/>
        </w:rPr>
        <w:t>表1标准起草人</w:t>
      </w:r>
    </w:p>
    <w:p w14:paraId="76FFDFCD">
      <w:pPr>
        <w:pStyle w:val="5"/>
        <w:spacing w:before="10"/>
        <w:ind w:left="0" w:firstLine="140"/>
        <w:rPr>
          <w:rFonts w:hint="eastAsia"/>
          <w:sz w:val="7"/>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2"/>
        <w:gridCol w:w="1042"/>
        <w:gridCol w:w="1579"/>
        <w:gridCol w:w="831"/>
        <w:gridCol w:w="803"/>
        <w:gridCol w:w="2699"/>
        <w:gridCol w:w="1212"/>
      </w:tblGrid>
      <w:tr w14:paraId="225D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91" w:type="pct"/>
            <w:vAlign w:val="center"/>
          </w:tcPr>
          <w:p w14:paraId="5139B0E2">
            <w:pPr>
              <w:pStyle w:val="13"/>
              <w:spacing w:before="74"/>
              <w:ind w:firstLine="0" w:firstLineChars="0"/>
              <w:jc w:val="center"/>
              <w:rPr>
                <w:rFonts w:hint="eastAsia" w:ascii="宋体" w:hAnsi="宋体" w:eastAsia="宋体" w:cs="宋体"/>
                <w:sz w:val="24"/>
              </w:rPr>
            </w:pPr>
            <w:r>
              <w:rPr>
                <w:rFonts w:ascii="宋体" w:hAnsi="宋体" w:eastAsia="宋体" w:cs="宋体"/>
                <w:sz w:val="24"/>
              </w:rPr>
              <w:t>序号</w:t>
            </w:r>
          </w:p>
        </w:tc>
        <w:tc>
          <w:tcPr>
            <w:tcW w:w="588" w:type="pct"/>
            <w:vAlign w:val="center"/>
          </w:tcPr>
          <w:p w14:paraId="2D43C038">
            <w:pPr>
              <w:pStyle w:val="13"/>
              <w:spacing w:before="74"/>
              <w:ind w:firstLine="0" w:firstLineChars="0"/>
              <w:jc w:val="center"/>
              <w:rPr>
                <w:rFonts w:hint="eastAsia" w:ascii="宋体" w:hAnsi="宋体" w:eastAsia="宋体" w:cs="宋体"/>
                <w:sz w:val="24"/>
              </w:rPr>
            </w:pPr>
            <w:r>
              <w:rPr>
                <w:rFonts w:ascii="宋体" w:hAnsi="宋体" w:eastAsia="宋体" w:cs="宋体"/>
                <w:sz w:val="24"/>
              </w:rPr>
              <w:t>姓名</w:t>
            </w:r>
          </w:p>
        </w:tc>
        <w:tc>
          <w:tcPr>
            <w:tcW w:w="891" w:type="pct"/>
            <w:vAlign w:val="center"/>
          </w:tcPr>
          <w:p w14:paraId="1B31F053">
            <w:pPr>
              <w:pStyle w:val="13"/>
              <w:spacing w:before="74"/>
              <w:ind w:firstLine="0" w:firstLineChars="0"/>
              <w:jc w:val="center"/>
              <w:rPr>
                <w:rFonts w:hint="eastAsia" w:ascii="宋体" w:hAnsi="宋体" w:eastAsia="宋体" w:cs="宋体"/>
                <w:sz w:val="24"/>
              </w:rPr>
            </w:pPr>
            <w:r>
              <w:rPr>
                <w:rFonts w:ascii="宋体" w:hAnsi="宋体" w:eastAsia="宋体" w:cs="宋体"/>
                <w:sz w:val="24"/>
              </w:rPr>
              <w:t>单位</w:t>
            </w:r>
          </w:p>
        </w:tc>
        <w:tc>
          <w:tcPr>
            <w:tcW w:w="469" w:type="pct"/>
            <w:vAlign w:val="center"/>
          </w:tcPr>
          <w:p w14:paraId="65DD5AAB">
            <w:pPr>
              <w:pStyle w:val="13"/>
              <w:spacing w:before="74"/>
              <w:ind w:firstLine="0" w:firstLineChars="0"/>
              <w:jc w:val="center"/>
              <w:rPr>
                <w:rFonts w:hint="eastAsia" w:ascii="宋体" w:hAnsi="宋体" w:eastAsia="宋体" w:cs="宋体"/>
                <w:sz w:val="24"/>
              </w:rPr>
            </w:pPr>
            <w:r>
              <w:rPr>
                <w:rFonts w:ascii="宋体" w:hAnsi="宋体" w:eastAsia="宋体" w:cs="宋体"/>
                <w:sz w:val="24"/>
              </w:rPr>
              <w:t>职务</w:t>
            </w:r>
          </w:p>
        </w:tc>
        <w:tc>
          <w:tcPr>
            <w:tcW w:w="453" w:type="pct"/>
            <w:vAlign w:val="center"/>
          </w:tcPr>
          <w:p w14:paraId="77EC4D00">
            <w:pPr>
              <w:pStyle w:val="13"/>
              <w:spacing w:before="74"/>
              <w:ind w:firstLine="0" w:firstLineChars="0"/>
              <w:jc w:val="center"/>
              <w:rPr>
                <w:rFonts w:hint="eastAsia" w:ascii="宋体" w:hAnsi="宋体" w:eastAsia="宋体" w:cs="宋体"/>
                <w:sz w:val="24"/>
              </w:rPr>
            </w:pPr>
            <w:r>
              <w:rPr>
                <w:rFonts w:ascii="宋体" w:hAnsi="宋体" w:eastAsia="宋体" w:cs="宋体"/>
                <w:sz w:val="24"/>
              </w:rPr>
              <w:t>职称</w:t>
            </w:r>
          </w:p>
        </w:tc>
        <w:tc>
          <w:tcPr>
            <w:tcW w:w="1523" w:type="pct"/>
            <w:vAlign w:val="center"/>
          </w:tcPr>
          <w:p w14:paraId="3F52F502">
            <w:pPr>
              <w:pStyle w:val="13"/>
              <w:spacing w:before="74"/>
              <w:ind w:firstLine="0" w:firstLineChars="0"/>
              <w:jc w:val="center"/>
              <w:rPr>
                <w:rFonts w:hint="eastAsia" w:ascii="宋体" w:hAnsi="宋体" w:eastAsia="宋体" w:cs="宋体"/>
                <w:sz w:val="24"/>
              </w:rPr>
            </w:pPr>
            <w:r>
              <w:rPr>
                <w:rFonts w:ascii="宋体" w:hAnsi="宋体" w:eastAsia="宋体" w:cs="宋体"/>
                <w:sz w:val="24"/>
              </w:rPr>
              <w:t>任务分工</w:t>
            </w:r>
          </w:p>
        </w:tc>
        <w:tc>
          <w:tcPr>
            <w:tcW w:w="684" w:type="pct"/>
            <w:vAlign w:val="center"/>
          </w:tcPr>
          <w:p w14:paraId="6C8E18E1">
            <w:pPr>
              <w:pStyle w:val="13"/>
              <w:spacing w:before="74"/>
              <w:ind w:firstLine="0" w:firstLineChars="0"/>
              <w:jc w:val="center"/>
              <w:rPr>
                <w:rFonts w:hint="eastAsia" w:ascii="宋体" w:hAnsi="宋体" w:eastAsia="宋体" w:cs="宋体"/>
                <w:sz w:val="24"/>
              </w:rPr>
            </w:pPr>
            <w:r>
              <w:rPr>
                <w:rFonts w:ascii="宋体" w:hAnsi="宋体" w:eastAsia="宋体" w:cs="宋体"/>
                <w:sz w:val="24"/>
              </w:rPr>
              <w:t>联系方式</w:t>
            </w:r>
          </w:p>
        </w:tc>
      </w:tr>
      <w:tr w14:paraId="72A4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rPr>
        <w:tc>
          <w:tcPr>
            <w:tcW w:w="391" w:type="pct"/>
            <w:vAlign w:val="center"/>
          </w:tcPr>
          <w:p w14:paraId="70ED984C">
            <w:pPr>
              <w:pStyle w:val="13"/>
              <w:spacing w:before="74"/>
              <w:ind w:firstLine="0" w:firstLineChars="0"/>
              <w:jc w:val="center"/>
              <w:rPr>
                <w:rFonts w:hint="eastAsia" w:ascii="宋体" w:hAnsi="宋体" w:eastAsia="宋体" w:cs="宋体"/>
                <w:sz w:val="24"/>
              </w:rPr>
            </w:pPr>
            <w:r>
              <w:rPr>
                <w:rFonts w:ascii="宋体" w:hAnsi="宋体" w:eastAsia="宋体" w:cs="宋体"/>
                <w:sz w:val="24"/>
              </w:rPr>
              <w:t>1</w:t>
            </w:r>
          </w:p>
        </w:tc>
        <w:tc>
          <w:tcPr>
            <w:tcW w:w="588" w:type="pct"/>
            <w:vAlign w:val="center"/>
          </w:tcPr>
          <w:p w14:paraId="65F8A16E">
            <w:pPr>
              <w:pStyle w:val="13"/>
              <w:spacing w:before="74"/>
              <w:ind w:firstLine="0" w:firstLineChars="0"/>
              <w:jc w:val="center"/>
              <w:rPr>
                <w:rFonts w:hint="eastAsia" w:ascii="宋体" w:hAnsi="宋体" w:eastAsia="宋体" w:cs="宋体"/>
                <w:sz w:val="24"/>
              </w:rPr>
            </w:pPr>
          </w:p>
        </w:tc>
        <w:tc>
          <w:tcPr>
            <w:tcW w:w="891" w:type="pct"/>
            <w:vAlign w:val="center"/>
          </w:tcPr>
          <w:p w14:paraId="0E55E2B0">
            <w:pPr>
              <w:pStyle w:val="13"/>
              <w:spacing w:before="74"/>
              <w:ind w:firstLine="0" w:firstLineChars="0"/>
              <w:jc w:val="center"/>
              <w:rPr>
                <w:rFonts w:hint="eastAsia" w:ascii="宋体" w:hAnsi="宋体" w:eastAsia="宋体" w:cs="宋体"/>
                <w:sz w:val="24"/>
              </w:rPr>
            </w:pPr>
          </w:p>
        </w:tc>
        <w:tc>
          <w:tcPr>
            <w:tcW w:w="469" w:type="pct"/>
            <w:vAlign w:val="center"/>
          </w:tcPr>
          <w:p w14:paraId="0FE638BB">
            <w:pPr>
              <w:pStyle w:val="13"/>
              <w:spacing w:before="74"/>
              <w:ind w:firstLine="0" w:firstLineChars="0"/>
              <w:jc w:val="center"/>
              <w:rPr>
                <w:rFonts w:hint="eastAsia" w:ascii="宋体" w:hAnsi="宋体" w:eastAsia="宋体" w:cs="宋体"/>
                <w:sz w:val="24"/>
              </w:rPr>
            </w:pPr>
          </w:p>
        </w:tc>
        <w:tc>
          <w:tcPr>
            <w:tcW w:w="453" w:type="pct"/>
            <w:vAlign w:val="center"/>
          </w:tcPr>
          <w:p w14:paraId="0E1B19A8">
            <w:pPr>
              <w:pStyle w:val="13"/>
              <w:spacing w:before="74"/>
              <w:ind w:firstLine="0" w:firstLineChars="0"/>
              <w:jc w:val="center"/>
              <w:rPr>
                <w:rFonts w:hint="eastAsia" w:ascii="宋体" w:hAnsi="宋体" w:eastAsia="宋体" w:cs="宋体"/>
                <w:sz w:val="24"/>
              </w:rPr>
            </w:pPr>
          </w:p>
        </w:tc>
        <w:tc>
          <w:tcPr>
            <w:tcW w:w="1523" w:type="pct"/>
            <w:vAlign w:val="center"/>
          </w:tcPr>
          <w:p w14:paraId="40B3EC97">
            <w:pPr>
              <w:pStyle w:val="13"/>
              <w:spacing w:before="74"/>
              <w:ind w:firstLine="0" w:firstLineChars="0"/>
              <w:jc w:val="center"/>
              <w:rPr>
                <w:rFonts w:hint="eastAsia" w:ascii="宋体" w:hAnsi="宋体" w:eastAsia="宋体" w:cs="宋体"/>
                <w:sz w:val="24"/>
              </w:rPr>
            </w:pPr>
          </w:p>
        </w:tc>
        <w:tc>
          <w:tcPr>
            <w:tcW w:w="684" w:type="pct"/>
            <w:vAlign w:val="center"/>
          </w:tcPr>
          <w:p w14:paraId="51883D4A">
            <w:pPr>
              <w:pStyle w:val="13"/>
              <w:spacing w:before="74"/>
              <w:ind w:firstLine="0" w:firstLineChars="0"/>
              <w:jc w:val="center"/>
              <w:rPr>
                <w:rFonts w:hint="eastAsia" w:ascii="宋体" w:hAnsi="宋体" w:eastAsia="宋体" w:cs="宋体"/>
                <w:sz w:val="24"/>
              </w:rPr>
            </w:pPr>
          </w:p>
        </w:tc>
      </w:tr>
      <w:tr w14:paraId="2DE3C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391" w:type="pct"/>
            <w:vAlign w:val="center"/>
          </w:tcPr>
          <w:p w14:paraId="1B2B4F03">
            <w:pPr>
              <w:pStyle w:val="13"/>
              <w:spacing w:before="74"/>
              <w:ind w:firstLine="0" w:firstLineChars="0"/>
              <w:jc w:val="center"/>
              <w:rPr>
                <w:rFonts w:hint="eastAsia" w:ascii="宋体" w:hAnsi="宋体" w:eastAsia="宋体" w:cs="宋体"/>
                <w:sz w:val="24"/>
              </w:rPr>
            </w:pPr>
            <w:r>
              <w:rPr>
                <w:rFonts w:ascii="宋体" w:hAnsi="宋体" w:eastAsia="宋体" w:cs="宋体"/>
                <w:sz w:val="24"/>
              </w:rPr>
              <w:t>2</w:t>
            </w:r>
          </w:p>
        </w:tc>
        <w:tc>
          <w:tcPr>
            <w:tcW w:w="588" w:type="pct"/>
            <w:vAlign w:val="center"/>
          </w:tcPr>
          <w:p w14:paraId="6782EEFE">
            <w:pPr>
              <w:pStyle w:val="13"/>
              <w:spacing w:before="74"/>
              <w:ind w:firstLine="0" w:firstLineChars="0"/>
              <w:jc w:val="center"/>
              <w:rPr>
                <w:rFonts w:hint="eastAsia" w:ascii="宋体" w:hAnsi="宋体" w:eastAsia="宋体" w:cs="宋体"/>
                <w:sz w:val="24"/>
              </w:rPr>
            </w:pPr>
          </w:p>
        </w:tc>
        <w:tc>
          <w:tcPr>
            <w:tcW w:w="891" w:type="pct"/>
            <w:vAlign w:val="center"/>
          </w:tcPr>
          <w:p w14:paraId="25177C5D">
            <w:pPr>
              <w:pStyle w:val="13"/>
              <w:spacing w:before="74"/>
              <w:ind w:firstLine="0" w:firstLineChars="0"/>
              <w:jc w:val="center"/>
              <w:rPr>
                <w:rFonts w:hint="eastAsia" w:ascii="宋体" w:hAnsi="宋体" w:eastAsia="宋体" w:cs="宋体"/>
                <w:sz w:val="24"/>
              </w:rPr>
            </w:pPr>
          </w:p>
        </w:tc>
        <w:tc>
          <w:tcPr>
            <w:tcW w:w="469" w:type="pct"/>
            <w:vAlign w:val="center"/>
          </w:tcPr>
          <w:p w14:paraId="110AB974">
            <w:pPr>
              <w:pStyle w:val="13"/>
              <w:spacing w:before="74"/>
              <w:ind w:firstLine="0" w:firstLineChars="0"/>
              <w:jc w:val="center"/>
              <w:rPr>
                <w:rFonts w:hint="eastAsia" w:ascii="宋体" w:hAnsi="宋体" w:eastAsia="宋体" w:cs="宋体"/>
                <w:sz w:val="24"/>
              </w:rPr>
            </w:pPr>
          </w:p>
        </w:tc>
        <w:tc>
          <w:tcPr>
            <w:tcW w:w="453" w:type="pct"/>
            <w:vAlign w:val="center"/>
          </w:tcPr>
          <w:p w14:paraId="63795D6C">
            <w:pPr>
              <w:pStyle w:val="13"/>
              <w:spacing w:before="74"/>
              <w:ind w:firstLine="0" w:firstLineChars="0"/>
              <w:jc w:val="center"/>
              <w:rPr>
                <w:rFonts w:hint="eastAsia" w:ascii="宋体" w:hAnsi="宋体" w:eastAsia="宋体" w:cs="宋体"/>
                <w:sz w:val="24"/>
              </w:rPr>
            </w:pPr>
          </w:p>
        </w:tc>
        <w:tc>
          <w:tcPr>
            <w:tcW w:w="1523" w:type="pct"/>
            <w:vAlign w:val="center"/>
          </w:tcPr>
          <w:p w14:paraId="4201E09C">
            <w:pPr>
              <w:pStyle w:val="13"/>
              <w:spacing w:before="74"/>
              <w:ind w:firstLine="0" w:firstLineChars="0"/>
              <w:jc w:val="center"/>
              <w:rPr>
                <w:rFonts w:hint="eastAsia" w:ascii="宋体" w:hAnsi="宋体" w:eastAsia="宋体" w:cs="宋体"/>
                <w:sz w:val="24"/>
              </w:rPr>
            </w:pPr>
          </w:p>
        </w:tc>
        <w:tc>
          <w:tcPr>
            <w:tcW w:w="684" w:type="pct"/>
            <w:vAlign w:val="center"/>
          </w:tcPr>
          <w:p w14:paraId="5D129B7C">
            <w:pPr>
              <w:pStyle w:val="13"/>
              <w:spacing w:before="74"/>
              <w:ind w:firstLine="0" w:firstLineChars="0"/>
              <w:jc w:val="center"/>
              <w:rPr>
                <w:rFonts w:hint="eastAsia" w:ascii="宋体" w:hAnsi="宋体" w:eastAsia="宋体" w:cs="宋体"/>
                <w:sz w:val="24"/>
              </w:rPr>
            </w:pPr>
          </w:p>
        </w:tc>
      </w:tr>
      <w:tr w14:paraId="2EFB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91" w:type="pct"/>
            <w:vAlign w:val="center"/>
          </w:tcPr>
          <w:p w14:paraId="15D2F550">
            <w:pPr>
              <w:pStyle w:val="13"/>
              <w:spacing w:before="74"/>
              <w:ind w:firstLine="0" w:firstLineChars="0"/>
              <w:jc w:val="center"/>
              <w:rPr>
                <w:rFonts w:hint="eastAsia" w:ascii="宋体" w:hAnsi="宋体" w:eastAsia="宋体" w:cs="宋体"/>
                <w:sz w:val="24"/>
              </w:rPr>
            </w:pPr>
            <w:r>
              <w:rPr>
                <w:rFonts w:ascii="宋体" w:hAnsi="宋体" w:eastAsia="宋体" w:cs="宋体"/>
                <w:sz w:val="24"/>
              </w:rPr>
              <w:t>3</w:t>
            </w:r>
          </w:p>
        </w:tc>
        <w:tc>
          <w:tcPr>
            <w:tcW w:w="588" w:type="pct"/>
            <w:vAlign w:val="center"/>
          </w:tcPr>
          <w:p w14:paraId="5919AACB">
            <w:pPr>
              <w:pStyle w:val="13"/>
              <w:spacing w:before="74"/>
              <w:ind w:firstLine="0" w:firstLineChars="0"/>
              <w:jc w:val="center"/>
              <w:rPr>
                <w:rFonts w:hint="eastAsia" w:ascii="宋体" w:hAnsi="宋体" w:eastAsia="宋体" w:cs="宋体"/>
                <w:sz w:val="24"/>
              </w:rPr>
            </w:pPr>
          </w:p>
        </w:tc>
        <w:tc>
          <w:tcPr>
            <w:tcW w:w="891" w:type="pct"/>
            <w:vAlign w:val="center"/>
          </w:tcPr>
          <w:p w14:paraId="48BA1872">
            <w:pPr>
              <w:pStyle w:val="13"/>
              <w:spacing w:before="74"/>
              <w:ind w:firstLine="0" w:firstLineChars="0"/>
              <w:jc w:val="center"/>
              <w:rPr>
                <w:rFonts w:hint="eastAsia" w:ascii="宋体" w:hAnsi="宋体" w:eastAsia="宋体" w:cs="宋体"/>
                <w:sz w:val="24"/>
              </w:rPr>
            </w:pPr>
          </w:p>
        </w:tc>
        <w:tc>
          <w:tcPr>
            <w:tcW w:w="469" w:type="pct"/>
            <w:vAlign w:val="center"/>
          </w:tcPr>
          <w:p w14:paraId="26489A11">
            <w:pPr>
              <w:pStyle w:val="13"/>
              <w:spacing w:before="74"/>
              <w:ind w:firstLine="0" w:firstLineChars="0"/>
              <w:jc w:val="center"/>
              <w:rPr>
                <w:rFonts w:hint="eastAsia" w:ascii="宋体" w:hAnsi="宋体" w:eastAsia="宋体" w:cs="宋体"/>
                <w:sz w:val="24"/>
              </w:rPr>
            </w:pPr>
          </w:p>
        </w:tc>
        <w:tc>
          <w:tcPr>
            <w:tcW w:w="453" w:type="pct"/>
            <w:vAlign w:val="center"/>
          </w:tcPr>
          <w:p w14:paraId="4A4B510C">
            <w:pPr>
              <w:pStyle w:val="13"/>
              <w:spacing w:before="74"/>
              <w:ind w:firstLine="0" w:firstLineChars="0"/>
              <w:jc w:val="center"/>
              <w:rPr>
                <w:rFonts w:hint="eastAsia" w:ascii="宋体" w:hAnsi="宋体" w:eastAsia="宋体" w:cs="宋体"/>
                <w:sz w:val="24"/>
              </w:rPr>
            </w:pPr>
          </w:p>
        </w:tc>
        <w:tc>
          <w:tcPr>
            <w:tcW w:w="1523" w:type="pct"/>
            <w:vAlign w:val="center"/>
          </w:tcPr>
          <w:p w14:paraId="46710F27">
            <w:pPr>
              <w:pStyle w:val="13"/>
              <w:spacing w:before="74"/>
              <w:ind w:firstLine="0" w:firstLineChars="0"/>
              <w:jc w:val="center"/>
              <w:rPr>
                <w:rFonts w:hint="eastAsia" w:ascii="宋体" w:hAnsi="宋体" w:eastAsia="宋体" w:cs="宋体"/>
                <w:sz w:val="24"/>
              </w:rPr>
            </w:pPr>
          </w:p>
        </w:tc>
        <w:tc>
          <w:tcPr>
            <w:tcW w:w="684" w:type="pct"/>
            <w:vAlign w:val="center"/>
          </w:tcPr>
          <w:p w14:paraId="7A5F242E">
            <w:pPr>
              <w:pStyle w:val="13"/>
              <w:spacing w:before="74"/>
              <w:ind w:firstLine="0" w:firstLineChars="0"/>
              <w:jc w:val="center"/>
              <w:rPr>
                <w:rFonts w:hint="eastAsia" w:ascii="宋体" w:hAnsi="宋体" w:eastAsia="宋体" w:cs="宋体"/>
                <w:sz w:val="24"/>
              </w:rPr>
            </w:pPr>
          </w:p>
        </w:tc>
      </w:tr>
      <w:tr w14:paraId="6C478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rPr>
        <w:tc>
          <w:tcPr>
            <w:tcW w:w="391" w:type="pct"/>
            <w:vAlign w:val="center"/>
          </w:tcPr>
          <w:p w14:paraId="125288BA">
            <w:pPr>
              <w:pStyle w:val="13"/>
              <w:spacing w:before="74"/>
              <w:ind w:firstLine="0" w:firstLineChars="0"/>
              <w:jc w:val="center"/>
              <w:rPr>
                <w:rFonts w:hint="eastAsia" w:ascii="宋体" w:hAnsi="宋体" w:eastAsia="宋体" w:cs="宋体"/>
                <w:sz w:val="24"/>
              </w:rPr>
            </w:pPr>
            <w:r>
              <w:rPr>
                <w:rFonts w:ascii="宋体" w:hAnsi="宋体" w:eastAsia="宋体" w:cs="宋体"/>
                <w:sz w:val="24"/>
              </w:rPr>
              <w:t>4</w:t>
            </w:r>
          </w:p>
        </w:tc>
        <w:tc>
          <w:tcPr>
            <w:tcW w:w="588" w:type="pct"/>
            <w:vAlign w:val="center"/>
          </w:tcPr>
          <w:p w14:paraId="0353F249">
            <w:pPr>
              <w:pStyle w:val="13"/>
              <w:spacing w:before="74"/>
              <w:ind w:firstLine="0" w:firstLineChars="0"/>
              <w:jc w:val="center"/>
              <w:rPr>
                <w:rFonts w:hint="eastAsia" w:ascii="宋体" w:hAnsi="宋体" w:eastAsia="宋体" w:cs="宋体"/>
                <w:sz w:val="24"/>
              </w:rPr>
            </w:pPr>
          </w:p>
        </w:tc>
        <w:tc>
          <w:tcPr>
            <w:tcW w:w="891" w:type="pct"/>
            <w:vAlign w:val="center"/>
          </w:tcPr>
          <w:p w14:paraId="46827C2A">
            <w:pPr>
              <w:pStyle w:val="13"/>
              <w:spacing w:before="74"/>
              <w:ind w:firstLine="0" w:firstLineChars="0"/>
              <w:jc w:val="center"/>
              <w:rPr>
                <w:rFonts w:hint="eastAsia" w:ascii="宋体" w:hAnsi="宋体" w:eastAsia="宋体" w:cs="宋体"/>
                <w:sz w:val="24"/>
              </w:rPr>
            </w:pPr>
          </w:p>
        </w:tc>
        <w:tc>
          <w:tcPr>
            <w:tcW w:w="469" w:type="pct"/>
            <w:vAlign w:val="center"/>
          </w:tcPr>
          <w:p w14:paraId="16E22018">
            <w:pPr>
              <w:pStyle w:val="13"/>
              <w:spacing w:before="74"/>
              <w:ind w:firstLine="0" w:firstLineChars="0"/>
              <w:jc w:val="center"/>
              <w:rPr>
                <w:rFonts w:hint="eastAsia" w:ascii="宋体" w:hAnsi="宋体" w:eastAsia="宋体" w:cs="宋体"/>
                <w:sz w:val="24"/>
              </w:rPr>
            </w:pPr>
          </w:p>
        </w:tc>
        <w:tc>
          <w:tcPr>
            <w:tcW w:w="453" w:type="pct"/>
            <w:vAlign w:val="center"/>
          </w:tcPr>
          <w:p w14:paraId="7BF5F21C">
            <w:pPr>
              <w:pStyle w:val="13"/>
              <w:spacing w:before="74"/>
              <w:ind w:firstLine="0" w:firstLineChars="0"/>
              <w:jc w:val="center"/>
              <w:rPr>
                <w:rFonts w:hint="eastAsia" w:ascii="宋体" w:hAnsi="宋体" w:eastAsia="宋体" w:cs="宋体"/>
                <w:sz w:val="24"/>
              </w:rPr>
            </w:pPr>
          </w:p>
        </w:tc>
        <w:tc>
          <w:tcPr>
            <w:tcW w:w="1523" w:type="pct"/>
            <w:vAlign w:val="center"/>
          </w:tcPr>
          <w:p w14:paraId="2556219F">
            <w:pPr>
              <w:pStyle w:val="13"/>
              <w:spacing w:before="74"/>
              <w:ind w:firstLine="0" w:firstLineChars="0"/>
              <w:jc w:val="center"/>
              <w:rPr>
                <w:rFonts w:hint="eastAsia" w:ascii="宋体" w:hAnsi="宋体" w:eastAsia="宋体" w:cs="宋体"/>
                <w:sz w:val="24"/>
              </w:rPr>
            </w:pPr>
          </w:p>
        </w:tc>
        <w:tc>
          <w:tcPr>
            <w:tcW w:w="684" w:type="pct"/>
            <w:vAlign w:val="center"/>
          </w:tcPr>
          <w:p w14:paraId="74549791">
            <w:pPr>
              <w:pStyle w:val="13"/>
              <w:spacing w:before="74"/>
              <w:ind w:firstLine="0" w:firstLineChars="0"/>
              <w:jc w:val="center"/>
              <w:rPr>
                <w:rFonts w:hint="eastAsia" w:ascii="宋体" w:hAnsi="宋体" w:eastAsia="宋体" w:cs="宋体"/>
                <w:sz w:val="24"/>
              </w:rPr>
            </w:pPr>
          </w:p>
        </w:tc>
      </w:tr>
      <w:tr w14:paraId="39DE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391" w:type="pct"/>
            <w:vAlign w:val="center"/>
          </w:tcPr>
          <w:p w14:paraId="0F4B2190">
            <w:pPr>
              <w:pStyle w:val="13"/>
              <w:spacing w:before="74"/>
              <w:ind w:firstLine="0" w:firstLineChars="0"/>
              <w:jc w:val="center"/>
              <w:rPr>
                <w:rFonts w:hint="eastAsia" w:ascii="宋体" w:hAnsi="宋体" w:eastAsia="宋体" w:cs="宋体"/>
                <w:sz w:val="24"/>
              </w:rPr>
            </w:pPr>
            <w:r>
              <w:rPr>
                <w:rFonts w:ascii="宋体" w:hAnsi="宋体" w:eastAsia="宋体" w:cs="宋体"/>
                <w:sz w:val="24"/>
              </w:rPr>
              <w:t>5</w:t>
            </w:r>
          </w:p>
        </w:tc>
        <w:tc>
          <w:tcPr>
            <w:tcW w:w="588" w:type="pct"/>
            <w:vAlign w:val="center"/>
          </w:tcPr>
          <w:p w14:paraId="50534D2E">
            <w:pPr>
              <w:pStyle w:val="13"/>
              <w:spacing w:before="74"/>
              <w:ind w:firstLine="0" w:firstLineChars="0"/>
              <w:jc w:val="center"/>
              <w:rPr>
                <w:rFonts w:hint="eastAsia" w:ascii="宋体" w:hAnsi="宋体" w:eastAsia="宋体" w:cs="宋体"/>
                <w:sz w:val="24"/>
              </w:rPr>
            </w:pPr>
          </w:p>
        </w:tc>
        <w:tc>
          <w:tcPr>
            <w:tcW w:w="891" w:type="pct"/>
            <w:vAlign w:val="center"/>
          </w:tcPr>
          <w:p w14:paraId="26C4BC92">
            <w:pPr>
              <w:pStyle w:val="13"/>
              <w:spacing w:before="74"/>
              <w:ind w:firstLine="0" w:firstLineChars="0"/>
              <w:jc w:val="center"/>
              <w:rPr>
                <w:rFonts w:hint="eastAsia" w:ascii="宋体" w:hAnsi="宋体" w:eastAsia="宋体" w:cs="宋体"/>
                <w:sz w:val="24"/>
              </w:rPr>
            </w:pPr>
          </w:p>
        </w:tc>
        <w:tc>
          <w:tcPr>
            <w:tcW w:w="469" w:type="pct"/>
            <w:vAlign w:val="center"/>
          </w:tcPr>
          <w:p w14:paraId="6483053A">
            <w:pPr>
              <w:pStyle w:val="13"/>
              <w:spacing w:before="74"/>
              <w:ind w:firstLine="0" w:firstLineChars="0"/>
              <w:jc w:val="center"/>
              <w:rPr>
                <w:rFonts w:hint="eastAsia" w:ascii="宋体" w:hAnsi="宋体" w:eastAsia="宋体" w:cs="宋体"/>
                <w:sz w:val="24"/>
              </w:rPr>
            </w:pPr>
          </w:p>
        </w:tc>
        <w:tc>
          <w:tcPr>
            <w:tcW w:w="453" w:type="pct"/>
            <w:vAlign w:val="center"/>
          </w:tcPr>
          <w:p w14:paraId="116C7A42">
            <w:pPr>
              <w:pStyle w:val="13"/>
              <w:spacing w:before="74"/>
              <w:ind w:firstLine="0" w:firstLineChars="0"/>
              <w:jc w:val="center"/>
              <w:rPr>
                <w:rFonts w:hint="eastAsia" w:ascii="宋体" w:hAnsi="宋体" w:eastAsia="宋体" w:cs="宋体"/>
                <w:sz w:val="24"/>
              </w:rPr>
            </w:pPr>
          </w:p>
        </w:tc>
        <w:tc>
          <w:tcPr>
            <w:tcW w:w="1523" w:type="pct"/>
            <w:vAlign w:val="center"/>
          </w:tcPr>
          <w:p w14:paraId="099AF6F1">
            <w:pPr>
              <w:pStyle w:val="13"/>
              <w:spacing w:before="74"/>
              <w:ind w:firstLine="0" w:firstLineChars="0"/>
              <w:jc w:val="center"/>
              <w:rPr>
                <w:rFonts w:hint="eastAsia" w:ascii="宋体" w:hAnsi="宋体" w:eastAsia="宋体" w:cs="宋体"/>
                <w:sz w:val="24"/>
              </w:rPr>
            </w:pPr>
          </w:p>
        </w:tc>
        <w:tc>
          <w:tcPr>
            <w:tcW w:w="684" w:type="pct"/>
            <w:vAlign w:val="center"/>
          </w:tcPr>
          <w:p w14:paraId="19004189">
            <w:pPr>
              <w:pStyle w:val="13"/>
              <w:spacing w:before="74"/>
              <w:ind w:firstLine="0" w:firstLineChars="0"/>
              <w:jc w:val="center"/>
              <w:rPr>
                <w:rFonts w:hint="eastAsia" w:ascii="宋体" w:hAnsi="宋体" w:eastAsia="宋体" w:cs="宋体"/>
                <w:sz w:val="24"/>
              </w:rPr>
            </w:pPr>
          </w:p>
        </w:tc>
      </w:tr>
    </w:tbl>
    <w:p w14:paraId="38DACF5D">
      <w:pPr>
        <w:ind w:firstLine="640"/>
      </w:pPr>
    </w:p>
    <w:p w14:paraId="3D5200D2">
      <w:pPr>
        <w:pStyle w:val="2"/>
        <w:rPr>
          <w:rFonts w:ascii="Times New Roman" w:hAnsi="Times New Roman" w:eastAsia="仿宋"/>
          <w:sz w:val="30"/>
        </w:rPr>
      </w:pPr>
      <w:r>
        <w:rPr>
          <w:rFonts w:ascii="Times New Roman" w:hAnsi="Times New Roman" w:eastAsia="仿宋"/>
          <w:sz w:val="30"/>
        </w:rPr>
        <w:t>二、编制情况</w:t>
      </w:r>
    </w:p>
    <w:p w14:paraId="0DF6508F">
      <w:pPr>
        <w:pStyle w:val="2"/>
        <w:rPr>
          <w:rFonts w:ascii="Times New Roman" w:hAnsi="Times New Roman" w:eastAsia="仿宋"/>
          <w:sz w:val="30"/>
        </w:rPr>
      </w:pPr>
      <w:r>
        <w:rPr>
          <w:rFonts w:ascii="Times New Roman" w:hAnsi="Times New Roman" w:eastAsia="仿宋"/>
          <w:sz w:val="30"/>
        </w:rPr>
        <w:t>（一）</w:t>
      </w:r>
      <w:r>
        <w:rPr>
          <w:rFonts w:hint="eastAsia" w:ascii="Times New Roman" w:hAnsi="Times New Roman" w:eastAsia="仿宋"/>
          <w:sz w:val="30"/>
        </w:rPr>
        <w:t>编制标准的必要性和意义及背景</w:t>
      </w:r>
    </w:p>
    <w:p w14:paraId="1BDA0E6D">
      <w:pPr>
        <w:ind w:firstLine="560"/>
        <w:rPr>
          <w:rFonts w:hint="eastAsia" w:ascii="Times New Roman" w:hAnsi="Times New Roman" w:cs="宋体"/>
          <w:sz w:val="28"/>
        </w:rPr>
      </w:pPr>
      <w:r>
        <w:rPr>
          <w:rFonts w:hint="eastAsia" w:ascii="Times New Roman" w:hAnsi="Times New Roman" w:cs="宋体"/>
          <w:sz w:val="28"/>
        </w:rPr>
        <w:t>为贯彻《质量强国建设纲要》，落实海南省委省政府《关于以高水平质量建设助力海南自由贸易港高质量发展的意见》（琼发〔2023〕9号）部署要求，为了进一步配合开展海南省“海南消费领域区域公共品牌”建设工作，围绕海南省“特质”、“特色”建设高质量团体标准体系，对符合标准体系、技术规范的特色产品服务和优势产业，通过开展品牌提升和自愿性认证，涵盖各类产业中具有海南省代表性的农业产品、旅游服务、文创产品、工业产品等，围绕热带经济和消费领域，形成一批集质量、标准、服务、信誉、效益为一体，市场和社会公认的海南消费领域区域公共品牌。</w:t>
      </w:r>
    </w:p>
    <w:p w14:paraId="17682D63">
      <w:pPr>
        <w:ind w:firstLine="560"/>
        <w:rPr>
          <w:rFonts w:hint="eastAsia" w:ascii="Times New Roman" w:hAnsi="Times New Roman" w:cs="宋体"/>
          <w:sz w:val="28"/>
        </w:rPr>
      </w:pPr>
      <w:r>
        <w:rPr>
          <w:rFonts w:hint="eastAsia" w:ascii="Times New Roman" w:hAnsi="Times New Roman" w:cs="宋体"/>
          <w:sz w:val="28"/>
        </w:rPr>
        <w:t>海南消费领域区域公共品牌系列团体标准作为开展“海南消费领域区域公共品牌”自愿性认证的认证依据，以海南省区域特色产品与服务和优势产业为重点，通过管理过程要求和核心技术指标，推动企业提升内部管理水平，实现产品和服务品质提升，提高海南省高品质产品和服务的市场竞争力。</w:t>
      </w:r>
    </w:p>
    <w:p w14:paraId="3D7D3060">
      <w:pPr>
        <w:ind w:firstLine="560"/>
        <w:rPr>
          <w:rFonts w:hint="eastAsia" w:ascii="Times New Roman" w:hAnsi="Times New Roman" w:cs="宋体"/>
          <w:sz w:val="28"/>
        </w:rPr>
      </w:pPr>
      <w:r>
        <w:rPr>
          <w:rFonts w:hint="eastAsia" w:ascii="Times New Roman" w:hAnsi="Times New Roman" w:cs="宋体"/>
          <w:sz w:val="28"/>
        </w:rPr>
        <w:t>海南消费领域区域公共品牌系列团体标准是在对比分析了国内外技术指标参数的基础上，采用过程控制和持续改进的管理理念方法，融合编制的一套包括基于管理要素的通用技术要求及基于行业特点的特色产品和服务技术规范的系列标准。该套系列文件设计如下：第一层级为《海南消费领域区域公共品牌通用要求糟粕醋生产》和《海南消费领域区域公共品牌通用要求服务业》，第二层级为《海南消费领域区域公共品牌种植技术规范》和《海南消费领域区域公共品牌食品加工技术规范》，第三层级为特色产品和服务技术规范。第一层级、第二层级和第三层级文件应配套使用。本文件为第三层级《海南消费领域区域公共品牌特色产品技术规范糟粕醋》，通过本文件的发布实施，将有助于推进糟粕醋业规范化、规模化、标准化发展，提升糟粕醋产品质量。同时，以本文件作为认证依据，对糟粕醋生产经营者进行第三方认证，通过认证在供需两端传递质量信号，提高“海南消费领域区域公共品牌”品牌权威性和公信力，形成有效的市场选择机制，助推特色优势糟粕醋产品产品提档升级、提质增效。</w:t>
      </w:r>
    </w:p>
    <w:p w14:paraId="06B5B615">
      <w:pPr>
        <w:pStyle w:val="2"/>
        <w:rPr>
          <w:rFonts w:ascii="Times New Roman" w:hAnsi="Times New Roman" w:eastAsia="仿宋"/>
          <w:sz w:val="30"/>
        </w:rPr>
      </w:pPr>
      <w:r>
        <w:rPr>
          <w:rFonts w:ascii="Times New Roman" w:hAnsi="Times New Roman" w:eastAsia="仿宋"/>
          <w:sz w:val="30"/>
        </w:rPr>
        <w:t>（二）</w:t>
      </w:r>
      <w:r>
        <w:rPr>
          <w:rFonts w:hint="eastAsia" w:ascii="Times New Roman" w:hAnsi="Times New Roman" w:eastAsia="仿宋"/>
          <w:sz w:val="30"/>
        </w:rPr>
        <w:t>编制过程简介</w:t>
      </w:r>
    </w:p>
    <w:p w14:paraId="2CDBCBDA">
      <w:pPr>
        <w:pStyle w:val="4"/>
        <w:rPr>
          <w:rFonts w:hint="eastAsia" w:ascii="Times New Roman" w:hAnsi="Times New Roman" w:cs="宋体"/>
          <w:b/>
          <w:sz w:val="30"/>
        </w:rPr>
      </w:pPr>
      <w:r>
        <w:rPr>
          <w:rFonts w:hint="eastAsia" w:ascii="Times New Roman" w:hAnsi="Times New Roman" w:cs="宋体"/>
          <w:b/>
          <w:sz w:val="30"/>
        </w:rPr>
        <w:t>1.成立起草组</w:t>
      </w:r>
    </w:p>
    <w:p w14:paraId="4C2379B7">
      <w:pPr>
        <w:ind w:firstLine="560"/>
        <w:rPr>
          <w:rFonts w:hint="eastAsia" w:ascii="Times New Roman" w:hAnsi="Times New Roman" w:cs="宋体"/>
          <w:sz w:val="28"/>
        </w:rPr>
      </w:pPr>
      <w:r>
        <w:rPr>
          <w:rFonts w:hint="eastAsia" w:ascii="Times New Roman" w:hAnsi="Times New Roman" w:cs="宋体"/>
          <w:sz w:val="28"/>
        </w:rPr>
        <w:t>团体标准研制计划下达后，方圆标志认证集团有限公司作为标准研制牵头单位随即组织召开专题会议，充分吸纳行业专家组建标准起草组，对标准编制工作进行总体部署和任务分工，制定标准编制工作方案，明确标准适用范围、主要框架内容、编制时间节点等。</w:t>
      </w:r>
    </w:p>
    <w:p w14:paraId="24C95AE3">
      <w:pPr>
        <w:pStyle w:val="4"/>
        <w:rPr>
          <w:rFonts w:hint="eastAsia" w:ascii="Times New Roman" w:hAnsi="Times New Roman" w:cs="宋体"/>
          <w:b/>
          <w:sz w:val="30"/>
        </w:rPr>
      </w:pPr>
      <w:r>
        <w:rPr>
          <w:rFonts w:hint="eastAsia" w:ascii="Times New Roman" w:hAnsi="Times New Roman" w:cs="宋体"/>
          <w:b/>
          <w:sz w:val="30"/>
        </w:rPr>
        <w:t>2.编制标准草案</w:t>
      </w:r>
    </w:p>
    <w:p w14:paraId="7D08F964">
      <w:pPr>
        <w:ind w:firstLine="560"/>
        <w:rPr>
          <w:rFonts w:hint="eastAsia" w:ascii="Times New Roman" w:hAnsi="Times New Roman" w:cs="宋体"/>
          <w:sz w:val="28"/>
        </w:rPr>
      </w:pPr>
      <w:r>
        <w:rPr>
          <w:rFonts w:hint="eastAsia" w:ascii="Times New Roman" w:hAnsi="Times New Roman" w:cs="宋体"/>
          <w:sz w:val="28"/>
        </w:rPr>
        <w:t>标准起草组广泛查阅糟粕醋相关法律法规、政策文件和标准，包括国家标准、行业标准、国际标准和国外先进标准，以及外省地方标准和团体标准情况，收集相关论文及研究资料，摸清糟粕醋现状及标准化相关情况。经过总结、提炼、识别、梳理后，按照既兼顾前瞻性和适用性，又确保科学性和兜底性的原则，搭建标准框架，编制标准草案。</w:t>
      </w:r>
    </w:p>
    <w:p w14:paraId="462BF0AD">
      <w:pPr>
        <w:pStyle w:val="4"/>
        <w:rPr>
          <w:rFonts w:hint="eastAsia" w:ascii="Times New Roman" w:hAnsi="Times New Roman" w:cs="宋体"/>
          <w:b/>
          <w:sz w:val="30"/>
        </w:rPr>
      </w:pPr>
      <w:r>
        <w:rPr>
          <w:rFonts w:hint="eastAsia" w:ascii="Times New Roman" w:hAnsi="Times New Roman" w:cs="宋体"/>
          <w:b/>
          <w:sz w:val="30"/>
        </w:rPr>
        <w:t>3.实地调研</w:t>
      </w:r>
    </w:p>
    <w:p w14:paraId="4CAC7682">
      <w:pPr>
        <w:ind w:firstLine="560"/>
        <w:rPr>
          <w:rFonts w:hint="eastAsia" w:ascii="Times New Roman" w:hAnsi="Times New Roman" w:cs="宋体"/>
          <w:sz w:val="28"/>
        </w:rPr>
      </w:pPr>
      <w:r>
        <w:rPr>
          <w:rFonts w:hint="eastAsia" w:ascii="Times New Roman" w:hAnsi="Times New Roman" w:cs="宋体"/>
          <w:sz w:val="28"/>
        </w:rPr>
        <w:t>标准起草组组织相关人员开展实地调研，通过沟通及实地查看等方式，了解和掌握海南4个市县以及重点园区等糟粕醋企业目前行业管理服务存在的问题和基本情况，以及对标准草案的意见和建议。根据调研情况和反馈意见实时修改完善标准草案。</w:t>
      </w:r>
    </w:p>
    <w:p w14:paraId="0EE7BCDB">
      <w:pPr>
        <w:pStyle w:val="4"/>
        <w:rPr>
          <w:rFonts w:hint="eastAsia" w:ascii="Times New Roman" w:hAnsi="Times New Roman" w:cs="宋体"/>
          <w:b/>
          <w:sz w:val="30"/>
        </w:rPr>
      </w:pPr>
      <w:r>
        <w:rPr>
          <w:rFonts w:hint="eastAsia" w:ascii="Times New Roman" w:hAnsi="Times New Roman" w:cs="宋体"/>
          <w:b/>
          <w:sz w:val="30"/>
        </w:rPr>
        <w:t>4.召开标准编制研讨会</w:t>
      </w:r>
    </w:p>
    <w:p w14:paraId="4488B249">
      <w:pPr>
        <w:ind w:firstLine="560"/>
        <w:rPr>
          <w:rFonts w:hint="eastAsia" w:ascii="Times New Roman" w:hAnsi="Times New Roman" w:cs="宋体"/>
          <w:sz w:val="28"/>
        </w:rPr>
      </w:pPr>
      <w:r>
        <w:rPr>
          <w:rFonts w:hint="eastAsia" w:ascii="Times New Roman" w:hAnsi="Times New Roman" w:cs="宋体"/>
          <w:sz w:val="28"/>
        </w:rPr>
        <w:t>在标准草案的基础上，在方圆标志认证集团有限公司的统筹安排下，标准起草组先后组织起草组召开2次标准编制专题研讨会，对标准草案框架及内容进行逐条研讨。会后，起草组对标准进行了深入研究和反复修改。同时，根据最新的标准编写规范GB/T1.1—2020对标准结构和语言表述进行修改完善，形成标准工作组讨论稿（包括标准文本和标准编制说明）。</w:t>
      </w:r>
    </w:p>
    <w:p w14:paraId="07282A09">
      <w:pPr>
        <w:pStyle w:val="2"/>
        <w:rPr>
          <w:rFonts w:ascii="Times New Roman" w:hAnsi="Times New Roman" w:eastAsia="仿宋"/>
          <w:sz w:val="30"/>
        </w:rPr>
      </w:pPr>
      <w:r>
        <w:rPr>
          <w:rFonts w:ascii="Times New Roman" w:hAnsi="Times New Roman" w:eastAsia="仿宋"/>
          <w:sz w:val="30"/>
        </w:rPr>
        <w:t>（三）制定标准的原则和依据，与现行法律法规、标准的关系</w:t>
      </w:r>
    </w:p>
    <w:p w14:paraId="2AE13DD0">
      <w:pPr>
        <w:pStyle w:val="4"/>
        <w:rPr>
          <w:rFonts w:hint="eastAsia" w:ascii="Times New Roman" w:hAnsi="Times New Roman" w:cs="宋体"/>
          <w:b/>
          <w:sz w:val="30"/>
        </w:rPr>
      </w:pPr>
      <w:r>
        <w:rPr>
          <w:rFonts w:hint="eastAsia" w:ascii="Times New Roman" w:hAnsi="Times New Roman" w:cs="宋体"/>
          <w:b/>
          <w:sz w:val="30"/>
        </w:rPr>
        <w:t>1.制定标准的原则</w:t>
      </w:r>
    </w:p>
    <w:p w14:paraId="663880A2">
      <w:pPr>
        <w:ind w:firstLine="560"/>
        <w:rPr>
          <w:rFonts w:hint="eastAsia" w:ascii="Times New Roman" w:hAnsi="Times New Roman" w:cs="宋体"/>
          <w:sz w:val="28"/>
        </w:rPr>
      </w:pPr>
      <w:r>
        <w:rPr>
          <w:rFonts w:hint="eastAsia" w:ascii="Times New Roman" w:hAnsi="Times New Roman" w:cs="宋体"/>
          <w:sz w:val="28"/>
        </w:rPr>
        <w:t>本标准在制定工作中本着先进性、科学性、合理性和可操作性以及标准的目标性、统一性、协调性、适用性、一致性和规范性的原则，符合GB/T1.1—2020《标准化工作导则第1部分：标准化文件的结构和起草规则》的编写要求。</w:t>
      </w:r>
    </w:p>
    <w:p w14:paraId="1EFA8BDC">
      <w:pPr>
        <w:ind w:firstLine="560"/>
        <w:rPr>
          <w:rFonts w:hint="eastAsia" w:ascii="Times New Roman" w:hAnsi="Times New Roman" w:cs="宋体"/>
          <w:sz w:val="28"/>
        </w:rPr>
      </w:pPr>
      <w:r>
        <w:rPr>
          <w:rFonts w:hint="eastAsia" w:ascii="Times New Roman" w:hAnsi="Times New Roman" w:cs="宋体"/>
          <w:sz w:val="28"/>
        </w:rPr>
        <w:t>在确定标准主要内容时，以相关法律法规、政策文件、国家行业标准为主要依据，充分考虑各项内容要求的可行性，同时考虑必要的前瞻性，使标准具有较强的先进性和指导性。</w:t>
      </w:r>
    </w:p>
    <w:p w14:paraId="0CD442FA">
      <w:pPr>
        <w:pStyle w:val="4"/>
        <w:rPr>
          <w:rFonts w:hint="eastAsia" w:ascii="Times New Roman" w:hAnsi="Times New Roman" w:cs="宋体"/>
          <w:b/>
          <w:sz w:val="30"/>
        </w:rPr>
      </w:pPr>
      <w:r>
        <w:rPr>
          <w:rFonts w:hint="eastAsia" w:ascii="Times New Roman" w:hAnsi="Times New Roman" w:cs="宋体"/>
          <w:b/>
          <w:sz w:val="30"/>
        </w:rPr>
        <w:t>2.制定标准的依据</w:t>
      </w:r>
    </w:p>
    <w:p w14:paraId="23A1EB50">
      <w:pPr>
        <w:ind w:firstLine="560"/>
        <w:rPr>
          <w:rFonts w:hint="eastAsia" w:ascii="Times New Roman" w:hAnsi="Times New Roman" w:cs="宋体"/>
          <w:sz w:val="28"/>
        </w:rPr>
      </w:pPr>
      <w:r>
        <w:rPr>
          <w:rFonts w:hint="eastAsia" w:ascii="Times New Roman" w:hAnsi="Times New Roman" w:cs="宋体"/>
          <w:sz w:val="28"/>
        </w:rPr>
        <w:t>本标准在编制过程中，重点引用和参考相关法律法规、中央及国家各部委的政策文件和发展规划、地方政策文件及相关技术性文件等，包括：</w:t>
      </w:r>
    </w:p>
    <w:p w14:paraId="2D40BA54">
      <w:pPr>
        <w:ind w:firstLine="560"/>
        <w:rPr>
          <w:rFonts w:hint="eastAsia" w:ascii="Times New Roman" w:hAnsi="Times New Roman" w:cs="宋体"/>
          <w:sz w:val="28"/>
        </w:rPr>
      </w:pPr>
      <w:r>
        <w:rPr>
          <w:rFonts w:hint="eastAsia" w:ascii="Times New Roman" w:hAnsi="Times New Roman" w:cs="宋体"/>
          <w:sz w:val="28"/>
        </w:rPr>
        <w:t>（1）GB/T317白砂糖</w:t>
      </w:r>
    </w:p>
    <w:p w14:paraId="2738E296">
      <w:pPr>
        <w:ind w:firstLine="560"/>
        <w:rPr>
          <w:rFonts w:hint="eastAsia" w:ascii="Times New Roman" w:hAnsi="Times New Roman" w:cs="宋体"/>
          <w:sz w:val="28"/>
        </w:rPr>
      </w:pPr>
      <w:r>
        <w:rPr>
          <w:rFonts w:hint="eastAsia" w:ascii="Times New Roman" w:hAnsi="Times New Roman" w:cs="宋体"/>
          <w:sz w:val="28"/>
        </w:rPr>
        <w:t>（2）GB/T1354大米</w:t>
      </w:r>
    </w:p>
    <w:p w14:paraId="4C596590">
      <w:pPr>
        <w:ind w:firstLine="560"/>
        <w:rPr>
          <w:rFonts w:hint="eastAsia" w:ascii="Times New Roman" w:hAnsi="Times New Roman" w:cs="宋体"/>
          <w:sz w:val="28"/>
        </w:rPr>
      </w:pPr>
      <w:r>
        <w:rPr>
          <w:rFonts w:hint="eastAsia" w:ascii="Times New Roman" w:hAnsi="Times New Roman" w:cs="宋体"/>
          <w:sz w:val="28"/>
        </w:rPr>
        <w:t>（3）GB2716食品安全国家标准植物油</w:t>
      </w:r>
    </w:p>
    <w:p w14:paraId="1C9A33AF">
      <w:pPr>
        <w:ind w:firstLine="560"/>
        <w:rPr>
          <w:rFonts w:hint="eastAsia" w:ascii="Times New Roman" w:hAnsi="Times New Roman" w:cs="宋体"/>
          <w:sz w:val="28"/>
        </w:rPr>
      </w:pPr>
      <w:r>
        <w:rPr>
          <w:rFonts w:hint="eastAsia" w:ascii="Times New Roman" w:hAnsi="Times New Roman" w:cs="宋体"/>
          <w:sz w:val="28"/>
        </w:rPr>
        <w:t>（4）GB2720食品安全国家标准味精</w:t>
      </w:r>
    </w:p>
    <w:p w14:paraId="62BD8967">
      <w:pPr>
        <w:ind w:firstLine="560"/>
        <w:rPr>
          <w:rFonts w:hint="eastAsia" w:ascii="Times New Roman" w:hAnsi="Times New Roman" w:cs="宋体"/>
          <w:sz w:val="28"/>
        </w:rPr>
      </w:pPr>
      <w:r>
        <w:rPr>
          <w:rFonts w:hint="eastAsia" w:ascii="Times New Roman" w:hAnsi="Times New Roman" w:cs="宋体"/>
          <w:sz w:val="28"/>
        </w:rPr>
        <w:t>（5）GB2721食品安全国家标准食用盐</w:t>
      </w:r>
    </w:p>
    <w:p w14:paraId="1C4D238A">
      <w:pPr>
        <w:ind w:firstLine="560"/>
        <w:rPr>
          <w:rFonts w:hint="eastAsia" w:ascii="Times New Roman" w:hAnsi="Times New Roman" w:cs="宋体"/>
          <w:sz w:val="28"/>
        </w:rPr>
      </w:pPr>
      <w:r>
        <w:rPr>
          <w:rFonts w:hint="eastAsia" w:ascii="Times New Roman" w:hAnsi="Times New Roman" w:cs="宋体"/>
          <w:sz w:val="28"/>
        </w:rPr>
        <w:t>（6）GB2758食品安全国家标准发酵酒及其配制酒</w:t>
      </w:r>
    </w:p>
    <w:p w14:paraId="565926EB">
      <w:pPr>
        <w:ind w:firstLine="560"/>
        <w:rPr>
          <w:rFonts w:hint="eastAsia" w:ascii="Times New Roman" w:hAnsi="Times New Roman" w:cs="宋体"/>
          <w:sz w:val="28"/>
        </w:rPr>
      </w:pPr>
      <w:r>
        <w:rPr>
          <w:rFonts w:hint="eastAsia" w:ascii="Times New Roman" w:hAnsi="Times New Roman" w:cs="宋体"/>
          <w:sz w:val="28"/>
        </w:rPr>
        <w:t>（7）GB4789.1食品安全国家标准食品微生物学检验总则</w:t>
      </w:r>
    </w:p>
    <w:p w14:paraId="3536F1A5">
      <w:pPr>
        <w:ind w:firstLine="560"/>
        <w:rPr>
          <w:rFonts w:hint="eastAsia" w:ascii="Times New Roman" w:hAnsi="Times New Roman" w:cs="宋体"/>
          <w:sz w:val="28"/>
        </w:rPr>
      </w:pPr>
      <w:r>
        <w:rPr>
          <w:rFonts w:hint="eastAsia" w:ascii="Times New Roman" w:hAnsi="Times New Roman" w:cs="宋体"/>
          <w:sz w:val="28"/>
        </w:rPr>
        <w:t>（8）GB4789.4食品安全国家标准食品微生物学检验沙门氏菌检验</w:t>
      </w:r>
    </w:p>
    <w:p w14:paraId="17E10C7A">
      <w:pPr>
        <w:ind w:firstLine="560"/>
        <w:rPr>
          <w:rFonts w:hint="eastAsia" w:ascii="Times New Roman" w:hAnsi="Times New Roman" w:cs="宋体"/>
          <w:sz w:val="28"/>
        </w:rPr>
      </w:pPr>
      <w:r>
        <w:rPr>
          <w:rFonts w:hint="eastAsia" w:ascii="Times New Roman" w:hAnsi="Times New Roman" w:cs="宋体"/>
          <w:sz w:val="28"/>
        </w:rPr>
        <w:t>（9）GB4789.10食品安全国家标准食品微生物学检验金黄色葡萄球菌检验</w:t>
      </w:r>
    </w:p>
    <w:p w14:paraId="2FA86D60">
      <w:pPr>
        <w:ind w:firstLine="560"/>
        <w:rPr>
          <w:rFonts w:hint="eastAsia" w:ascii="Times New Roman" w:hAnsi="Times New Roman" w:cs="宋体"/>
          <w:sz w:val="28"/>
        </w:rPr>
      </w:pPr>
      <w:r>
        <w:rPr>
          <w:rFonts w:hint="eastAsia" w:ascii="Times New Roman" w:hAnsi="Times New Roman" w:cs="宋体"/>
          <w:sz w:val="28"/>
        </w:rPr>
        <w:t>（10）GB4789.22食品安全国家标准食品微生物学检验调味品采样和检样处理</w:t>
      </w:r>
    </w:p>
    <w:p w14:paraId="6B78D988">
      <w:pPr>
        <w:ind w:firstLine="560"/>
        <w:rPr>
          <w:rFonts w:hint="eastAsia" w:ascii="Times New Roman" w:hAnsi="Times New Roman" w:cs="宋体"/>
          <w:sz w:val="28"/>
        </w:rPr>
      </w:pPr>
      <w:r>
        <w:rPr>
          <w:rFonts w:hint="eastAsia" w:ascii="Times New Roman" w:hAnsi="Times New Roman" w:cs="宋体"/>
          <w:sz w:val="28"/>
        </w:rPr>
        <w:t>（11）GB4806.5食品安全国家标准玻璃制品</w:t>
      </w:r>
    </w:p>
    <w:p w14:paraId="163E388F">
      <w:pPr>
        <w:ind w:firstLine="560"/>
        <w:rPr>
          <w:rFonts w:hint="eastAsia" w:ascii="Times New Roman" w:hAnsi="Times New Roman" w:cs="宋体"/>
          <w:sz w:val="28"/>
        </w:rPr>
      </w:pPr>
      <w:r>
        <w:rPr>
          <w:rFonts w:hint="eastAsia" w:ascii="Times New Roman" w:hAnsi="Times New Roman" w:cs="宋体"/>
          <w:sz w:val="28"/>
        </w:rPr>
        <w:t>（12）GB4806.7食品安全国家标准食品接触用塑料材料及制品</w:t>
      </w:r>
    </w:p>
    <w:p w14:paraId="6C0C8D0E">
      <w:pPr>
        <w:ind w:firstLine="560"/>
        <w:rPr>
          <w:rFonts w:hint="eastAsia" w:ascii="Times New Roman" w:hAnsi="Times New Roman" w:cs="宋体"/>
          <w:sz w:val="28"/>
        </w:rPr>
      </w:pPr>
      <w:r>
        <w:rPr>
          <w:rFonts w:hint="eastAsia" w:ascii="Times New Roman" w:hAnsi="Times New Roman" w:cs="宋体"/>
          <w:sz w:val="28"/>
        </w:rPr>
        <w:t>（13）GB5009.11食品安全国家标准食品中总砷及无机砷的测定</w:t>
      </w:r>
    </w:p>
    <w:p w14:paraId="388C3A63">
      <w:pPr>
        <w:ind w:firstLine="560"/>
        <w:rPr>
          <w:rFonts w:hint="eastAsia" w:ascii="Times New Roman" w:hAnsi="Times New Roman" w:cs="宋体"/>
          <w:sz w:val="28"/>
        </w:rPr>
      </w:pPr>
      <w:r>
        <w:rPr>
          <w:rFonts w:hint="eastAsia" w:ascii="Times New Roman" w:hAnsi="Times New Roman" w:cs="宋体"/>
          <w:sz w:val="28"/>
        </w:rPr>
        <w:t>（14）GB5009.12食品安全国家标准食品中铅的测定</w:t>
      </w:r>
    </w:p>
    <w:p w14:paraId="76A8BBCE">
      <w:pPr>
        <w:ind w:firstLine="560"/>
        <w:rPr>
          <w:rFonts w:hint="eastAsia" w:ascii="Times New Roman" w:hAnsi="Times New Roman" w:cs="宋体"/>
          <w:sz w:val="28"/>
        </w:rPr>
      </w:pPr>
      <w:r>
        <w:rPr>
          <w:rFonts w:hint="eastAsia" w:ascii="Times New Roman" w:hAnsi="Times New Roman" w:cs="宋体"/>
          <w:sz w:val="28"/>
        </w:rPr>
        <w:t>（15）GB5009.227食品安全国家标准食品中过氧化值的测定</w:t>
      </w:r>
    </w:p>
    <w:p w14:paraId="4239D7DB">
      <w:pPr>
        <w:ind w:firstLine="560"/>
        <w:rPr>
          <w:rFonts w:hint="eastAsia" w:ascii="Times New Roman" w:hAnsi="Times New Roman" w:cs="宋体"/>
          <w:sz w:val="28"/>
        </w:rPr>
      </w:pPr>
      <w:r>
        <w:rPr>
          <w:rFonts w:hint="eastAsia" w:ascii="Times New Roman" w:hAnsi="Times New Roman" w:cs="宋体"/>
          <w:sz w:val="28"/>
        </w:rPr>
        <w:t>（16）GB5009.229食品安全国家标准食品中酸价的测定</w:t>
      </w:r>
    </w:p>
    <w:p w14:paraId="401AB683">
      <w:pPr>
        <w:ind w:firstLine="560"/>
        <w:rPr>
          <w:rFonts w:hint="eastAsia" w:ascii="Times New Roman" w:hAnsi="Times New Roman" w:cs="宋体"/>
          <w:sz w:val="28"/>
        </w:rPr>
      </w:pPr>
      <w:r>
        <w:rPr>
          <w:rFonts w:hint="eastAsia" w:ascii="Times New Roman" w:hAnsi="Times New Roman" w:cs="宋体"/>
          <w:sz w:val="28"/>
        </w:rPr>
        <w:t>（17）GB5749生活饮用水卫生标准</w:t>
      </w:r>
    </w:p>
    <w:p w14:paraId="5BD8A424">
      <w:pPr>
        <w:ind w:firstLine="560"/>
        <w:rPr>
          <w:rFonts w:hint="eastAsia" w:ascii="Times New Roman" w:hAnsi="Times New Roman" w:cs="宋体"/>
          <w:sz w:val="28"/>
        </w:rPr>
      </w:pPr>
      <w:r>
        <w:rPr>
          <w:rFonts w:hint="eastAsia" w:ascii="Times New Roman" w:hAnsi="Times New Roman" w:cs="宋体"/>
          <w:sz w:val="28"/>
        </w:rPr>
        <w:t>（18）GB/T6543运输包装用单瓦楞纸箱和双瓦楞纸箱</w:t>
      </w:r>
    </w:p>
    <w:p w14:paraId="211DF024">
      <w:pPr>
        <w:ind w:firstLine="560"/>
        <w:rPr>
          <w:rFonts w:hint="eastAsia" w:ascii="Times New Roman" w:hAnsi="Times New Roman" w:cs="宋体"/>
          <w:sz w:val="28"/>
        </w:rPr>
      </w:pPr>
      <w:r>
        <w:rPr>
          <w:rFonts w:hint="eastAsia" w:ascii="Times New Roman" w:hAnsi="Times New Roman" w:cs="宋体"/>
          <w:sz w:val="28"/>
        </w:rPr>
        <w:t>（19）GB7718食品安全国家标准预包装食品标签通则</w:t>
      </w:r>
    </w:p>
    <w:p w14:paraId="1492609C">
      <w:pPr>
        <w:ind w:firstLine="560"/>
        <w:rPr>
          <w:rFonts w:hint="eastAsia" w:ascii="Times New Roman" w:hAnsi="Times New Roman" w:cs="宋体"/>
          <w:sz w:val="28"/>
        </w:rPr>
      </w:pPr>
      <w:r>
        <w:rPr>
          <w:rFonts w:hint="eastAsia" w:ascii="Times New Roman" w:hAnsi="Times New Roman" w:cs="宋体"/>
          <w:sz w:val="28"/>
        </w:rPr>
        <w:t>（20）GB12456食品中总酸的测定</w:t>
      </w:r>
    </w:p>
    <w:p w14:paraId="4E90F7BE">
      <w:pPr>
        <w:ind w:firstLine="560"/>
        <w:rPr>
          <w:rFonts w:hint="eastAsia" w:ascii="Times New Roman" w:hAnsi="Times New Roman" w:cs="宋体"/>
          <w:sz w:val="28"/>
        </w:rPr>
      </w:pPr>
      <w:r>
        <w:rPr>
          <w:rFonts w:hint="eastAsia" w:ascii="Times New Roman" w:hAnsi="Times New Roman" w:cs="宋体"/>
          <w:sz w:val="28"/>
        </w:rPr>
        <w:t>（21）GB14881食品安全国家标准食品生产通用卫生规范</w:t>
      </w:r>
    </w:p>
    <w:p w14:paraId="2A7D2145">
      <w:pPr>
        <w:ind w:firstLine="560"/>
        <w:rPr>
          <w:rFonts w:hint="eastAsia" w:ascii="Times New Roman" w:hAnsi="Times New Roman" w:cs="宋体"/>
          <w:sz w:val="28"/>
        </w:rPr>
      </w:pPr>
      <w:r>
        <w:rPr>
          <w:rFonts w:hint="eastAsia" w:ascii="Times New Roman" w:hAnsi="Times New Roman" w:cs="宋体"/>
          <w:sz w:val="28"/>
        </w:rPr>
        <w:t>（22）GB/T15691香辛料调味品通用技术条件</w:t>
      </w:r>
    </w:p>
    <w:p w14:paraId="1D722777">
      <w:pPr>
        <w:ind w:firstLine="560"/>
        <w:rPr>
          <w:rFonts w:hint="eastAsia" w:ascii="Times New Roman" w:hAnsi="Times New Roman" w:cs="宋体"/>
          <w:sz w:val="28"/>
        </w:rPr>
      </w:pPr>
      <w:r>
        <w:rPr>
          <w:rFonts w:hint="eastAsia" w:ascii="Times New Roman" w:hAnsi="Times New Roman" w:cs="宋体"/>
          <w:sz w:val="28"/>
        </w:rPr>
        <w:t>（23）GB23350限制商品过度包装要求食品和化妆品</w:t>
      </w:r>
    </w:p>
    <w:p w14:paraId="3F60BA13">
      <w:pPr>
        <w:ind w:firstLine="560"/>
        <w:rPr>
          <w:rFonts w:hint="eastAsia" w:ascii="Times New Roman" w:hAnsi="Times New Roman" w:cs="宋体"/>
          <w:sz w:val="28"/>
        </w:rPr>
      </w:pPr>
      <w:r>
        <w:rPr>
          <w:rFonts w:hint="eastAsia" w:ascii="Times New Roman" w:hAnsi="Times New Roman" w:cs="宋体"/>
          <w:sz w:val="28"/>
        </w:rPr>
        <w:t>（24）GB28050食品安全国家标准预包装食品营养标签通则</w:t>
      </w:r>
    </w:p>
    <w:p w14:paraId="7CCF4D6E">
      <w:pPr>
        <w:ind w:firstLine="560"/>
        <w:rPr>
          <w:rFonts w:hint="eastAsia" w:ascii="Times New Roman" w:hAnsi="Times New Roman" w:cs="宋体"/>
          <w:sz w:val="28"/>
        </w:rPr>
      </w:pPr>
      <w:r>
        <w:rPr>
          <w:rFonts w:hint="eastAsia" w:ascii="Times New Roman" w:hAnsi="Times New Roman" w:cs="宋体"/>
          <w:sz w:val="28"/>
        </w:rPr>
        <w:t>（25）GB/T30382辣椒（整的或粉状）</w:t>
      </w:r>
    </w:p>
    <w:p w14:paraId="37DA6FB2">
      <w:pPr>
        <w:ind w:firstLine="560"/>
        <w:rPr>
          <w:rFonts w:hint="eastAsia" w:ascii="Times New Roman" w:hAnsi="Times New Roman" w:cs="宋体"/>
          <w:sz w:val="28"/>
        </w:rPr>
      </w:pPr>
      <w:r>
        <w:rPr>
          <w:rFonts w:hint="eastAsia" w:ascii="Times New Roman" w:hAnsi="Times New Roman" w:cs="宋体"/>
          <w:sz w:val="28"/>
        </w:rPr>
        <w:t>（26）GB/T45244大蒜等级规格</w:t>
      </w:r>
    </w:p>
    <w:p w14:paraId="51FBC785">
      <w:pPr>
        <w:ind w:firstLine="560"/>
        <w:rPr>
          <w:rFonts w:hint="eastAsia" w:ascii="Times New Roman" w:hAnsi="Times New Roman" w:cs="宋体"/>
          <w:sz w:val="28"/>
        </w:rPr>
      </w:pPr>
      <w:r>
        <w:rPr>
          <w:rFonts w:hint="eastAsia" w:ascii="Times New Roman" w:hAnsi="Times New Roman" w:cs="宋体"/>
          <w:sz w:val="28"/>
        </w:rPr>
        <w:t>（27）GB/T45352鸡精调味料质量通则</w:t>
      </w:r>
    </w:p>
    <w:p w14:paraId="43221A93">
      <w:pPr>
        <w:ind w:firstLine="560"/>
        <w:rPr>
          <w:rFonts w:hint="eastAsia" w:ascii="Times New Roman" w:hAnsi="Times New Roman" w:cs="宋体"/>
          <w:sz w:val="28"/>
        </w:rPr>
      </w:pPr>
      <w:r>
        <w:rPr>
          <w:rFonts w:hint="eastAsia" w:ascii="Times New Roman" w:hAnsi="Times New Roman" w:cs="宋体"/>
          <w:sz w:val="28"/>
        </w:rPr>
        <w:t>（28）NY/T1071洋葱</w:t>
      </w:r>
    </w:p>
    <w:p w14:paraId="0E624A67">
      <w:pPr>
        <w:ind w:firstLine="560"/>
        <w:rPr>
          <w:rFonts w:hint="eastAsia" w:ascii="Times New Roman" w:hAnsi="Times New Roman" w:cs="宋体"/>
          <w:sz w:val="28"/>
        </w:rPr>
      </w:pPr>
      <w:r>
        <w:rPr>
          <w:rFonts w:hint="eastAsia" w:ascii="Times New Roman" w:hAnsi="Times New Roman" w:cs="宋体"/>
          <w:sz w:val="28"/>
        </w:rPr>
        <w:t>（29）NY/T1193姜</w:t>
      </w:r>
    </w:p>
    <w:p w14:paraId="6BCD1274">
      <w:pPr>
        <w:ind w:firstLine="560"/>
        <w:rPr>
          <w:rFonts w:hint="eastAsia" w:ascii="Times New Roman" w:hAnsi="Times New Roman" w:cs="宋体"/>
          <w:sz w:val="28"/>
        </w:rPr>
      </w:pPr>
      <w:r>
        <w:rPr>
          <w:rFonts w:hint="eastAsia" w:ascii="Times New Roman" w:hAnsi="Times New Roman" w:cs="宋体"/>
          <w:sz w:val="28"/>
        </w:rPr>
        <w:t>（30）JJF1070定量包装商品净含量计量检验规则</w:t>
      </w:r>
    </w:p>
    <w:p w14:paraId="3549DF75">
      <w:pPr>
        <w:ind w:firstLine="560"/>
        <w:rPr>
          <w:rFonts w:hint="eastAsia" w:ascii="Times New Roman" w:hAnsi="Times New Roman" w:cs="宋体"/>
          <w:sz w:val="28"/>
        </w:rPr>
      </w:pPr>
      <w:r>
        <w:rPr>
          <w:rFonts w:hint="eastAsia" w:ascii="Times New Roman" w:hAnsi="Times New Roman" w:cs="宋体"/>
          <w:sz w:val="28"/>
        </w:rPr>
        <w:t>（31）国家市场监督管理总局令第70号《定量包装商品计量监督管理办法》</w:t>
      </w:r>
    </w:p>
    <w:p w14:paraId="290F2B61">
      <w:pPr>
        <w:ind w:firstLine="560"/>
        <w:rPr>
          <w:rFonts w:hint="eastAsia" w:ascii="Times New Roman" w:hAnsi="Times New Roman" w:cs="宋体"/>
          <w:sz w:val="28"/>
        </w:rPr>
      </w:pPr>
      <w:r>
        <w:rPr>
          <w:rFonts w:hint="eastAsia" w:ascii="Times New Roman" w:hAnsi="Times New Roman" w:cs="宋体"/>
          <w:sz w:val="28"/>
        </w:rPr>
        <w:t>（32）国家市场监督管理总局令第100号《食品标识监督管理办法》</w:t>
      </w:r>
    </w:p>
    <w:p w14:paraId="7608D118">
      <w:pPr>
        <w:ind w:firstLine="560"/>
        <w:rPr>
          <w:rFonts w:hint="eastAsia" w:ascii="Times New Roman" w:hAnsi="Times New Roman" w:cs="宋体"/>
          <w:sz w:val="28"/>
        </w:rPr>
      </w:pPr>
      <w:r>
        <w:rPr>
          <w:rFonts w:hint="eastAsia" w:ascii="Times New Roman" w:hAnsi="Times New Roman" w:cs="宋体"/>
          <w:sz w:val="28"/>
        </w:rPr>
        <w:t>3.与有关的现行法律法规、标准的关系</w:t>
      </w:r>
    </w:p>
    <w:p w14:paraId="4B4A8219">
      <w:pPr>
        <w:ind w:firstLine="560"/>
        <w:rPr>
          <w:rFonts w:hint="eastAsia" w:ascii="Times New Roman" w:hAnsi="Times New Roman" w:cs="宋体"/>
          <w:sz w:val="28"/>
        </w:rPr>
      </w:pPr>
      <w:r>
        <w:rPr>
          <w:rFonts w:hint="eastAsia" w:ascii="Times New Roman" w:hAnsi="Times New Roman" w:cs="宋体"/>
          <w:sz w:val="28"/>
        </w:rPr>
        <w:t>本标准符合国家现行法律法规和强制性标准的要求，与国家标准、行业标准、地方标准协调一致，结合海南省实际规定，从可操作性、科学性细化标准内容。</w:t>
      </w:r>
    </w:p>
    <w:p w14:paraId="046DE701">
      <w:pPr>
        <w:pStyle w:val="2"/>
        <w:rPr>
          <w:rFonts w:ascii="Times New Roman" w:hAnsi="Times New Roman" w:eastAsia="仿宋"/>
          <w:sz w:val="30"/>
        </w:rPr>
      </w:pPr>
      <w:r>
        <w:rPr>
          <w:rFonts w:ascii="Times New Roman" w:hAnsi="Times New Roman" w:eastAsia="仿宋"/>
          <w:sz w:val="30"/>
        </w:rPr>
        <w:t>（四）主要条款的说明</w:t>
      </w:r>
    </w:p>
    <w:p w14:paraId="0743D6C0">
      <w:pPr>
        <w:pStyle w:val="4"/>
        <w:rPr>
          <w:rFonts w:hint="eastAsia" w:ascii="Times New Roman" w:hAnsi="Times New Roman" w:cs="宋体"/>
          <w:b/>
          <w:sz w:val="30"/>
        </w:rPr>
      </w:pPr>
      <w:r>
        <w:rPr>
          <w:rFonts w:hint="eastAsia" w:ascii="Times New Roman" w:hAnsi="Times New Roman" w:cs="宋体"/>
          <w:b/>
          <w:sz w:val="30"/>
        </w:rPr>
        <w:t>1.主要条款</w:t>
      </w:r>
    </w:p>
    <w:p w14:paraId="6946100B">
      <w:pPr>
        <w:ind w:firstLine="560"/>
        <w:rPr>
          <w:rFonts w:hint="eastAsia" w:ascii="Times New Roman" w:hAnsi="Times New Roman" w:cs="宋体"/>
          <w:sz w:val="28"/>
        </w:rPr>
      </w:pPr>
      <w:r>
        <w:rPr>
          <w:rFonts w:hint="eastAsia" w:ascii="Times New Roman" w:hAnsi="Times New Roman" w:cs="宋体"/>
          <w:sz w:val="28"/>
        </w:rPr>
        <w:t>（1）范围</w:t>
      </w:r>
    </w:p>
    <w:p w14:paraId="350EC980">
      <w:pPr>
        <w:ind w:firstLine="560"/>
        <w:rPr>
          <w:rFonts w:hint="eastAsia" w:ascii="Times New Roman" w:hAnsi="Times New Roman" w:cs="宋体"/>
          <w:sz w:val="28"/>
        </w:rPr>
      </w:pPr>
      <w:r>
        <w:rPr>
          <w:rFonts w:hint="eastAsia" w:ascii="Times New Roman" w:hAnsi="Times New Roman" w:cs="宋体"/>
          <w:sz w:val="28"/>
        </w:rPr>
        <w:t>明确文件核心内容：规定该品牌糟粕醋在术语和定义、要求（原辅材料、工艺、感官指标、理化指标、微生物含量等）、检验规则、标签标志、包装、运输与贮存、保质期7个方面的要求。划定适用对象：适用于海南省区域内该品牌糟粕醋产品的生产经营者，供其开展自我评价及第三方评价/认证。</w:t>
      </w:r>
    </w:p>
    <w:p w14:paraId="47816E43">
      <w:pPr>
        <w:ind w:firstLine="560"/>
        <w:rPr>
          <w:rFonts w:hint="eastAsia" w:ascii="Times New Roman" w:hAnsi="Times New Roman" w:cs="宋体"/>
          <w:sz w:val="28"/>
        </w:rPr>
      </w:pPr>
      <w:r>
        <w:rPr>
          <w:rFonts w:hint="eastAsia" w:ascii="Times New Roman" w:hAnsi="Times New Roman" w:cs="宋体"/>
          <w:sz w:val="28"/>
        </w:rPr>
        <w:t>（2）规范性引用文件</w:t>
      </w:r>
    </w:p>
    <w:p w14:paraId="4B6FCA5E">
      <w:pPr>
        <w:ind w:firstLine="560"/>
        <w:rPr>
          <w:rFonts w:hint="eastAsia" w:ascii="Times New Roman" w:hAnsi="Times New Roman" w:cs="宋体"/>
          <w:sz w:val="28"/>
        </w:rPr>
      </w:pPr>
      <w:r>
        <w:rPr>
          <w:rFonts w:hint="eastAsia" w:ascii="Times New Roman" w:hAnsi="Times New Roman" w:cs="宋体"/>
          <w:sz w:val="28"/>
        </w:rPr>
        <w:t>列出31项核心参考文件，涵盖原辅材料标准、食品安全标准、检验方法标准、包装运输标准及法规规章等领域。</w:t>
      </w:r>
    </w:p>
    <w:p w14:paraId="67ED1278">
      <w:pPr>
        <w:ind w:firstLine="560"/>
        <w:rPr>
          <w:rFonts w:hint="eastAsia" w:ascii="Times New Roman" w:hAnsi="Times New Roman" w:cs="宋体"/>
          <w:sz w:val="28"/>
        </w:rPr>
      </w:pPr>
      <w:r>
        <w:rPr>
          <w:rFonts w:hint="eastAsia" w:ascii="Times New Roman" w:hAnsi="Times New Roman" w:cs="宋体"/>
          <w:sz w:val="28"/>
        </w:rPr>
        <w:t>（3）术语和定义</w:t>
      </w:r>
    </w:p>
    <w:p w14:paraId="4C980FDF">
      <w:pPr>
        <w:ind w:firstLine="560"/>
        <w:rPr>
          <w:rFonts w:hint="eastAsia" w:ascii="Times New Roman" w:hAnsi="Times New Roman" w:cs="宋体"/>
          <w:sz w:val="28"/>
        </w:rPr>
      </w:pPr>
      <w:r>
        <w:rPr>
          <w:rFonts w:hint="eastAsia" w:ascii="Times New Roman" w:hAnsi="Times New Roman" w:cs="宋体"/>
          <w:sz w:val="28"/>
        </w:rPr>
        <w:t>界定5个核心术语，分别为糟粕醋、酒糟包、复合调料包、油辣椒包、蒜头油包。</w:t>
      </w:r>
    </w:p>
    <w:p w14:paraId="2D76DBA9">
      <w:pPr>
        <w:ind w:firstLine="560"/>
        <w:rPr>
          <w:rFonts w:hint="eastAsia" w:ascii="Times New Roman" w:hAnsi="Times New Roman" w:cs="宋体"/>
          <w:sz w:val="28"/>
        </w:rPr>
      </w:pPr>
      <w:r>
        <w:rPr>
          <w:rFonts w:hint="eastAsia" w:ascii="Times New Roman" w:hAnsi="Times New Roman" w:cs="宋体"/>
          <w:sz w:val="28"/>
        </w:rPr>
        <w:t>（4）要求</w:t>
      </w:r>
    </w:p>
    <w:p w14:paraId="43D5A767">
      <w:pPr>
        <w:ind w:firstLine="560"/>
        <w:rPr>
          <w:rFonts w:hint="eastAsia" w:ascii="Times New Roman" w:hAnsi="Times New Roman" w:cs="宋体"/>
          <w:sz w:val="28"/>
        </w:rPr>
      </w:pPr>
      <w:r>
        <w:rPr>
          <w:rFonts w:hint="eastAsia" w:ascii="Times New Roman" w:hAnsi="Times New Roman" w:cs="宋体"/>
          <w:sz w:val="28"/>
        </w:rPr>
        <w:t>这是文件的核心技术规范部分，从6个维度明确产品生产的硬性要求：</w:t>
      </w:r>
    </w:p>
    <w:p w14:paraId="7683FF6B">
      <w:pPr>
        <w:ind w:firstLine="560"/>
        <w:rPr>
          <w:rFonts w:hint="eastAsia" w:ascii="Times New Roman" w:hAnsi="Times New Roman" w:cs="宋体"/>
          <w:sz w:val="28"/>
        </w:rPr>
      </w:pPr>
      <w:r>
        <w:rPr>
          <w:rFonts w:hint="eastAsia" w:ascii="Times New Roman" w:hAnsi="Times New Roman" w:cs="宋体"/>
          <w:sz w:val="28"/>
        </w:rPr>
        <w:t>1）原辅材料与生产条件</w:t>
      </w:r>
    </w:p>
    <w:p w14:paraId="40EAA661">
      <w:pPr>
        <w:ind w:firstLine="560"/>
        <w:rPr>
          <w:rFonts w:hint="eastAsia" w:ascii="Times New Roman" w:hAnsi="Times New Roman" w:cs="宋体"/>
          <w:sz w:val="28"/>
        </w:rPr>
      </w:pPr>
      <w:r>
        <w:rPr>
          <w:rFonts w:hint="eastAsia" w:ascii="Times New Roman" w:hAnsi="Times New Roman" w:cs="宋体"/>
          <w:sz w:val="28"/>
        </w:rPr>
        <w:t>原料标准：14类原辅材料均需符合对应国标/行标，如大米符合GB/T1354、食盐符合GB2721、水符合GB5749、发酵菌种为批准使用的酿酒酵母等。</w:t>
      </w:r>
    </w:p>
    <w:p w14:paraId="04FDB07B">
      <w:pPr>
        <w:ind w:firstLine="560"/>
        <w:rPr>
          <w:rFonts w:hint="eastAsia" w:ascii="Times New Roman" w:hAnsi="Times New Roman" w:cs="宋体"/>
          <w:sz w:val="28"/>
        </w:rPr>
      </w:pPr>
      <w:r>
        <w:rPr>
          <w:rFonts w:hint="eastAsia" w:ascii="Times New Roman" w:hAnsi="Times New Roman" w:cs="宋体"/>
          <w:sz w:val="28"/>
        </w:rPr>
        <w:t>生产环境：厂区、厂房、设备、卫生等需符合GB14881。</w:t>
      </w:r>
    </w:p>
    <w:p w14:paraId="13681EFA">
      <w:pPr>
        <w:ind w:firstLine="560"/>
        <w:rPr>
          <w:rFonts w:hint="eastAsia" w:ascii="Times New Roman" w:hAnsi="Times New Roman" w:cs="宋体"/>
          <w:sz w:val="28"/>
        </w:rPr>
      </w:pPr>
      <w:r>
        <w:rPr>
          <w:rFonts w:hint="eastAsia" w:ascii="Times New Roman" w:hAnsi="Times New Roman" w:cs="宋体"/>
          <w:sz w:val="28"/>
        </w:rPr>
        <w:t>发酵容器：可选用陶瓷坛或不锈钢罐，使用前需用生石灰水或食品级消毒剂消毒。</w:t>
      </w:r>
    </w:p>
    <w:p w14:paraId="1C790A74">
      <w:pPr>
        <w:ind w:firstLine="560"/>
        <w:rPr>
          <w:rFonts w:hint="eastAsia" w:ascii="Times New Roman" w:hAnsi="Times New Roman" w:cs="宋体"/>
          <w:sz w:val="28"/>
        </w:rPr>
      </w:pPr>
      <w:r>
        <w:rPr>
          <w:rFonts w:hint="eastAsia" w:ascii="Times New Roman" w:hAnsi="Times New Roman" w:cs="宋体"/>
          <w:sz w:val="28"/>
        </w:rPr>
        <w:t>2）工艺流程及工艺要点</w:t>
      </w:r>
    </w:p>
    <w:p w14:paraId="6A92CF5E">
      <w:pPr>
        <w:ind w:firstLine="560"/>
        <w:rPr>
          <w:rFonts w:hint="eastAsia" w:ascii="Times New Roman" w:hAnsi="Times New Roman" w:cs="宋体"/>
          <w:sz w:val="28"/>
        </w:rPr>
      </w:pPr>
      <w:r>
        <w:rPr>
          <w:rFonts w:hint="eastAsia" w:ascii="Times New Roman" w:hAnsi="Times New Roman" w:cs="宋体"/>
          <w:sz w:val="28"/>
        </w:rPr>
        <w:t>核心流程：明确“选料→大米处理→发酵→过滤→调味→杀菌→包装”7个关键环节。</w:t>
      </w:r>
    </w:p>
    <w:p w14:paraId="76A97D44">
      <w:pPr>
        <w:ind w:firstLine="560"/>
        <w:rPr>
          <w:rFonts w:hint="eastAsia" w:ascii="Times New Roman" w:hAnsi="Times New Roman" w:cs="宋体"/>
          <w:sz w:val="28"/>
        </w:rPr>
      </w:pPr>
      <w:r>
        <w:rPr>
          <w:rFonts w:hint="eastAsia" w:ascii="Times New Roman" w:hAnsi="Times New Roman" w:cs="宋体"/>
          <w:sz w:val="28"/>
        </w:rPr>
        <w:t>3）感官要求</w:t>
      </w:r>
    </w:p>
    <w:p w14:paraId="5F3791F6">
      <w:pPr>
        <w:ind w:firstLine="560"/>
        <w:rPr>
          <w:rFonts w:hint="eastAsia" w:ascii="Times New Roman" w:hAnsi="Times New Roman" w:cs="宋体"/>
          <w:sz w:val="28"/>
        </w:rPr>
      </w:pPr>
      <w:r>
        <w:rPr>
          <w:rFonts w:hint="eastAsia" w:ascii="Times New Roman" w:hAnsi="Times New Roman" w:cs="宋体"/>
          <w:sz w:val="28"/>
        </w:rPr>
        <w:t>明确4项感官指标：色泽需符合产品应有色泽，性状为固液混合/半固态/固态（含油型久置有沉淀），气味滋味需有特有风味无异味，无正常视力可见外来杂质；同时规定了感官检验方法（自然光下观察、嗅味、品尝）。</w:t>
      </w:r>
    </w:p>
    <w:p w14:paraId="71E778BC">
      <w:pPr>
        <w:ind w:firstLine="560"/>
        <w:rPr>
          <w:rFonts w:hint="eastAsia" w:ascii="Times New Roman" w:hAnsi="Times New Roman" w:cs="宋体"/>
          <w:sz w:val="28"/>
        </w:rPr>
      </w:pPr>
      <w:r>
        <w:rPr>
          <w:rFonts w:hint="eastAsia" w:ascii="Times New Roman" w:hAnsi="Times New Roman" w:cs="宋体"/>
          <w:sz w:val="28"/>
        </w:rPr>
        <w:t>4）理化指标</w:t>
      </w:r>
    </w:p>
    <w:p w14:paraId="580FB37D">
      <w:pPr>
        <w:ind w:firstLine="560"/>
        <w:rPr>
          <w:rFonts w:hint="eastAsia" w:ascii="Times New Roman" w:hAnsi="Times New Roman" w:cs="宋体"/>
          <w:sz w:val="28"/>
        </w:rPr>
      </w:pPr>
      <w:r>
        <w:rPr>
          <w:rFonts w:hint="eastAsia" w:ascii="Times New Roman" w:hAnsi="Times New Roman" w:cs="宋体"/>
          <w:sz w:val="28"/>
        </w:rPr>
        <w:t>明确5项理化指标及检验方法：总酸（≥0.05g/100g）、酸价（≤3.0mg/g）、过氧化值（≤0.25g/100g）、铅（≤0.8mg/kg）、无机砷（≤0.1mg/kg）；注明需混合酒糟包及各类调料包后检验。</w:t>
      </w:r>
    </w:p>
    <w:p w14:paraId="6D65B187">
      <w:pPr>
        <w:ind w:firstLine="560"/>
        <w:rPr>
          <w:rFonts w:hint="eastAsia" w:ascii="Times New Roman" w:hAnsi="Times New Roman" w:cs="宋体"/>
          <w:sz w:val="28"/>
        </w:rPr>
      </w:pPr>
      <w:r>
        <w:rPr>
          <w:rFonts w:hint="eastAsia" w:ascii="Times New Roman" w:hAnsi="Times New Roman" w:cs="宋体"/>
          <w:sz w:val="28"/>
        </w:rPr>
        <w:t>5）微生物限量</w:t>
      </w:r>
    </w:p>
    <w:p w14:paraId="71587031">
      <w:pPr>
        <w:ind w:firstLine="560"/>
        <w:rPr>
          <w:rFonts w:hint="eastAsia" w:ascii="Times New Roman" w:hAnsi="Times New Roman" w:cs="宋体"/>
          <w:sz w:val="28"/>
        </w:rPr>
      </w:pPr>
      <w:r>
        <w:rPr>
          <w:rFonts w:hint="eastAsia" w:ascii="Times New Roman" w:hAnsi="Times New Roman" w:cs="宋体"/>
          <w:sz w:val="28"/>
        </w:rPr>
        <w:t>明确2项微生物指标及检验方法：沙门氏菌、金黄色葡萄球菌；规定样品处理与采集需符合GB4789.1和GB4789.22。</w:t>
      </w:r>
    </w:p>
    <w:p w14:paraId="68D4F438">
      <w:pPr>
        <w:ind w:firstLine="560"/>
        <w:rPr>
          <w:rFonts w:hint="eastAsia" w:ascii="Times New Roman" w:hAnsi="Times New Roman" w:cs="宋体"/>
          <w:sz w:val="28"/>
        </w:rPr>
      </w:pPr>
      <w:r>
        <w:rPr>
          <w:rFonts w:hint="eastAsia" w:ascii="Times New Roman" w:hAnsi="Times New Roman" w:cs="宋体"/>
          <w:sz w:val="28"/>
        </w:rPr>
        <w:t>6）净含量</w:t>
      </w:r>
    </w:p>
    <w:p w14:paraId="35355A8A">
      <w:pPr>
        <w:ind w:firstLine="560"/>
        <w:rPr>
          <w:rFonts w:hint="eastAsia" w:ascii="Times New Roman" w:hAnsi="Times New Roman" w:cs="宋体"/>
          <w:sz w:val="28"/>
        </w:rPr>
      </w:pPr>
      <w:r>
        <w:rPr>
          <w:rFonts w:hint="eastAsia" w:ascii="Times New Roman" w:hAnsi="Times New Roman" w:cs="宋体"/>
          <w:sz w:val="28"/>
        </w:rPr>
        <w:t>需符合《定量包装商品计量监督管理办法》，检验方法按JJF1070执行。</w:t>
      </w:r>
    </w:p>
    <w:p w14:paraId="281E8F59">
      <w:pPr>
        <w:ind w:firstLine="560"/>
        <w:rPr>
          <w:rFonts w:hint="eastAsia" w:ascii="Times New Roman" w:hAnsi="Times New Roman" w:cs="宋体"/>
          <w:sz w:val="28"/>
        </w:rPr>
      </w:pPr>
      <w:r>
        <w:rPr>
          <w:rFonts w:hint="eastAsia" w:ascii="Times New Roman" w:hAnsi="Times New Roman" w:cs="宋体"/>
          <w:sz w:val="28"/>
        </w:rPr>
        <w:t>（5）检验规则</w:t>
      </w:r>
    </w:p>
    <w:p w14:paraId="376E01AE">
      <w:pPr>
        <w:ind w:firstLine="560"/>
        <w:rPr>
          <w:rFonts w:hint="eastAsia" w:ascii="Times New Roman" w:hAnsi="Times New Roman" w:cs="宋体"/>
          <w:sz w:val="28"/>
        </w:rPr>
      </w:pPr>
      <w:r>
        <w:rPr>
          <w:rFonts w:hint="eastAsia" w:ascii="Times New Roman" w:hAnsi="Times New Roman" w:cs="宋体"/>
          <w:sz w:val="28"/>
        </w:rPr>
        <w:t>组批：以同一次调配、同一生产日期、同一班次的包装完好产品为一批。</w:t>
      </w:r>
    </w:p>
    <w:p w14:paraId="12433A78">
      <w:pPr>
        <w:ind w:firstLine="560"/>
        <w:rPr>
          <w:rFonts w:hint="eastAsia" w:ascii="Times New Roman" w:hAnsi="Times New Roman" w:cs="宋体"/>
          <w:sz w:val="28"/>
        </w:rPr>
      </w:pPr>
      <w:r>
        <w:rPr>
          <w:rFonts w:hint="eastAsia" w:ascii="Times New Roman" w:hAnsi="Times New Roman" w:cs="宋体"/>
          <w:sz w:val="28"/>
        </w:rPr>
        <w:t>抽样：按包装件数1‰随机抽样（不足1千件按1千件计），每批不少于10个独立包装，分别用于感官理化检验（3个）、微生物检验（5个）、留样（2个）及净含量检验（按需抽取）。</w:t>
      </w:r>
    </w:p>
    <w:p w14:paraId="3826C14C">
      <w:pPr>
        <w:ind w:firstLine="560"/>
        <w:rPr>
          <w:rFonts w:hint="eastAsia" w:ascii="Times New Roman" w:hAnsi="Times New Roman" w:cs="宋体"/>
          <w:sz w:val="28"/>
        </w:rPr>
      </w:pPr>
      <w:r>
        <w:rPr>
          <w:rFonts w:hint="eastAsia" w:ascii="Times New Roman" w:hAnsi="Times New Roman" w:cs="宋体"/>
          <w:sz w:val="28"/>
        </w:rPr>
        <w:t>出厂检验：生产厂需自检，合格后方可出厂，检验项目包括感官、总酸、酸价、过氧化值、净含量。</w:t>
      </w:r>
    </w:p>
    <w:p w14:paraId="41D240D3">
      <w:pPr>
        <w:ind w:firstLine="560"/>
        <w:rPr>
          <w:rFonts w:hint="eastAsia" w:ascii="Times New Roman" w:hAnsi="Times New Roman" w:cs="宋体"/>
          <w:sz w:val="28"/>
        </w:rPr>
      </w:pPr>
      <w:r>
        <w:rPr>
          <w:rFonts w:hint="eastAsia" w:ascii="Times New Roman" w:hAnsi="Times New Roman" w:cs="宋体"/>
          <w:sz w:val="28"/>
        </w:rPr>
        <w:t>型式检验：每年1次全项目检验，特殊情况（如投产、原料工艺变更、停产6个月以上等）需额外进行，检验项目覆盖所有技术要求。</w:t>
      </w:r>
    </w:p>
    <w:p w14:paraId="7474B363">
      <w:pPr>
        <w:ind w:firstLine="560"/>
        <w:rPr>
          <w:rFonts w:hint="eastAsia" w:ascii="Times New Roman" w:hAnsi="Times New Roman" w:cs="宋体"/>
          <w:sz w:val="28"/>
        </w:rPr>
      </w:pPr>
      <w:r>
        <w:rPr>
          <w:rFonts w:hint="eastAsia" w:ascii="Times New Roman" w:hAnsi="Times New Roman" w:cs="宋体"/>
          <w:sz w:val="28"/>
        </w:rPr>
        <w:t>判定规则：微生物指标不合格则整批不合格且不复检；其他指标不合格可双倍抽样复检，复检仍不合格则整批不合格。</w:t>
      </w:r>
    </w:p>
    <w:p w14:paraId="0E2B5870">
      <w:pPr>
        <w:ind w:firstLine="560"/>
        <w:rPr>
          <w:rFonts w:hint="eastAsia" w:ascii="Times New Roman" w:hAnsi="Times New Roman" w:cs="宋体"/>
          <w:sz w:val="28"/>
        </w:rPr>
      </w:pPr>
      <w:r>
        <w:rPr>
          <w:rFonts w:hint="eastAsia" w:ascii="Times New Roman" w:hAnsi="Times New Roman" w:cs="宋体"/>
          <w:sz w:val="28"/>
        </w:rPr>
        <w:t>（6）标签、标志、包装、运输与贮存</w:t>
      </w:r>
    </w:p>
    <w:p w14:paraId="2FEC77D6">
      <w:pPr>
        <w:ind w:firstLine="560"/>
        <w:rPr>
          <w:rFonts w:hint="eastAsia" w:ascii="Times New Roman" w:hAnsi="Times New Roman" w:cs="宋体"/>
          <w:sz w:val="28"/>
        </w:rPr>
      </w:pPr>
      <w:r>
        <w:rPr>
          <w:rFonts w:hint="eastAsia" w:ascii="Times New Roman" w:hAnsi="Times New Roman" w:cs="宋体"/>
          <w:sz w:val="28"/>
        </w:rPr>
        <w:t>标签标志：需符合GB7718、GB28050、GB2758，运输包装储运标志符合GB/T191。</w:t>
      </w:r>
    </w:p>
    <w:p w14:paraId="1DBE1A98">
      <w:pPr>
        <w:ind w:firstLine="560"/>
        <w:rPr>
          <w:rFonts w:hint="eastAsia" w:ascii="Times New Roman" w:hAnsi="Times New Roman" w:cs="宋体"/>
          <w:sz w:val="28"/>
        </w:rPr>
      </w:pPr>
      <w:r>
        <w:rPr>
          <w:rFonts w:hint="eastAsia" w:ascii="Times New Roman" w:hAnsi="Times New Roman" w:cs="宋体"/>
          <w:sz w:val="28"/>
        </w:rPr>
        <w:t>包装：内包装材料需符合GB4806.5、GB4806.7或其他食品级标准，销售包装符合GB23350，外包装瓦楞纸箱符合GB/T6543。</w:t>
      </w:r>
    </w:p>
    <w:p w14:paraId="210F087F">
      <w:pPr>
        <w:ind w:firstLine="560"/>
        <w:rPr>
          <w:rFonts w:hint="eastAsia" w:ascii="Times New Roman" w:hAnsi="Times New Roman" w:cs="宋体"/>
          <w:sz w:val="28"/>
        </w:rPr>
      </w:pPr>
      <w:r>
        <w:rPr>
          <w:rFonts w:hint="eastAsia" w:ascii="Times New Roman" w:hAnsi="Times New Roman" w:cs="宋体"/>
          <w:sz w:val="28"/>
        </w:rPr>
        <w:t>运输：运输工具需清洁干燥无异味，防雨防潮防曝晒，轻装轻卸，不与有毒有害有异味物品混装混运。</w:t>
      </w:r>
    </w:p>
    <w:p w14:paraId="79A0EBF7">
      <w:pPr>
        <w:ind w:firstLine="560"/>
        <w:rPr>
          <w:rFonts w:hint="eastAsia" w:ascii="Times New Roman" w:hAnsi="Times New Roman" w:cs="宋体"/>
          <w:sz w:val="28"/>
        </w:rPr>
      </w:pPr>
      <w:r>
        <w:rPr>
          <w:rFonts w:hint="eastAsia" w:ascii="Times New Roman" w:hAnsi="Times New Roman" w:cs="宋体"/>
          <w:sz w:val="28"/>
        </w:rPr>
        <w:t>贮存：需存入清洁干燥防潮无异味的专用仓库，仓库周围无异味污染，不与有毒有害易腐蚀物品同库储存。</w:t>
      </w:r>
    </w:p>
    <w:p w14:paraId="154855A5">
      <w:pPr>
        <w:ind w:firstLine="560"/>
        <w:rPr>
          <w:rFonts w:hint="eastAsia" w:ascii="Times New Roman" w:hAnsi="Times New Roman" w:cs="宋体"/>
          <w:sz w:val="28"/>
        </w:rPr>
      </w:pPr>
      <w:r>
        <w:rPr>
          <w:rFonts w:hint="eastAsia" w:ascii="Times New Roman" w:hAnsi="Times New Roman" w:cs="宋体"/>
          <w:sz w:val="28"/>
        </w:rPr>
        <w:t>（7）保质期</w:t>
      </w:r>
    </w:p>
    <w:p w14:paraId="0478D067">
      <w:pPr>
        <w:ind w:firstLine="560"/>
        <w:rPr>
          <w:rFonts w:hint="eastAsia" w:ascii="Times New Roman" w:hAnsi="Times New Roman" w:cs="宋体"/>
          <w:sz w:val="28"/>
        </w:rPr>
      </w:pPr>
      <w:r>
        <w:rPr>
          <w:rFonts w:hint="eastAsia" w:ascii="Times New Roman" w:hAnsi="Times New Roman" w:cs="宋体"/>
          <w:sz w:val="28"/>
        </w:rPr>
        <w:t>在符合本标准包装、运输、贮存要求的前提下，产品保质期按标签标示执行。</w:t>
      </w:r>
    </w:p>
    <w:p w14:paraId="66C8DF26">
      <w:pPr>
        <w:pStyle w:val="2"/>
        <w:rPr>
          <w:rFonts w:ascii="Times New Roman" w:hAnsi="Times New Roman" w:eastAsia="仿宋"/>
          <w:sz w:val="30"/>
        </w:rPr>
      </w:pPr>
      <w:r>
        <w:rPr>
          <w:rFonts w:ascii="Times New Roman" w:hAnsi="Times New Roman" w:eastAsia="仿宋"/>
          <w:sz w:val="30"/>
        </w:rPr>
        <w:t>（五）</w:t>
      </w:r>
      <w:r>
        <w:rPr>
          <w:rFonts w:hint="eastAsia" w:ascii="Times New Roman" w:hAnsi="Times New Roman" w:eastAsia="仿宋"/>
          <w:sz w:val="30"/>
        </w:rPr>
        <w:t>涉及专利的有关说明</w:t>
      </w:r>
    </w:p>
    <w:p w14:paraId="43259E61">
      <w:pPr>
        <w:ind w:firstLine="560"/>
        <w:rPr>
          <w:rFonts w:hint="eastAsia" w:ascii="Times New Roman" w:hAnsi="Times New Roman" w:cs="宋体"/>
          <w:sz w:val="28"/>
        </w:rPr>
      </w:pPr>
      <w:r>
        <w:rPr>
          <w:rFonts w:hint="eastAsia" w:ascii="Times New Roman" w:hAnsi="Times New Roman" w:cs="宋体"/>
          <w:sz w:val="28"/>
        </w:rPr>
        <w:t>无。</w:t>
      </w:r>
    </w:p>
    <w:p w14:paraId="1539C675">
      <w:pPr>
        <w:pStyle w:val="2"/>
        <w:rPr>
          <w:rFonts w:ascii="Times New Roman" w:hAnsi="Times New Roman" w:eastAsia="仿宋"/>
          <w:sz w:val="30"/>
        </w:rPr>
      </w:pPr>
      <w:r>
        <w:rPr>
          <w:rFonts w:ascii="Times New Roman" w:hAnsi="Times New Roman" w:eastAsia="仿宋"/>
          <w:sz w:val="30"/>
        </w:rPr>
        <w:t>（六）</w:t>
      </w:r>
      <w:r>
        <w:rPr>
          <w:rFonts w:hint="eastAsia" w:ascii="Times New Roman" w:hAnsi="Times New Roman" w:eastAsia="仿宋"/>
          <w:sz w:val="30"/>
        </w:rPr>
        <w:t>与现行法律法规、标准的关系</w:t>
      </w:r>
    </w:p>
    <w:p w14:paraId="58EB122F">
      <w:pPr>
        <w:ind w:firstLine="560"/>
        <w:rPr>
          <w:rFonts w:hint="eastAsia" w:ascii="Times New Roman" w:hAnsi="Times New Roman" w:cs="宋体"/>
          <w:sz w:val="28"/>
        </w:rPr>
      </w:pPr>
      <w:r>
        <w:rPr>
          <w:rFonts w:hint="eastAsia" w:ascii="Times New Roman" w:hAnsi="Times New Roman" w:cs="宋体"/>
          <w:sz w:val="28"/>
        </w:rPr>
        <w:t>拟制定的《海南消费领域区域公共品牌特色产品技术规范糟粕醋》为首次制定，符合我国目前法律、法规和强制性国家标准的规定，与有关法律、法规和国家标准、行业标准相协调，没有矛盾。</w:t>
      </w:r>
    </w:p>
    <w:p w14:paraId="4D2586AA">
      <w:pPr>
        <w:pStyle w:val="2"/>
        <w:rPr>
          <w:rFonts w:ascii="Times New Roman" w:hAnsi="Times New Roman" w:eastAsia="仿宋"/>
          <w:sz w:val="30"/>
        </w:rPr>
      </w:pPr>
      <w:r>
        <w:rPr>
          <w:rFonts w:ascii="Times New Roman" w:hAnsi="Times New Roman" w:eastAsia="仿宋"/>
          <w:sz w:val="30"/>
        </w:rPr>
        <w:t>（七）重大分歧意见的处理依据和结果</w:t>
      </w:r>
    </w:p>
    <w:p w14:paraId="33AC0FAF">
      <w:pPr>
        <w:ind w:firstLine="560"/>
        <w:rPr>
          <w:rFonts w:hint="eastAsia" w:ascii="Times New Roman" w:hAnsi="Times New Roman" w:cs="宋体"/>
          <w:sz w:val="28"/>
        </w:rPr>
      </w:pPr>
      <w:r>
        <w:rPr>
          <w:rFonts w:hint="eastAsia" w:ascii="Times New Roman" w:hAnsi="Times New Roman" w:cs="宋体"/>
          <w:sz w:val="28"/>
        </w:rPr>
        <w:t>无。</w:t>
      </w:r>
    </w:p>
    <w:p w14:paraId="6AE283F0">
      <w:pPr>
        <w:pStyle w:val="2"/>
        <w:rPr>
          <w:rFonts w:ascii="Times New Roman" w:hAnsi="Times New Roman" w:eastAsia="仿宋"/>
          <w:sz w:val="30"/>
        </w:rPr>
      </w:pPr>
      <w:r>
        <w:rPr>
          <w:rFonts w:ascii="Times New Roman" w:hAnsi="Times New Roman" w:eastAsia="仿宋"/>
          <w:sz w:val="30"/>
        </w:rPr>
        <w:t>（八）贯彻标准的要求和措施建议（包括组织措施、技术措施、过渡办法、实施日期等）</w:t>
      </w:r>
    </w:p>
    <w:p w14:paraId="48827D83">
      <w:pPr>
        <w:pStyle w:val="4"/>
        <w:rPr>
          <w:rFonts w:hint="eastAsia" w:ascii="Times New Roman" w:hAnsi="Times New Roman" w:cs="宋体"/>
          <w:b/>
          <w:sz w:val="30"/>
        </w:rPr>
      </w:pPr>
      <w:r>
        <w:rPr>
          <w:rFonts w:hint="eastAsia" w:ascii="Times New Roman" w:hAnsi="Times New Roman" w:cs="宋体"/>
          <w:b/>
          <w:sz w:val="30"/>
        </w:rPr>
        <w:t>1.贯彻标准的要求</w:t>
      </w:r>
    </w:p>
    <w:p w14:paraId="5115F669">
      <w:pPr>
        <w:ind w:firstLine="560"/>
        <w:rPr>
          <w:rFonts w:hint="eastAsia" w:ascii="Times New Roman" w:hAnsi="Times New Roman" w:cs="宋体"/>
          <w:sz w:val="28"/>
        </w:rPr>
      </w:pPr>
      <w:r>
        <w:rPr>
          <w:rFonts w:hint="eastAsia" w:ascii="Times New Roman" w:hAnsi="Times New Roman" w:cs="宋体"/>
          <w:sz w:val="28"/>
        </w:rPr>
        <w:t>加强宣传培训：相关部门应组织开展本规范的宣传培训工作，通过举办培训班、研讨会、发放宣传资料等形式，向海南区域内的糟粕醋生产企业、监管部门和消费者宣传本规范的内容和要求。提高企业和监管人员对规范的认识和理解，增强企业执行规范的自觉性和主动性，引导消费者正确选择海南消费领域区域公共品牌。</w:t>
      </w:r>
    </w:p>
    <w:p w14:paraId="529B0298">
      <w:pPr>
        <w:pStyle w:val="4"/>
        <w:rPr>
          <w:rFonts w:hint="eastAsia" w:ascii="Times New Roman" w:hAnsi="Times New Roman" w:cs="宋体"/>
          <w:b/>
          <w:sz w:val="30"/>
        </w:rPr>
      </w:pPr>
      <w:r>
        <w:rPr>
          <w:rFonts w:hint="eastAsia" w:ascii="Times New Roman" w:hAnsi="Times New Roman" w:cs="宋体"/>
          <w:b/>
          <w:sz w:val="30"/>
        </w:rPr>
        <w:t>2.措施建议</w:t>
      </w:r>
    </w:p>
    <w:p w14:paraId="1FBF6301">
      <w:pPr>
        <w:ind w:firstLine="560"/>
        <w:rPr>
          <w:rFonts w:hint="eastAsia" w:ascii="Times New Roman" w:hAnsi="Times New Roman" w:cs="宋体"/>
          <w:sz w:val="28"/>
        </w:rPr>
      </w:pPr>
      <w:r>
        <w:rPr>
          <w:rFonts w:hint="eastAsia" w:ascii="Times New Roman" w:hAnsi="Times New Roman" w:cs="宋体"/>
          <w:sz w:val="28"/>
        </w:rPr>
        <w:t>强化监督管理：监管部门应加强对海南消费领域区域公共品牌糟粕醋生产企业的监督管理，将本规范的执行情况纳入日常监管范围。定期对企业进行检查和抽检，对违反规范要求的企业依法进行处理，确保规范的有效实施。同时，建立健全投诉举报机制，鼓励消费者对不符合规范要求的糟粕醋生产和企业进行举报。</w:t>
      </w:r>
    </w:p>
    <w:p w14:paraId="0EEC8673">
      <w:pPr>
        <w:ind w:firstLine="560"/>
        <w:rPr>
          <w:rFonts w:hint="eastAsia" w:ascii="Times New Roman" w:hAnsi="Times New Roman" w:cs="宋体"/>
          <w:sz w:val="28"/>
        </w:rPr>
      </w:pPr>
      <w:r>
        <w:rPr>
          <w:rFonts w:hint="eastAsia" w:ascii="Times New Roman" w:hAnsi="Times New Roman" w:cs="宋体"/>
          <w:sz w:val="28"/>
        </w:rPr>
        <w:t>政策支持：政府应出台相关政策，对积极执行本规范的企业给予支持和鼓励。例如，给予财政补贴、税收优惠、项目扶持等，引导企业加大在技术创新、设备更新、质量控制等方面的投入，提高企业的生产水平和竞争力。同时，支持企业开展品牌建设和市场推广活动，提高海南消费领域区域公共品牌糟粕醋的市场知名度和美誉度。</w:t>
      </w:r>
    </w:p>
    <w:p w14:paraId="22EEB1C9">
      <w:pPr>
        <w:pStyle w:val="2"/>
        <w:rPr>
          <w:rFonts w:ascii="Times New Roman" w:hAnsi="Times New Roman" w:eastAsia="仿宋"/>
          <w:sz w:val="30"/>
        </w:rPr>
      </w:pPr>
      <w:r>
        <w:rPr>
          <w:rFonts w:ascii="Times New Roman" w:hAnsi="Times New Roman" w:eastAsia="仿宋"/>
          <w:sz w:val="30"/>
        </w:rPr>
        <w:t>（九）预期效果</w:t>
      </w:r>
    </w:p>
    <w:p w14:paraId="0B879E3F">
      <w:pPr>
        <w:pStyle w:val="4"/>
        <w:rPr>
          <w:rFonts w:hint="eastAsia" w:ascii="Times New Roman" w:hAnsi="Times New Roman" w:cs="宋体"/>
          <w:b/>
          <w:sz w:val="30"/>
        </w:rPr>
      </w:pPr>
      <w:r>
        <w:rPr>
          <w:rFonts w:hint="eastAsia" w:ascii="Times New Roman" w:hAnsi="Times New Roman" w:cs="宋体"/>
          <w:b/>
          <w:sz w:val="30"/>
        </w:rPr>
        <w:t>1.经济效益：提升产品价值，激活特色产业竞争力</w:t>
      </w:r>
    </w:p>
    <w:p w14:paraId="6CCE9FDD">
      <w:pPr>
        <w:ind w:firstLine="560"/>
        <w:rPr>
          <w:rFonts w:hint="eastAsia" w:ascii="Times New Roman" w:hAnsi="Times New Roman" w:cs="宋体"/>
          <w:sz w:val="28"/>
        </w:rPr>
      </w:pPr>
      <w:r>
        <w:rPr>
          <w:rFonts w:hint="eastAsia" w:ascii="Times New Roman" w:hAnsi="Times New Roman" w:cs="宋体"/>
          <w:sz w:val="28"/>
        </w:rPr>
        <w:t>对生产主体：统一的品牌标准为糟粕醋赋予“标准化、高品质”标签，帮助产品跳出“小作坊式低价竞争”，进入商超、高端电商、文旅伴手礼等中高端市场，直接提高产品售价与利润率；同时，标准化的原料采购（如大米、辣椒合规）、工艺控制（如发酵时间、杀菌流程）能减少原料浪费、降低不合格品率（如避免微生物超标导致的报废），压缩生产损耗成本，进一步提升盈利空间。</w:t>
      </w:r>
    </w:p>
    <w:p w14:paraId="4DD7DE57">
      <w:pPr>
        <w:ind w:firstLine="560"/>
        <w:rPr>
          <w:rFonts w:hint="eastAsia" w:ascii="Times New Roman" w:hAnsi="Times New Roman" w:cs="宋体"/>
          <w:sz w:val="28"/>
        </w:rPr>
      </w:pPr>
      <w:r>
        <w:rPr>
          <w:rFonts w:hint="eastAsia" w:ascii="Times New Roman" w:hAnsi="Times New Roman" w:cs="宋体"/>
          <w:sz w:val="28"/>
        </w:rPr>
        <w:t>对区域产业：“海南消费领域区域公共品牌”的规范化整合，可将分散的糟粕醋小作坊、小企业聚合为“统一标准、统一品牌、统一市场”的产业集群，吸引深加工、包装设计、文旅融合等资源入驻（如开发糟粕醋风味零食、打造酿造体验项目），延长产业链条；此外，严格的质量管控与清晰的产品标准，能增强糟粕醋对外输出的可信度，助力其突破地域限制，拓展省外乃至国际市场，带动海南特色调味品产业整体产值增长。</w:t>
      </w:r>
    </w:p>
    <w:p w14:paraId="3A2734DA">
      <w:pPr>
        <w:ind w:firstLine="560"/>
        <w:rPr>
          <w:rFonts w:hint="eastAsia" w:ascii="Times New Roman" w:hAnsi="Times New Roman" w:cs="宋体"/>
          <w:sz w:val="28"/>
        </w:rPr>
      </w:pPr>
      <w:r>
        <w:rPr>
          <w:rFonts w:hint="eastAsia" w:ascii="Times New Roman" w:hAnsi="Times New Roman" w:cs="宋体"/>
          <w:sz w:val="28"/>
        </w:rPr>
        <w:t>对市场流通：标准化的检验规则与包装运输要求，能降低采购商（如餐饮企业、经销商）的质量风险与筛选成本，减少因品质不稳定导致的退货、滞销问题；同时，合规的标签标识（如营养成分、保质期）也能降低消费纠纷概率，提高供应链效率，推动市场良性循环。</w:t>
      </w:r>
    </w:p>
    <w:p w14:paraId="35FF48A3">
      <w:pPr>
        <w:pStyle w:val="4"/>
        <w:rPr>
          <w:rFonts w:hint="eastAsia" w:ascii="Times New Roman" w:hAnsi="Times New Roman" w:cs="宋体"/>
          <w:b/>
          <w:sz w:val="30"/>
        </w:rPr>
      </w:pPr>
      <w:r>
        <w:rPr>
          <w:rFonts w:hint="eastAsia" w:ascii="Times New Roman" w:hAnsi="Times New Roman" w:cs="宋体"/>
          <w:b/>
          <w:sz w:val="30"/>
        </w:rPr>
        <w:t>2.社会效益：保障消费安全，传承推广特色文化</w:t>
      </w:r>
    </w:p>
    <w:p w14:paraId="1D927281">
      <w:pPr>
        <w:ind w:firstLine="560"/>
        <w:rPr>
          <w:rFonts w:hint="eastAsia" w:ascii="Times New Roman" w:hAnsi="Times New Roman" w:cs="宋体"/>
          <w:sz w:val="28"/>
        </w:rPr>
      </w:pPr>
      <w:r>
        <w:rPr>
          <w:rFonts w:hint="eastAsia" w:ascii="Times New Roman" w:hAnsi="Times New Roman" w:cs="宋体"/>
          <w:sz w:val="28"/>
        </w:rPr>
        <w:t>守护消费者健康：严格的原辅材料管控（如禁用不合格大米、食盐）、微生物限量要求（如沙门氏菌不得检出）及出厂检验制度，能从源头阻断劣质、不安全的糟粕醋流入市场，避免因农兽药残留、微生物超标导致的肠胃不适等健康风险，直接保障公众饮食安全；同时，清晰的标签标识（如配料表、营养成分）让消费者可自主判断产品适配性（如规避过敏成分），降低消费决策成本。</w:t>
      </w:r>
    </w:p>
    <w:p w14:paraId="163F77D0">
      <w:pPr>
        <w:ind w:firstLine="560"/>
        <w:rPr>
          <w:rFonts w:hint="eastAsia" w:ascii="Times New Roman" w:hAnsi="Times New Roman" w:cs="宋体"/>
          <w:sz w:val="28"/>
        </w:rPr>
      </w:pPr>
      <w:r>
        <w:rPr>
          <w:rFonts w:hint="eastAsia" w:ascii="Times New Roman" w:hAnsi="Times New Roman" w:cs="宋体"/>
          <w:sz w:val="28"/>
        </w:rPr>
        <w:t>提升从业者素质与就业稳定性：标准对生产工艺（如发酵、杀菌）、卫生管理（如GB14881要求）、检验流程的规范，会倒逼从业者学习专业技能（如标准化酿造、理化检验），推动传统小作坊从业者向“懂技术、守规范”的现代食品生产者转型；同时，标准化生产模式能提升产业抗风险能力（如减少因工艺不当导致的批次报废），保障糟粕醋产业就业岗位稳定，甚至吸引返乡青年加入，助力乡村振兴。</w:t>
      </w:r>
    </w:p>
    <w:p w14:paraId="4857E012">
      <w:pPr>
        <w:ind w:firstLine="560"/>
        <w:rPr>
          <w:rFonts w:hint="eastAsia" w:ascii="Times New Roman" w:hAnsi="Times New Roman" w:cs="宋体"/>
          <w:sz w:val="28"/>
        </w:rPr>
      </w:pPr>
      <w:r>
        <w:rPr>
          <w:rFonts w:hint="eastAsia" w:ascii="Times New Roman" w:hAnsi="Times New Roman" w:cs="宋体"/>
          <w:sz w:val="28"/>
        </w:rPr>
        <w:t>传承与推广海南特色文化：通过“统一品牌标准”将糟粕醋这一海南本土特色产品规范化、品质化，能强化其“海南名片”属性，借助品牌效应扩大知名度（如成为海南旅游伴手礼热门选择），进而推动海南饮食文化的对外传播，增强区域文化认同感。</w:t>
      </w:r>
    </w:p>
    <w:p w14:paraId="70C3A7DC">
      <w:pPr>
        <w:pStyle w:val="4"/>
        <w:rPr>
          <w:rFonts w:hint="eastAsia" w:ascii="Times New Roman" w:hAnsi="Times New Roman" w:cs="宋体"/>
          <w:b/>
          <w:sz w:val="30"/>
        </w:rPr>
      </w:pPr>
      <w:bookmarkStart w:id="0" w:name="_GoBack"/>
      <w:r>
        <w:rPr>
          <w:rFonts w:hint="eastAsia" w:ascii="Times New Roman" w:hAnsi="Times New Roman" w:cs="宋体"/>
          <w:b/>
          <w:sz w:val="30"/>
        </w:rPr>
        <w:t>3.生态效益：推动绿色生产，减少产业环境影响</w:t>
      </w:r>
    </w:p>
    <w:bookmarkEnd w:id="0"/>
    <w:p w14:paraId="1D0BA79F">
      <w:pPr>
        <w:ind w:firstLine="560"/>
        <w:rPr>
          <w:rFonts w:hint="eastAsia" w:ascii="Times New Roman" w:hAnsi="Times New Roman" w:cs="宋体"/>
          <w:sz w:val="28"/>
        </w:rPr>
      </w:pPr>
      <w:r>
        <w:rPr>
          <w:rFonts w:hint="eastAsia" w:ascii="Times New Roman" w:hAnsi="Times New Roman" w:cs="宋体"/>
          <w:sz w:val="28"/>
        </w:rPr>
        <w:t>减少生产环节污染：标准对原辅材料的合规要求（如选用符合国标/行标的大米、辣椒），能避免劣质原料（如霉变大米）因丢弃产生的固体废弃物污染；同时，对发酵容器的消毒要求（如生石灰水或食品级消毒剂），可减少因容器不洁导致的废水排放（如避免随意倾倒污染水体），降低产业对周边环境的直接污染。</w:t>
      </w:r>
    </w:p>
    <w:p w14:paraId="632A4C9C">
      <w:pPr>
        <w:ind w:firstLine="560"/>
        <w:rPr>
          <w:rFonts w:hint="eastAsia" w:ascii="Times New Roman" w:hAnsi="Times New Roman" w:cs="宋体"/>
          <w:sz w:val="28"/>
        </w:rPr>
      </w:pPr>
      <w:r>
        <w:rPr>
          <w:rFonts w:hint="eastAsia" w:ascii="Times New Roman" w:hAnsi="Times New Roman" w:cs="宋体"/>
          <w:sz w:val="28"/>
        </w:rPr>
        <w:t>推动包装绿色化：标准要求包装符合GB23350《限制商品过度包装要求》，能减少过度包装产生的塑料、纸张等废弃物，降低资源浪费；同时，内包装材料需符合GB4806系列食品接触安全标准，可避免劣质包装材料（如含毒塑料）在使用中释放有害物质污染环境，兼顾产品安全与生态保护。</w:t>
      </w:r>
    </w:p>
    <w:p w14:paraId="6DB44763">
      <w:pPr>
        <w:ind w:firstLine="560"/>
        <w:rPr>
          <w:rFonts w:hint="eastAsia" w:ascii="Times New Roman" w:hAnsi="Times New Roman" w:cs="宋体"/>
          <w:sz w:val="28"/>
        </w:rPr>
      </w:pPr>
      <w:r>
        <w:rPr>
          <w:rFonts w:hint="eastAsia" w:ascii="Times New Roman" w:hAnsi="Times New Roman" w:cs="宋体"/>
          <w:sz w:val="28"/>
        </w:rPr>
        <w:t>引导资源高效利用：标准化的工艺控制（如精准发酵时间、合理调味）能减少原料（如大米、调味料）的过度消耗，提升资源利用效率；此外，部分合规辅料可能来自绿色种植基地，间接推动上游农业向生态友好型种植转型，形成“下游规范倒逼上游绿色”的良性循环。</w:t>
      </w:r>
    </w:p>
    <w:p w14:paraId="0D2357F4">
      <w:pPr>
        <w:pStyle w:val="2"/>
        <w:rPr>
          <w:rFonts w:ascii="Times New Roman" w:hAnsi="Times New Roman" w:eastAsia="仿宋"/>
          <w:sz w:val="30"/>
        </w:rPr>
      </w:pPr>
      <w:r>
        <w:rPr>
          <w:rFonts w:ascii="Times New Roman" w:hAnsi="Times New Roman" w:eastAsia="仿宋"/>
          <w:sz w:val="30"/>
        </w:rPr>
        <w:t>（十）其他应予说明的事项</w:t>
      </w:r>
    </w:p>
    <w:p w14:paraId="347A4DC7">
      <w:pPr>
        <w:ind w:firstLine="560"/>
        <w:rPr>
          <w:rFonts w:hint="eastAsia" w:ascii="Times New Roman" w:hAnsi="Times New Roman" w:cs="宋体"/>
          <w:sz w:val="28"/>
        </w:rPr>
      </w:pPr>
      <w:r>
        <w:rPr>
          <w:rFonts w:hint="eastAsia" w:ascii="Times New Roman" w:hAnsi="Times New Roman" w:cs="宋体"/>
          <w:sz w:val="28"/>
        </w:rPr>
        <w:t>无。</w:t>
      </w:r>
    </w:p>
    <w:sectPr>
      <w:headerReference r:id="rId7" w:type="first"/>
      <w:footerReference r:id="rId10" w:type="first"/>
      <w:headerReference r:id="rId5" w:type="default"/>
      <w:footerReference r:id="rId8" w:type="default"/>
      <w:headerReference r:id="rId6" w:type="even"/>
      <w:footerReference r:id="rId9" w:type="even"/>
      <w:pgSz w:w="11910" w:h="16840"/>
      <w:pgMar w:top="1440" w:right="1531" w:bottom="1440" w:left="1531" w:header="0" w:footer="0" w:gutter="0"/>
      <w:cols w:space="720"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font>
  <w:font w:name="Gill Sans MT">
    <w:panose1 w:val="020B0502020104020203"/>
    <w:charset w:val="00"/>
    <w:family w:val="swiss"/>
    <w:pitch w:val="default"/>
    <w:sig w:usb0="00000003" w:usb1="00000000" w:usb2="00000000" w:usb3="00000000" w:csb0="2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E149">
    <w:pPr>
      <w:pStyle w:val="5"/>
      <w:spacing w:line="14" w:lineRule="auto"/>
      <w:ind w:left="0" w:firstLine="40"/>
      <w:rPr>
        <w:rFonts w:hint="eastAsia"/>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BC1AB">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30AE2">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ECACD">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C631D">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BF81B">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720"/>
  <w:evenAndOddHeaders w:val="1"/>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5E"/>
    <w:rsid w:val="00031498"/>
    <w:rsid w:val="00094349"/>
    <w:rsid w:val="001104D7"/>
    <w:rsid w:val="001F611D"/>
    <w:rsid w:val="00210530"/>
    <w:rsid w:val="0029007F"/>
    <w:rsid w:val="00291AC7"/>
    <w:rsid w:val="003D6817"/>
    <w:rsid w:val="004D6ACF"/>
    <w:rsid w:val="00502121"/>
    <w:rsid w:val="005A27BA"/>
    <w:rsid w:val="006413FB"/>
    <w:rsid w:val="007A4DD8"/>
    <w:rsid w:val="00847CE6"/>
    <w:rsid w:val="00877A06"/>
    <w:rsid w:val="008925E3"/>
    <w:rsid w:val="008F186C"/>
    <w:rsid w:val="0097706D"/>
    <w:rsid w:val="00A63B9B"/>
    <w:rsid w:val="00A64558"/>
    <w:rsid w:val="00AD0DDB"/>
    <w:rsid w:val="00AE3526"/>
    <w:rsid w:val="00B120B8"/>
    <w:rsid w:val="00B8624E"/>
    <w:rsid w:val="00BF1A69"/>
    <w:rsid w:val="00C32551"/>
    <w:rsid w:val="00C53A5E"/>
    <w:rsid w:val="00CC6672"/>
    <w:rsid w:val="00CF5BFC"/>
    <w:rsid w:val="00D42FB4"/>
    <w:rsid w:val="00DA76CB"/>
    <w:rsid w:val="00DF3D9D"/>
    <w:rsid w:val="00E31800"/>
    <w:rsid w:val="00EA63B4"/>
    <w:rsid w:val="00FD3BF3"/>
    <w:rsid w:val="00FF203B"/>
    <w:rsid w:val="0A7F7C42"/>
    <w:rsid w:val="2BA70961"/>
    <w:rsid w:val="33C905EE"/>
    <w:rsid w:val="4605689B"/>
    <w:rsid w:val="63EB0868"/>
    <w:rsid w:val="66031CA8"/>
    <w:rsid w:val="7DB65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ind w:firstLine="200" w:firstLineChars="200"/>
    </w:pPr>
    <w:rPr>
      <w:rFonts w:ascii="Times New Roman" w:hAnsi="Times New Roman" w:eastAsia="仿宋" w:cs="宋体"/>
      <w:sz w:val="32"/>
      <w:szCs w:val="22"/>
      <w:lang w:val="en-US" w:eastAsia="zh-CN" w:bidi="ar-SA"/>
    </w:rPr>
  </w:style>
  <w:style w:type="paragraph" w:styleId="2">
    <w:name w:val="heading 1"/>
    <w:basedOn w:val="1"/>
    <w:qFormat/>
    <w:uiPriority w:val="1"/>
    <w:pPr>
      <w:ind w:firstLine="0" w:firstLineChars="0"/>
      <w:outlineLvl w:val="0"/>
    </w:pPr>
    <w:rPr>
      <w:rFonts w:eastAsia="黑体" w:cs="Microsoft JhengHei"/>
      <w:b/>
      <w:bCs/>
      <w:szCs w:val="32"/>
    </w:rPr>
  </w:style>
  <w:style w:type="paragraph" w:styleId="3">
    <w:name w:val="heading 2"/>
    <w:basedOn w:val="1"/>
    <w:next w:val="1"/>
    <w:link w:val="14"/>
    <w:unhideWhenUsed/>
    <w:qFormat/>
    <w:uiPriority w:val="9"/>
    <w:pPr>
      <w:keepNext/>
      <w:keepLines/>
      <w:ind w:firstLine="0" w:firstLineChars="0"/>
      <w:outlineLvl w:val="1"/>
    </w:pPr>
    <w:rPr>
      <w:rFonts w:eastAsia="楷体" w:cstheme="majorBidi"/>
      <w:b/>
      <w:bCs/>
      <w:szCs w:val="32"/>
    </w:rPr>
  </w:style>
  <w:style w:type="paragraph" w:styleId="4">
    <w:name w:val="heading 3"/>
    <w:basedOn w:val="1"/>
    <w:next w:val="1"/>
    <w:link w:val="15"/>
    <w:unhideWhenUsed/>
    <w:qFormat/>
    <w:uiPriority w:val="9"/>
    <w:pPr>
      <w:keepNext/>
      <w:keepLines/>
      <w:ind w:firstLine="0" w:firstLineChars="0"/>
      <w:outlineLvl w:val="2"/>
    </w:pPr>
    <w:rPr>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ind w:left="406"/>
    </w:pPr>
    <w:rPr>
      <w:rFonts w:ascii="宋体" w:hAnsi="宋体" w:eastAsia="宋体"/>
      <w:szCs w:val="32"/>
    </w:rPr>
  </w:style>
  <w:style w:type="paragraph" w:styleId="6">
    <w:name w:val="footer"/>
    <w:basedOn w:val="1"/>
    <w:link w:val="17"/>
    <w:unhideWhenUsed/>
    <w:qFormat/>
    <w:uiPriority w:val="99"/>
    <w:pPr>
      <w:tabs>
        <w:tab w:val="center" w:pos="4153"/>
        <w:tab w:val="right" w:pos="8306"/>
      </w:tabs>
      <w:snapToGrid w:val="0"/>
    </w:pPr>
    <w:rPr>
      <w:sz w:val="18"/>
      <w:szCs w:val="18"/>
    </w:rPr>
  </w:style>
  <w:style w:type="paragraph" w:styleId="7">
    <w:name w:val="header"/>
    <w:basedOn w:val="1"/>
    <w:link w:val="16"/>
    <w:unhideWhenUsed/>
    <w:qFormat/>
    <w:uiPriority w:val="99"/>
    <w:pPr>
      <w:tabs>
        <w:tab w:val="center" w:pos="4153"/>
        <w:tab w:val="right" w:pos="8306"/>
      </w:tabs>
      <w:snapToGrid w:val="0"/>
      <w:jc w:val="center"/>
    </w:pPr>
    <w:rPr>
      <w:sz w:val="18"/>
      <w:szCs w:val="18"/>
    </w:rPr>
  </w:style>
  <w:style w:type="paragraph" w:styleId="8">
    <w:name w:val="Title"/>
    <w:basedOn w:val="1"/>
    <w:qFormat/>
    <w:uiPriority w:val="1"/>
    <w:pPr>
      <w:ind w:left="994" w:right="1019"/>
      <w:jc w:val="center"/>
    </w:pPr>
    <w:rPr>
      <w:rFonts w:ascii="宋体" w:hAnsi="宋体" w:eastAsia="宋体"/>
      <w:sz w:val="44"/>
      <w:szCs w:val="44"/>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spacing w:before="161"/>
      <w:ind w:left="1527" w:hanging="481"/>
    </w:pPr>
    <w:rPr>
      <w:rFonts w:ascii="宋体" w:hAnsi="宋体" w:eastAsia="宋体"/>
    </w:rPr>
  </w:style>
  <w:style w:type="paragraph" w:customStyle="1" w:styleId="13">
    <w:name w:val="Table Paragraph"/>
    <w:basedOn w:val="1"/>
    <w:qFormat/>
    <w:uiPriority w:val="1"/>
    <w:rPr>
      <w:rFonts w:ascii="宋体" w:hAnsi="宋体" w:eastAsia="宋体"/>
    </w:rPr>
  </w:style>
  <w:style w:type="character" w:customStyle="1" w:styleId="14">
    <w:name w:val="标题 2 字符"/>
    <w:basedOn w:val="10"/>
    <w:link w:val="3"/>
    <w:qFormat/>
    <w:uiPriority w:val="9"/>
    <w:rPr>
      <w:rFonts w:ascii="Times New Roman" w:hAnsi="Times New Roman" w:eastAsia="楷体" w:cstheme="majorBidi"/>
      <w:b/>
      <w:bCs/>
      <w:sz w:val="32"/>
      <w:szCs w:val="32"/>
      <w:lang w:eastAsia="zh-CN"/>
    </w:rPr>
  </w:style>
  <w:style w:type="character" w:customStyle="1" w:styleId="15">
    <w:name w:val="标题 3 字符"/>
    <w:basedOn w:val="10"/>
    <w:link w:val="4"/>
    <w:qFormat/>
    <w:uiPriority w:val="9"/>
    <w:rPr>
      <w:rFonts w:ascii="Times New Roman" w:hAnsi="Times New Roman" w:eastAsia="仿宋" w:cs="宋体"/>
      <w:bCs/>
      <w:sz w:val="32"/>
      <w:szCs w:val="32"/>
      <w:lang w:eastAsia="zh-CN"/>
    </w:rPr>
  </w:style>
  <w:style w:type="character" w:customStyle="1" w:styleId="16">
    <w:name w:val="页眉 字符"/>
    <w:basedOn w:val="10"/>
    <w:link w:val="7"/>
    <w:qFormat/>
    <w:uiPriority w:val="99"/>
    <w:rPr>
      <w:rFonts w:ascii="Times New Roman" w:hAnsi="Times New Roman" w:eastAsia="仿宋" w:cs="宋体"/>
      <w:sz w:val="18"/>
      <w:szCs w:val="18"/>
      <w:lang w:eastAsia="zh-CN"/>
    </w:rPr>
  </w:style>
  <w:style w:type="character" w:customStyle="1" w:styleId="17">
    <w:name w:val="页脚 字符"/>
    <w:basedOn w:val="10"/>
    <w:link w:val="6"/>
    <w:qFormat/>
    <w:uiPriority w:val="99"/>
    <w:rPr>
      <w:rFonts w:ascii="Times New Roman" w:hAnsi="Times New Roman" w:eastAsia="仿宋" w:cs="宋体"/>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611E6-568C-4392-983C-A3076CE532A0}">
  <ds:schemaRefs/>
</ds:datastoreItem>
</file>

<file path=docProps/app.xml><?xml version="1.0" encoding="utf-8"?>
<Properties xmlns="http://schemas.openxmlformats.org/officeDocument/2006/extended-properties" xmlns:vt="http://schemas.openxmlformats.org/officeDocument/2006/docPropsVTypes">
  <Template>Normal</Template>
  <Pages>8</Pages>
  <Words>5815</Words>
  <Characters>6243</Characters>
  <Lines>184</Lines>
  <Paragraphs>146</Paragraphs>
  <TotalTime>2</TotalTime>
  <ScaleCrop>false</ScaleCrop>
  <LinksUpToDate>false</LinksUpToDate>
  <CharactersWithSpaces>6245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2023-11-13T06:43:00Z</dcterms:created>
  <dc:creator>Microsoft</dc:creator>
  <cp:lastModifiedBy>菲儿</cp:lastModifiedBy>
  <dcterms:modified xsi:type="dcterms:W3CDTF">2025-11-10T09:04:34Z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WPS 文字</vt:lpwstr>
  </property>
  <property fmtid="{D5CDD505-2E9C-101B-9397-08002B2CF9AE}" pid="4" name="LastSaved">
    <vt:filetime>2023-09-12T00:00:00Z</vt:filetime>
  </property>
  <property fmtid="{D5CDD505-2E9C-101B-9397-08002B2CF9AE}" pid="5" name="SourceModified">
    <vt:lpwstr>D:20230905162248+08'22'</vt:lpwstr>
  </property>
  <property fmtid="{D5CDD505-2E9C-101B-9397-08002B2CF9AE}" pid="6" name="KSOTemplateDocerSaveRecord">
    <vt:lpwstr>eyJoZGlkIjoiN2E5ZGE4MTMwMzdjOGVkZDZlN2Y5OWNiNTFkZThjNjIiLCJ1c2VySWQiOiI0NjkzMTgyMjcifQ==</vt:lpwstr>
  </property>
  <property fmtid="{D5CDD505-2E9C-101B-9397-08002B2CF9AE}" pid="7" name="KSOProductBuildVer">
    <vt:lpwstr>2052-12.1.0.23125</vt:lpwstr>
  </property>
  <property fmtid="{D5CDD505-2E9C-101B-9397-08002B2CF9AE}" pid="8" name="ICV">
    <vt:lpwstr>4C32CC1647374CF18810B9B9D4DBBBE1_12</vt:lpwstr>
  </property>
</Properties>
</file>