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B591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7F57106">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DFDC41B">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67.220.10</w:t>
            </w:r>
            <w:r>
              <w:rPr>
                <w:rFonts w:ascii="黑体" w:hAnsi="黑体" w:eastAsia="黑体"/>
                <w:sz w:val="21"/>
                <w:szCs w:val="21"/>
              </w:rPr>
              <w:fldChar w:fldCharType="end"/>
            </w:r>
            <w:bookmarkEnd w:id="0"/>
          </w:p>
        </w:tc>
      </w:tr>
      <w:tr w14:paraId="7F125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2E9761C">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4E8A3F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7164D913">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2BE804F1">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X 60</w:t>
            </w:r>
            <w:r>
              <w:rPr>
                <w:rFonts w:ascii="黑体" w:hAnsi="黑体" w:eastAsia="黑体"/>
                <w:sz w:val="21"/>
                <w:szCs w:val="21"/>
              </w:rPr>
              <w:fldChar w:fldCharType="end"/>
            </w:r>
            <w:bookmarkEnd w:id="2"/>
          </w:p>
        </w:tc>
      </w:tr>
    </w:tbl>
    <w:p w14:paraId="7DC06EC0">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海南省质量协会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5A65BD00">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XXX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0C108F95">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260EDCA">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B8F5419">
      <w:pPr>
        <w:pStyle w:val="50"/>
        <w:framePr w:w="9639" w:h="6976" w:hRule="exact" w:hSpace="0" w:vSpace="0" w:wrap="around" w:hAnchor="page" w:y="6408"/>
        <w:jc w:val="center"/>
        <w:rPr>
          <w:rFonts w:hint="eastAsia" w:ascii="黑体" w:hAnsi="黑体" w:eastAsia="黑体"/>
          <w:b w:val="0"/>
          <w:bCs w:val="0"/>
          <w:w w:val="100"/>
        </w:rPr>
      </w:pPr>
    </w:p>
    <w:p w14:paraId="149A0459">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海南消费领域区域公共品牌特色产品技术规范 糟粕醋</w:t>
      </w:r>
      <w:r>
        <w:fldChar w:fldCharType="end"/>
      </w:r>
      <w:bookmarkEnd w:id="9"/>
    </w:p>
    <w:p w14:paraId="73A585D3">
      <w:pPr>
        <w:framePr w:w="9639" w:h="6974" w:hRule="exact" w:wrap="around" w:vAnchor="page" w:hAnchor="page" w:x="1419" w:y="6408" w:anchorLock="1"/>
        <w:ind w:left="-1418"/>
      </w:pPr>
    </w:p>
    <w:p w14:paraId="300BD209">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 xml:space="preserve">Technical </w:t>
      </w:r>
      <w:r>
        <w:rPr>
          <w:rFonts w:hint="eastAsia" w:eastAsia="黑体"/>
          <w:szCs w:val="28"/>
          <w:lang w:val="en-US" w:eastAsia="zh-CN"/>
        </w:rPr>
        <w:t>s</w:t>
      </w:r>
      <w:r>
        <w:rPr>
          <w:rFonts w:hint="eastAsia" w:eastAsia="黑体"/>
          <w:szCs w:val="28"/>
        </w:rPr>
        <w:t xml:space="preserve">pecifications for </w:t>
      </w:r>
      <w:r>
        <w:rPr>
          <w:rFonts w:hint="eastAsia" w:eastAsia="黑体"/>
          <w:szCs w:val="28"/>
          <w:lang w:val="en-US" w:eastAsia="zh-CN"/>
        </w:rPr>
        <w:t>c</w:t>
      </w:r>
      <w:r>
        <w:rPr>
          <w:rFonts w:hint="eastAsia" w:eastAsia="黑体"/>
          <w:szCs w:val="28"/>
        </w:rPr>
        <w:t xml:space="preserve">haracteristic </w:t>
      </w:r>
      <w:r>
        <w:rPr>
          <w:rFonts w:hint="eastAsia" w:eastAsia="黑体"/>
          <w:szCs w:val="28"/>
          <w:lang w:val="en-US" w:eastAsia="zh-CN"/>
        </w:rPr>
        <w:t>p</w:t>
      </w:r>
      <w:r>
        <w:rPr>
          <w:rFonts w:hint="eastAsia" w:eastAsia="黑体"/>
          <w:szCs w:val="28"/>
        </w:rPr>
        <w:t>roducts of</w:t>
      </w:r>
      <w:r>
        <w:rPr>
          <w:rFonts w:hint="eastAsia" w:eastAsia="黑体"/>
          <w:szCs w:val="28"/>
          <w:lang w:val="en-US" w:eastAsia="zh-CN"/>
        </w:rPr>
        <w:t xml:space="preserve"> r</w:t>
      </w:r>
      <w:r>
        <w:rPr>
          <w:rFonts w:hint="eastAsia" w:eastAsia="黑体"/>
          <w:szCs w:val="28"/>
        </w:rPr>
        <w:t xml:space="preserve">egional </w:t>
      </w:r>
      <w:r>
        <w:rPr>
          <w:rFonts w:hint="eastAsia" w:eastAsia="黑体"/>
          <w:szCs w:val="28"/>
          <w:lang w:val="en-US" w:eastAsia="zh-CN"/>
        </w:rPr>
        <w:t>p</w:t>
      </w:r>
      <w:r>
        <w:rPr>
          <w:rFonts w:hint="eastAsia" w:eastAsia="黑体"/>
          <w:szCs w:val="28"/>
        </w:rPr>
        <w:t xml:space="preserve">ublic </w:t>
      </w:r>
      <w:r>
        <w:rPr>
          <w:rFonts w:hint="eastAsia" w:eastAsia="黑体"/>
          <w:szCs w:val="28"/>
          <w:lang w:val="en-US" w:eastAsia="zh-CN"/>
        </w:rPr>
        <w:t>b</w:t>
      </w:r>
      <w:r>
        <w:rPr>
          <w:rFonts w:hint="eastAsia" w:eastAsia="黑体"/>
          <w:szCs w:val="28"/>
        </w:rPr>
        <w:t xml:space="preserve">rand for the </w:t>
      </w:r>
      <w:r>
        <w:rPr>
          <w:rFonts w:hint="eastAsia" w:eastAsia="黑体"/>
          <w:szCs w:val="28"/>
          <w:lang w:val="en-US" w:eastAsia="zh-CN"/>
        </w:rPr>
        <w:t>c</w:t>
      </w:r>
      <w:r>
        <w:rPr>
          <w:rFonts w:hint="eastAsia" w:eastAsia="黑体"/>
          <w:szCs w:val="28"/>
        </w:rPr>
        <w:t xml:space="preserve">onsumer </w:t>
      </w:r>
      <w:r>
        <w:rPr>
          <w:rFonts w:hint="eastAsia" w:eastAsia="黑体"/>
          <w:szCs w:val="28"/>
          <w:lang w:val="en-US" w:eastAsia="zh-CN"/>
        </w:rPr>
        <w:t>s</w:t>
      </w:r>
      <w:r>
        <w:rPr>
          <w:rFonts w:hint="eastAsia" w:eastAsia="黑体"/>
          <w:szCs w:val="28"/>
        </w:rPr>
        <w:t>ector of Hainan</w:t>
      </w:r>
      <w:r>
        <w:rPr>
          <w:rFonts w:hint="eastAsia" w:eastAsia="黑体"/>
          <w:szCs w:val="28"/>
          <w:lang w:val="en-US" w:eastAsia="zh-CN"/>
        </w:rPr>
        <w:t xml:space="preserve"> p</w:t>
      </w:r>
      <w:r>
        <w:rPr>
          <w:rFonts w:hint="eastAsia" w:eastAsia="黑体"/>
          <w:szCs w:val="28"/>
        </w:rPr>
        <w:t>rovince for</w:t>
      </w:r>
      <w:bookmarkStart w:id="77" w:name="_GoBack"/>
      <w:bookmarkEnd w:id="77"/>
      <w:r>
        <w:rPr>
          <w:rFonts w:hint="eastAsia" w:eastAsia="黑体"/>
          <w:szCs w:val="28"/>
        </w:rPr>
        <w:t xml:space="preserve"> Zao Po Cu</w:t>
      </w:r>
      <w:r>
        <w:rPr>
          <w:rFonts w:eastAsia="黑体"/>
          <w:szCs w:val="28"/>
        </w:rPr>
        <w:fldChar w:fldCharType="end"/>
      </w:r>
      <w:bookmarkEnd w:id="10"/>
    </w:p>
    <w:p w14:paraId="508569C7">
      <w:pPr>
        <w:framePr w:w="9639" w:h="6974" w:hRule="exact" w:wrap="around" w:vAnchor="page" w:hAnchor="page" w:x="1419" w:y="6408" w:anchorLock="1"/>
        <w:spacing w:line="760" w:lineRule="exact"/>
        <w:ind w:left="-1418"/>
      </w:pPr>
    </w:p>
    <w:p w14:paraId="2937CE36">
      <w:pPr>
        <w:pStyle w:val="125"/>
        <w:framePr w:w="9639" w:h="6974" w:hRule="exact" w:wrap="around" w:vAnchor="page" w:hAnchor="page" w:x="1419" w:y="6408" w:anchorLock="1"/>
        <w:textAlignment w:val="bottom"/>
        <w:rPr>
          <w:rFonts w:eastAsia="黑体"/>
          <w:szCs w:val="28"/>
        </w:rPr>
      </w:pPr>
    </w:p>
    <w:p w14:paraId="5CEEBC11">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DB1B8D5">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360CA95B">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1EC9EA11">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hint="eastAsia"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hint="eastAsia" w:ascii="黑体"/>
        </w:rPr>
        <w:t>XX</w:t>
      </w:r>
      <w:r>
        <w:rPr>
          <w:rFonts w:ascii="黑体"/>
        </w:rPr>
        <w:fldChar w:fldCharType="end"/>
      </w:r>
      <w:bookmarkEnd w:id="16"/>
      <w:r>
        <w:rPr>
          <w:rFonts w:hint="eastAsia"/>
        </w:rPr>
        <w:t>发布</w:t>
      </w:r>
    </w:p>
    <w:p w14:paraId="43255821">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hint="eastAsia"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hint="eastAsia" w:ascii="黑体"/>
        </w:rPr>
        <w:t>XX</w:t>
      </w:r>
      <w:r>
        <w:rPr>
          <w:rFonts w:ascii="黑体"/>
        </w:rPr>
        <w:fldChar w:fldCharType="end"/>
      </w:r>
      <w:bookmarkEnd w:id="19"/>
      <w:r>
        <w:rPr>
          <w:rFonts w:hint="eastAsia"/>
        </w:rPr>
        <w:t>实施</w:t>
      </w:r>
    </w:p>
    <w:p w14:paraId="0AB2CE8C">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海南省质量协会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08AA7B33">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F44F8B2">
      <w:pPr>
        <w:pStyle w:val="91"/>
        <w:spacing w:after="360"/>
      </w:pPr>
      <w:bookmarkStart w:id="21" w:name="BookMark1"/>
      <w:bookmarkStart w:id="22" w:name="_Toc212752231"/>
      <w:bookmarkStart w:id="23" w:name="_Toc212752255"/>
      <w:bookmarkStart w:id="24" w:name="_Toc212752830"/>
      <w:bookmarkStart w:id="25" w:name="_Toc212754730"/>
      <w:r>
        <w:rPr>
          <w:rFonts w:hint="eastAsia"/>
          <w:spacing w:val="320"/>
        </w:rPr>
        <w:t>目</w:t>
      </w:r>
      <w:r>
        <w:rPr>
          <w:rFonts w:hint="eastAsia"/>
        </w:rPr>
        <w:t>次</w:t>
      </w:r>
    </w:p>
    <w:p w14:paraId="64057BBC">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"_Toc213015560"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_Toc213015560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4168C88B">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"_Toc213015561"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_Toc213015561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6BE24FE4">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"_Toc213015562"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_Toc213015562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641FBE09">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"_Toc213015563"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_Toc213015563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30CA41CD">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"_Toc213015564"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_Toc213015564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5A4B29D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"_Toc213015565" </w:instrText>
      </w:r>
      <w:r>
        <w:fldChar w:fldCharType="separate"/>
      </w:r>
      <w:r>
        <w:rPr>
          <w:rStyle w:val="32"/>
          <w:rFonts w:hint="eastAsia"/>
        </w:rPr>
        <w:t>4</w:t>
      </w:r>
      <w:r>
        <w:rPr>
          <w:rStyle w:val="32"/>
        </w:rPr>
        <w:t xml:space="preserve"> </w:t>
      </w:r>
      <w:r>
        <w:rPr>
          <w:rStyle w:val="32"/>
          <w:rFonts w:hint="eastAsia"/>
        </w:rPr>
        <w:t xml:space="preserve"> 要求</w:t>
      </w:r>
      <w:r>
        <w:rPr>
          <w:rFonts w:hint="eastAsia"/>
        </w:rPr>
        <w:tab/>
      </w:r>
      <w:r>
        <w:rPr>
          <w:rFonts w:hint="eastAsia"/>
        </w:rPr>
        <w:fldChar w:fldCharType="begin"/>
      </w:r>
      <w:r>
        <w:rPr>
          <w:rFonts w:hint="eastAsia"/>
        </w:rPr>
        <w:instrText xml:space="preserve"> </w:instrText>
      </w:r>
      <w:r>
        <w:instrText xml:space="preserve">PAGEREF _Toc213015565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10910B2E">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"_Toc213015566" </w:instrText>
      </w:r>
      <w:r>
        <w:fldChar w:fldCharType="separate"/>
      </w:r>
      <w:r>
        <w:rPr>
          <w:rStyle w:val="32"/>
          <w:rFonts w:hint="eastAsia"/>
        </w:rPr>
        <w:t>5</w:t>
      </w:r>
      <w:r>
        <w:rPr>
          <w:rStyle w:val="32"/>
        </w:rPr>
        <w:t xml:space="preserve"> </w:t>
      </w:r>
      <w:r>
        <w:rPr>
          <w:rStyle w:val="32"/>
          <w:rFonts w:hint="eastAsia"/>
        </w:rPr>
        <w:t xml:space="preserve"> 检验规则</w:t>
      </w:r>
      <w:r>
        <w:rPr>
          <w:rFonts w:hint="eastAsia"/>
        </w:rPr>
        <w:tab/>
      </w:r>
      <w:r>
        <w:rPr>
          <w:rFonts w:hint="eastAsia"/>
        </w:rPr>
        <w:fldChar w:fldCharType="begin"/>
      </w:r>
      <w:r>
        <w:rPr>
          <w:rFonts w:hint="eastAsia"/>
        </w:rPr>
        <w:instrText xml:space="preserve"> </w:instrText>
      </w:r>
      <w:r>
        <w:instrText xml:space="preserve">PAGEREF _Toc213015566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276690AB">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"_Toc213015567" </w:instrText>
      </w:r>
      <w:r>
        <w:fldChar w:fldCharType="separate"/>
      </w:r>
      <w:r>
        <w:rPr>
          <w:rStyle w:val="32"/>
          <w:rFonts w:hint="eastAsia"/>
        </w:rPr>
        <w:t>6</w:t>
      </w:r>
      <w:r>
        <w:rPr>
          <w:rStyle w:val="32"/>
        </w:rPr>
        <w:t xml:space="preserve"> </w:t>
      </w:r>
      <w:r>
        <w:rPr>
          <w:rStyle w:val="32"/>
          <w:rFonts w:hint="eastAsia"/>
        </w:rPr>
        <w:t xml:space="preserve"> 标签、标志、包装、运输与贮存</w:t>
      </w:r>
      <w:r>
        <w:rPr>
          <w:rFonts w:hint="eastAsia"/>
        </w:rPr>
        <w:tab/>
      </w:r>
      <w:r>
        <w:rPr>
          <w:rFonts w:hint="eastAsia"/>
        </w:rPr>
        <w:fldChar w:fldCharType="begin"/>
      </w:r>
      <w:r>
        <w:rPr>
          <w:rFonts w:hint="eastAsia"/>
        </w:rPr>
        <w:instrText xml:space="preserve"> </w:instrText>
      </w:r>
      <w:r>
        <w:instrText xml:space="preserve">PAGEREF _Toc213015567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24C8C95D">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"_Toc213015568" </w:instrText>
      </w:r>
      <w:r>
        <w:fldChar w:fldCharType="separate"/>
      </w:r>
      <w:r>
        <w:rPr>
          <w:rStyle w:val="32"/>
          <w:rFonts w:hint="eastAsia"/>
        </w:rPr>
        <w:t>7</w:t>
      </w:r>
      <w:r>
        <w:rPr>
          <w:rStyle w:val="32"/>
        </w:rPr>
        <w:t xml:space="preserve"> </w:t>
      </w:r>
      <w:r>
        <w:rPr>
          <w:rStyle w:val="32"/>
          <w:rFonts w:hint="eastAsia"/>
        </w:rPr>
        <w:t xml:space="preserve"> 保质期</w:t>
      </w:r>
      <w:r>
        <w:rPr>
          <w:rFonts w:hint="eastAsia"/>
        </w:rPr>
        <w:tab/>
      </w:r>
      <w:r>
        <w:rPr>
          <w:rFonts w:hint="eastAsia"/>
        </w:rPr>
        <w:fldChar w:fldCharType="begin"/>
      </w:r>
      <w:r>
        <w:rPr>
          <w:rFonts w:hint="eastAsia"/>
        </w:rPr>
        <w:instrText xml:space="preserve"> </w:instrText>
      </w:r>
      <w:r>
        <w:instrText xml:space="preserve">PAGEREF _Toc213015568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45E1B513">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EEC6DE5">
      <w:pPr>
        <w:pStyle w:val="89"/>
        <w:spacing w:before="900" w:after="360"/>
      </w:pPr>
      <w:bookmarkStart w:id="26" w:name="_Toc213015560"/>
      <w:bookmarkStart w:id="27" w:name="BookMark2"/>
      <w:r>
        <w:rPr>
          <w:rFonts w:hint="eastAsia"/>
          <w:spacing w:val="320"/>
        </w:rPr>
        <w:t>前</w:t>
      </w:r>
      <w:r>
        <w:rPr>
          <w:rFonts w:hint="eastAsia"/>
        </w:rPr>
        <w:t>言</w:t>
      </w:r>
      <w:bookmarkEnd w:id="22"/>
      <w:bookmarkEnd w:id="23"/>
      <w:bookmarkEnd w:id="24"/>
      <w:bookmarkEnd w:id="25"/>
      <w:bookmarkEnd w:id="26"/>
    </w:p>
    <w:p w14:paraId="4F40DBC8">
      <w:pPr>
        <w:pStyle w:val="56"/>
        <w:ind w:firstLine="420"/>
      </w:pPr>
      <w:r>
        <w:rPr>
          <w:rFonts w:hint="eastAsia"/>
        </w:rPr>
        <w:t>本文件按照GB/T 1.1—2020《标准化工作导则  第1部分：标准化文件的结构和起草规则》的规定起草。</w:t>
      </w:r>
    </w:p>
    <w:p w14:paraId="220747E8">
      <w:pPr>
        <w:pStyle w:val="235"/>
        <w:rPr>
          <w:rFonts w:hint="eastAsia" w:eastAsia="宋体"/>
          <w:lang w:eastAsia="zh-CN"/>
        </w:rPr>
      </w:pPr>
      <w:r>
        <w:rPr>
          <w:rFonts w:hint="eastAsia"/>
        </w:rPr>
        <w:t>本文件由方圆标志认证集团有限公司提出</w:t>
      </w:r>
      <w:r>
        <w:rPr>
          <w:rFonts w:hint="eastAsia"/>
          <w:lang w:eastAsia="zh-CN"/>
        </w:rPr>
        <w:t>。</w:t>
      </w:r>
    </w:p>
    <w:p w14:paraId="46159AC5">
      <w:pPr>
        <w:pStyle w:val="235"/>
        <w:rPr>
          <w:rFonts w:hint="eastAsia"/>
        </w:rPr>
      </w:pPr>
      <w:r>
        <w:rPr>
          <w:rFonts w:hint="eastAsia"/>
        </w:rPr>
        <w:t>本文件由海南省质量协会归口。</w:t>
      </w:r>
    </w:p>
    <w:p w14:paraId="43F2B900">
      <w:pPr>
        <w:pStyle w:val="235"/>
        <w:rPr>
          <w:rFonts w:hint="eastAsia" w:eastAsia="宋体"/>
          <w:lang w:eastAsia="zh-CN"/>
        </w:rPr>
      </w:pPr>
      <w:r>
        <w:rPr>
          <w:rFonts w:hint="eastAsia"/>
        </w:rPr>
        <w:t>本文件起草单位：方圆标志认证集团有限公司</w:t>
      </w:r>
      <w:r>
        <w:rPr>
          <w:rFonts w:hint="eastAsia"/>
          <w:lang w:eastAsia="zh-CN"/>
        </w:rPr>
        <w:t>。</w:t>
      </w:r>
    </w:p>
    <w:p w14:paraId="05FF3DD3">
      <w:pPr>
        <w:pStyle w:val="235"/>
        <w:rPr>
          <w:rFonts w:hint="default" w:eastAsia="宋体"/>
          <w:lang w:val="en-US" w:eastAsia="zh-CN"/>
        </w:rPr>
      </w:pPr>
      <w:r>
        <w:rPr>
          <w:rFonts w:hint="eastAsia"/>
        </w:rPr>
        <w:t>本文件主要起草人：</w:t>
      </w:r>
      <w:r>
        <w:rPr>
          <w:rFonts w:hint="eastAsia"/>
          <w:lang w:val="en-US" w:eastAsia="zh-CN"/>
        </w:rPr>
        <w:t xml:space="preserve"> </w:t>
      </w:r>
    </w:p>
    <w:p w14:paraId="2BF37356">
      <w:pPr>
        <w:pStyle w:val="56"/>
        <w:ind w:firstLine="420"/>
      </w:pPr>
      <w:r>
        <w:rPr>
          <w:rFonts w:hint="eastAsia"/>
        </w:rPr>
        <w:t>本文件首次制定。</w:t>
      </w:r>
    </w:p>
    <w:p w14:paraId="03AEA00A">
      <w:pPr>
        <w:pStyle w:val="56"/>
        <w:ind w:firstLine="420"/>
      </w:pPr>
      <w:r>
        <w:rPr>
          <w:rFonts w:hint="eastAsia"/>
        </w:rPr>
        <w:t xml:space="preserve"> </w:t>
      </w:r>
    </w:p>
    <w:p w14:paraId="5D3E4133">
      <w:pPr>
        <w:pStyle w:val="56"/>
        <w:ind w:firstLine="420"/>
      </w:pPr>
    </w:p>
    <w:p w14:paraId="385829C1">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7"/>
    <w:p w14:paraId="29469DFE">
      <w:pPr>
        <w:pStyle w:val="89"/>
        <w:spacing w:after="360"/>
      </w:pPr>
      <w:bookmarkStart w:id="28" w:name="_Toc212754731"/>
      <w:bookmarkStart w:id="29" w:name="_Toc212752256"/>
      <w:bookmarkStart w:id="30" w:name="_Toc213015561"/>
      <w:bookmarkStart w:id="31" w:name="_Toc212752831"/>
      <w:bookmarkStart w:id="32" w:name="_Toc212752232"/>
      <w:bookmarkStart w:id="33" w:name="BookMark3"/>
      <w:r>
        <w:rPr>
          <w:rFonts w:hint="eastAsia"/>
          <w:spacing w:val="320"/>
        </w:rPr>
        <w:t>引</w:t>
      </w:r>
      <w:r>
        <w:rPr>
          <w:rFonts w:hint="eastAsia"/>
        </w:rPr>
        <w:t>言</w:t>
      </w:r>
      <w:bookmarkEnd w:id="28"/>
      <w:bookmarkEnd w:id="29"/>
      <w:bookmarkEnd w:id="30"/>
      <w:bookmarkEnd w:id="31"/>
      <w:bookmarkEnd w:id="32"/>
    </w:p>
    <w:p w14:paraId="1527DAB0">
      <w:pPr>
        <w:pStyle w:val="56"/>
        <w:ind w:firstLine="420"/>
      </w:pPr>
      <w:r>
        <w:rPr>
          <w:rFonts w:hint="eastAsia"/>
        </w:rPr>
        <w:t>为贯彻《质量强国建设纲要》，落实海南省委省政府《关于以高水平质量建设助力海南自由贸易港高质量发展的意见》（琼发〔2023〕9号）部署要求，为了进一步配合开展海南省“海南消费领域区域公共品牌”建设工作，围绕海南省“特质”、“特色”建设高质量团体标准体系，对符合标准体系、技术规范的特色产品服务和优势产业，通过开展品牌提升和自愿性认证，涵盖各类产业中具有海南省代表性的农业产品、旅游服务、文创产品、工业产品等，围绕热带经济和消费领域，形成一批集质量、标准、服务、信誉、效益为一体，市场和社会公认的海南消费领域区域公共品牌。</w:t>
      </w:r>
    </w:p>
    <w:p w14:paraId="34FD5B5E">
      <w:pPr>
        <w:pStyle w:val="56"/>
        <w:ind w:firstLine="420"/>
      </w:pPr>
      <w:r>
        <w:rPr>
          <w:rFonts w:hint="eastAsia"/>
        </w:rPr>
        <w:t>海南消费领域区域公共品牌系列团体标准作为开展“海南消费领域区域公共品牌”自愿性认证的认证依据，以海南省区域特色产品与服务和优势产业为重点，通过管理过程要求和核心技术指标，推动企业提升内部管理水平，实现产品和服务品质提升，提高海南省高品质产品和服务的市场竞争力。</w:t>
      </w:r>
    </w:p>
    <w:p w14:paraId="76A6FF49">
      <w:pPr>
        <w:pStyle w:val="56"/>
        <w:ind w:firstLine="420"/>
      </w:pPr>
      <w:r>
        <w:rPr>
          <w:rFonts w:hint="eastAsia"/>
        </w:rPr>
        <w:t>海南消费领域区域公共品牌系列团体标准是在对比分析了国内外技术指标参数的基础上，采用过程控制和持续改进的管理理念方法，融合编制的一套包括基于管理要素的通用技术要求及基于行业特点的特色产品和服务技术规范的系列标准。该套系列文件设计如下：第一层级为《海南消费领域区域公共品牌通用要求 农食产品》和《海南消费领域区域公共品牌通用要求 服务业》，第二层级为《海南消费领域区域公共品牌 种植技术规范》和《海南消费领域区域公共品牌 食品加工技术规范》，第三层级为特色产品和服务技术规范。第一层级、第二层级和第三层级文件应配套使用。本文件为第三层级《海南消费领域区域公共品牌特色产品技术规范 糟粕醋》，通过本文件的发布实施，将有助于推进糟粕醋业规范化、规模化、标准化发展，提升糟粕醋产品质量。同时，以本文件作为认证依据，对</w:t>
      </w:r>
      <w:r>
        <w:rPr>
          <w:rFonts w:hint="eastAsia" w:hAnsi="宋体" w:cs="宋体"/>
          <w:szCs w:val="21"/>
        </w:rPr>
        <w:t>糟粕醋</w:t>
      </w:r>
      <w:r>
        <w:rPr>
          <w:rFonts w:hint="eastAsia"/>
        </w:rPr>
        <w:t>生产经营者进行第三方认证，通过认证在供需两端传递质量信号，提高“海南消费领域区域公共品牌”品牌权威性和公信力，形成有效的市场选择机制，助推特色优势糟粕醋产品产品提档升级、提质增效。</w:t>
      </w:r>
    </w:p>
    <w:p w14:paraId="7F9C8110">
      <w:pPr>
        <w:pStyle w:val="56"/>
        <w:ind w:firstLine="420"/>
      </w:pPr>
    </w:p>
    <w:p w14:paraId="3210323B">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33"/>
    <w:p w14:paraId="3263DF2C">
      <w:pPr>
        <w:spacing w:line="20" w:lineRule="exact"/>
        <w:jc w:val="center"/>
        <w:rPr>
          <w:rFonts w:hint="eastAsia" w:ascii="黑体" w:hAnsi="黑体" w:eastAsia="黑体"/>
          <w:sz w:val="32"/>
          <w:szCs w:val="32"/>
        </w:rPr>
      </w:pPr>
      <w:bookmarkStart w:id="34" w:name="BookMark4"/>
    </w:p>
    <w:p w14:paraId="3C755761">
      <w:pPr>
        <w:spacing w:line="20" w:lineRule="exact"/>
        <w:jc w:val="center"/>
        <w:rPr>
          <w:rFonts w:hint="eastAsia" w:ascii="黑体" w:hAnsi="黑体" w:eastAsia="黑体"/>
          <w:sz w:val="32"/>
          <w:szCs w:val="32"/>
        </w:rPr>
      </w:pPr>
    </w:p>
    <w:sdt>
      <w:sdtPr>
        <w:tag w:val="NEW_STAND_NAME"/>
        <w:id w:val="595910757"/>
        <w:lock w:val="sdtLocked"/>
        <w:placeholder>
          <w:docPart w:val="C891A32F2890401F849CDBE7052D0279"/>
        </w:placeholder>
      </w:sdtPr>
      <w:sdtContent>
        <w:p w14:paraId="7CA5E725">
          <w:pPr>
            <w:pStyle w:val="177"/>
            <w:spacing w:before="2" w:beforeLines="1" w:after="528" w:afterLines="220"/>
            <w:rPr>
              <w:rFonts w:hint="eastAsia"/>
            </w:rPr>
          </w:pPr>
          <w:bookmarkStart w:id="35" w:name="NEW_STAND_NAME"/>
          <w:r>
            <w:rPr>
              <w:rFonts w:hint="eastAsia"/>
            </w:rPr>
            <w:t>海南消费领域区域公共品牌特色产品技术规范 糟粕醋</w:t>
          </w:r>
        </w:p>
      </w:sdtContent>
    </w:sdt>
    <w:bookmarkEnd w:id="35"/>
    <w:p w14:paraId="03A17E84">
      <w:pPr>
        <w:pStyle w:val="104"/>
        <w:spacing w:before="240" w:after="240"/>
      </w:pPr>
      <w:bookmarkStart w:id="36" w:name="_Toc212754732"/>
      <w:bookmarkStart w:id="37" w:name="_Toc24884211"/>
      <w:bookmarkStart w:id="38" w:name="_Toc212752832"/>
      <w:bookmarkStart w:id="39" w:name="_Toc212752233"/>
      <w:bookmarkStart w:id="40" w:name="_Toc24884218"/>
      <w:bookmarkStart w:id="41" w:name="_Toc213015562"/>
      <w:bookmarkStart w:id="42" w:name="_Toc26718930"/>
      <w:bookmarkStart w:id="43" w:name="_Toc17233333"/>
      <w:bookmarkStart w:id="44" w:name="_Toc17233325"/>
      <w:bookmarkStart w:id="45" w:name="_Toc26986530"/>
      <w:bookmarkStart w:id="46" w:name="_Toc26648465"/>
      <w:bookmarkStart w:id="47" w:name="_Toc26986771"/>
      <w:bookmarkStart w:id="48" w:name="_Toc212752257"/>
      <w:bookmarkStart w:id="49" w:name="_Toc97192964"/>
      <w:r>
        <w:rPr>
          <w:rFonts w:hint="eastAsia"/>
        </w:rPr>
        <w:t>范围</w:t>
      </w:r>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657F3C08">
      <w:pPr>
        <w:pStyle w:val="56"/>
        <w:ind w:firstLine="420"/>
      </w:pPr>
      <w:bookmarkStart w:id="50" w:name="_Toc24884219"/>
      <w:bookmarkStart w:id="51" w:name="_Toc17233334"/>
      <w:bookmarkStart w:id="52" w:name="_Toc17233326"/>
      <w:bookmarkStart w:id="53" w:name="_Toc24884212"/>
      <w:bookmarkStart w:id="54" w:name="_Toc26648466"/>
      <w:r>
        <w:rPr>
          <w:rFonts w:hint="eastAsia"/>
        </w:rPr>
        <w:t>本文件规定了</w:t>
      </w:r>
      <w:r>
        <w:rPr>
          <w:rFonts w:hint="eastAsia" w:hAnsi="宋体"/>
          <w:lang w:bidi="ar"/>
        </w:rPr>
        <w:t>“海南消费领域区域公共品牌”</w:t>
      </w:r>
      <w:r>
        <w:rPr>
          <w:rFonts w:hint="eastAsia"/>
        </w:rPr>
        <w:t xml:space="preserve"> 特色产品糟粕醋的术语和定义、要求、检验规则、标签、标志、包装、运输与贮存及保质期</w:t>
      </w:r>
      <w:r>
        <w:rPr>
          <w:rFonts w:hint="eastAsia"/>
          <w:lang w:eastAsia="zh-CN"/>
        </w:rPr>
        <w:t>等</w:t>
      </w:r>
      <w:r>
        <w:rPr>
          <w:rFonts w:hint="eastAsia"/>
        </w:rPr>
        <w:t>要求。</w:t>
      </w:r>
    </w:p>
    <w:p w14:paraId="5D2EF3F1">
      <w:pPr>
        <w:pStyle w:val="56"/>
        <w:ind w:firstLine="420"/>
      </w:pPr>
      <w:r>
        <w:rPr>
          <w:rFonts w:hint="eastAsia"/>
        </w:rPr>
        <w:t>本文件适用于海南省区域内</w:t>
      </w:r>
      <w:r>
        <w:rPr>
          <w:rFonts w:hint="eastAsia" w:hAnsi="宋体"/>
          <w:lang w:bidi="ar"/>
        </w:rPr>
        <w:t>“海南消费领域区域公共品牌”</w:t>
      </w:r>
      <w:r>
        <w:rPr>
          <w:rFonts w:hint="eastAsia"/>
        </w:rPr>
        <w:t>糟粕醋产品生产经营者的自我评价和第三方评价/认证。</w:t>
      </w:r>
    </w:p>
    <w:p w14:paraId="6D515A1C">
      <w:pPr>
        <w:pStyle w:val="104"/>
        <w:spacing w:before="240" w:after="240"/>
      </w:pPr>
      <w:bookmarkStart w:id="55" w:name="_Toc212754733"/>
      <w:bookmarkStart w:id="56" w:name="_Toc213015563"/>
      <w:bookmarkStart w:id="57" w:name="_Toc212752258"/>
      <w:bookmarkStart w:id="58" w:name="_Toc26718931"/>
      <w:bookmarkStart w:id="59" w:name="_Toc212752833"/>
      <w:bookmarkStart w:id="60" w:name="_Toc26986772"/>
      <w:bookmarkStart w:id="61" w:name="_Toc26986531"/>
      <w:bookmarkStart w:id="62" w:name="_Toc97192965"/>
      <w:bookmarkStart w:id="63" w:name="_Toc212752234"/>
      <w:r>
        <w:rPr>
          <w:rFonts w:hint="eastAsia"/>
        </w:rPr>
        <w:t>规范性引用文件</w:t>
      </w:r>
      <w:bookmarkEnd w:id="50"/>
      <w:bookmarkEnd w:id="51"/>
      <w:bookmarkEnd w:id="52"/>
      <w:bookmarkEnd w:id="53"/>
      <w:bookmarkEnd w:id="54"/>
      <w:bookmarkEnd w:id="55"/>
      <w:bookmarkEnd w:id="56"/>
      <w:bookmarkEnd w:id="57"/>
      <w:bookmarkEnd w:id="58"/>
      <w:bookmarkEnd w:id="59"/>
      <w:bookmarkEnd w:id="60"/>
      <w:bookmarkEnd w:id="61"/>
      <w:bookmarkEnd w:id="62"/>
      <w:bookmarkEnd w:id="63"/>
    </w:p>
    <w:sdt>
      <w:sdtPr>
        <w:rPr>
          <w:rFonts w:hint="eastAsia"/>
        </w:rPr>
        <w:id w:val="715848253"/>
        <w:placeholder>
          <w:docPart w:val="E34F6C7A9D1E4F16A3BC2D9E609FE85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4FAE426">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80F68F0">
      <w:pPr>
        <w:pStyle w:val="56"/>
        <w:ind w:firstLine="420"/>
      </w:pPr>
      <w:r>
        <w:rPr>
          <w:rFonts w:hint="eastAsia"/>
        </w:rPr>
        <w:t>GB/T 317  白砂糖</w:t>
      </w:r>
    </w:p>
    <w:p w14:paraId="52397E93">
      <w:pPr>
        <w:pStyle w:val="56"/>
        <w:ind w:firstLine="420"/>
      </w:pPr>
      <w:r>
        <w:rPr>
          <w:rFonts w:hint="eastAsia"/>
        </w:rPr>
        <w:t>GB/T 1354  大米</w:t>
      </w:r>
    </w:p>
    <w:p w14:paraId="02B9C0DF">
      <w:pPr>
        <w:pStyle w:val="56"/>
        <w:ind w:firstLine="420"/>
      </w:pPr>
      <w:r>
        <w:rPr>
          <w:rFonts w:hint="eastAsia"/>
        </w:rPr>
        <w:t>GB 2716  食品安全国家标准  植物油</w:t>
      </w:r>
    </w:p>
    <w:p w14:paraId="2B28DAF8">
      <w:pPr>
        <w:pStyle w:val="56"/>
        <w:ind w:firstLine="420"/>
      </w:pPr>
      <w:r>
        <w:rPr>
          <w:rFonts w:hint="eastAsia"/>
        </w:rPr>
        <w:t>GB 2720  食品安全国家标准  味精</w:t>
      </w:r>
    </w:p>
    <w:p w14:paraId="59651929">
      <w:pPr>
        <w:pStyle w:val="56"/>
        <w:ind w:firstLine="420"/>
      </w:pPr>
      <w:r>
        <w:rPr>
          <w:rFonts w:hint="eastAsia"/>
        </w:rPr>
        <w:t>GB 2721  食品安全国家标准  食用盐</w:t>
      </w:r>
    </w:p>
    <w:p w14:paraId="16832C2A">
      <w:pPr>
        <w:pStyle w:val="56"/>
        <w:ind w:firstLine="420"/>
      </w:pPr>
      <w:r>
        <w:rPr>
          <w:rFonts w:hint="eastAsia"/>
        </w:rPr>
        <w:t>GB 2758  食品安全国家标准  发酵酒及其配制酒</w:t>
      </w:r>
    </w:p>
    <w:p w14:paraId="4141FACF">
      <w:pPr>
        <w:pStyle w:val="56"/>
        <w:ind w:firstLine="420"/>
      </w:pPr>
      <w:r>
        <w:rPr>
          <w:rFonts w:hint="eastAsia"/>
        </w:rPr>
        <w:t>GB 4789.1  食品安全国家标准  食品微生物学检验  总则</w:t>
      </w:r>
    </w:p>
    <w:p w14:paraId="1B3FAFD8">
      <w:pPr>
        <w:pStyle w:val="56"/>
        <w:ind w:firstLine="420"/>
      </w:pPr>
      <w:r>
        <w:rPr>
          <w:rFonts w:hint="eastAsia"/>
        </w:rPr>
        <w:t>GB 4789.4  食品安全国家标准  食品微生物学检验  沙门氏菌检验</w:t>
      </w:r>
    </w:p>
    <w:p w14:paraId="7549A05F">
      <w:pPr>
        <w:pStyle w:val="56"/>
        <w:ind w:firstLine="420"/>
      </w:pPr>
      <w:r>
        <w:rPr>
          <w:rFonts w:hint="eastAsia"/>
        </w:rPr>
        <w:t>GB 4789.10  食品安全国家标准  食品微生物学检验  金黄色葡萄球菌检验</w:t>
      </w:r>
    </w:p>
    <w:p w14:paraId="249A517A">
      <w:pPr>
        <w:pStyle w:val="56"/>
        <w:ind w:firstLine="420"/>
      </w:pPr>
      <w:r>
        <w:t>GB</w:t>
      </w:r>
      <w:r>
        <w:rPr>
          <w:rFonts w:hint="eastAsia"/>
        </w:rPr>
        <w:t xml:space="preserve"> </w:t>
      </w:r>
      <w:r>
        <w:t>4789.22</w:t>
      </w:r>
      <w:r>
        <w:rPr>
          <w:rFonts w:hint="eastAsia"/>
        </w:rPr>
        <w:t xml:space="preserve">  食品安全国家标准食品  微生物学检验  调味品采样和检样处理</w:t>
      </w:r>
    </w:p>
    <w:p w14:paraId="4F347DA0">
      <w:pPr>
        <w:pStyle w:val="56"/>
        <w:ind w:firstLine="420"/>
      </w:pPr>
      <w:r>
        <w:rPr>
          <w:rFonts w:hint="eastAsia"/>
        </w:rPr>
        <w:t>GB 4806.5  食品安全国家标准  玻璃制品</w:t>
      </w:r>
    </w:p>
    <w:p w14:paraId="2BC447D5">
      <w:pPr>
        <w:pStyle w:val="56"/>
        <w:ind w:firstLine="420"/>
      </w:pPr>
      <w:r>
        <w:rPr>
          <w:rFonts w:hint="eastAsia"/>
        </w:rPr>
        <w:t>GB 4806.7  食品安全国家标准  食品接触用塑料材料及制品</w:t>
      </w:r>
    </w:p>
    <w:p w14:paraId="24046EA7">
      <w:pPr>
        <w:pStyle w:val="56"/>
        <w:ind w:firstLine="420"/>
      </w:pPr>
      <w:r>
        <w:rPr>
          <w:rFonts w:hint="eastAsia"/>
        </w:rPr>
        <w:t>GB 5009.11  食品安全国家标准  食品中总砷及无机砷的测定</w:t>
      </w:r>
    </w:p>
    <w:p w14:paraId="5915BFF4">
      <w:pPr>
        <w:pStyle w:val="56"/>
        <w:ind w:firstLine="420"/>
      </w:pPr>
      <w:r>
        <w:rPr>
          <w:rFonts w:hint="eastAsia"/>
        </w:rPr>
        <w:t xml:space="preserve">GB 5009.12  食品安全国家标准  食品中铅的测定 </w:t>
      </w:r>
    </w:p>
    <w:p w14:paraId="3271D1D4">
      <w:pPr>
        <w:pStyle w:val="56"/>
        <w:ind w:firstLine="420"/>
      </w:pPr>
      <w:r>
        <w:rPr>
          <w:rFonts w:hint="eastAsia"/>
        </w:rPr>
        <w:t>GB 5009.227  食品安全国家标准  食品中过氧化值的测定</w:t>
      </w:r>
    </w:p>
    <w:p w14:paraId="538B71DB">
      <w:pPr>
        <w:pStyle w:val="56"/>
        <w:ind w:firstLine="420"/>
      </w:pPr>
      <w:r>
        <w:rPr>
          <w:rFonts w:hint="eastAsia"/>
        </w:rPr>
        <w:t>GB 5009.229  食品安全国家标准  食品中酸价的测定</w:t>
      </w:r>
    </w:p>
    <w:p w14:paraId="279BAF1C">
      <w:pPr>
        <w:pStyle w:val="56"/>
        <w:ind w:firstLine="420"/>
      </w:pPr>
      <w:r>
        <w:rPr>
          <w:rFonts w:hint="eastAsia"/>
        </w:rPr>
        <w:t>GB 5749  生活饮用水卫生标准</w:t>
      </w:r>
    </w:p>
    <w:p w14:paraId="1A9982C4">
      <w:pPr>
        <w:pStyle w:val="56"/>
        <w:ind w:firstLine="420"/>
      </w:pPr>
      <w:r>
        <w:rPr>
          <w:rFonts w:hint="eastAsia"/>
        </w:rPr>
        <w:t>GB/T 6543  运输包装用单瓦楞纸箱和双瓦楞纸箱</w:t>
      </w:r>
    </w:p>
    <w:p w14:paraId="0E3A5885">
      <w:pPr>
        <w:pStyle w:val="56"/>
        <w:ind w:firstLine="420"/>
      </w:pPr>
      <w:r>
        <w:rPr>
          <w:rFonts w:hint="eastAsia"/>
        </w:rPr>
        <w:t xml:space="preserve">GB 7718  食品安全国家标准  预包装食品标签通则 </w:t>
      </w:r>
    </w:p>
    <w:p w14:paraId="6F62AC72">
      <w:pPr>
        <w:pStyle w:val="56"/>
        <w:ind w:firstLine="420"/>
      </w:pPr>
      <w:r>
        <w:rPr>
          <w:rFonts w:hint="eastAsia"/>
        </w:rPr>
        <w:t>GB 12456  食品中总酸的测定</w:t>
      </w:r>
    </w:p>
    <w:p w14:paraId="377E9237">
      <w:pPr>
        <w:pStyle w:val="56"/>
        <w:ind w:firstLine="420"/>
      </w:pPr>
      <w:r>
        <w:rPr>
          <w:rFonts w:hint="eastAsia"/>
        </w:rPr>
        <w:t>GB 14881  食品安全国家标准  食品生产通用卫生规范</w:t>
      </w:r>
    </w:p>
    <w:p w14:paraId="0DBC2B1D">
      <w:pPr>
        <w:pStyle w:val="56"/>
        <w:ind w:firstLine="420"/>
      </w:pPr>
      <w:r>
        <w:rPr>
          <w:rFonts w:hint="eastAsia"/>
        </w:rPr>
        <w:t>GB/T 15691  香辛料调味品通用技术条件</w:t>
      </w:r>
    </w:p>
    <w:p w14:paraId="06CEB6EE">
      <w:pPr>
        <w:pStyle w:val="56"/>
        <w:ind w:firstLine="420"/>
      </w:pPr>
      <w:r>
        <w:rPr>
          <w:rFonts w:hint="eastAsia"/>
        </w:rPr>
        <w:t>GB 23350  限制商品过度包装要求  食品和化妆品</w:t>
      </w:r>
    </w:p>
    <w:p w14:paraId="434C6F33">
      <w:pPr>
        <w:pStyle w:val="56"/>
        <w:ind w:firstLine="420"/>
      </w:pPr>
      <w:r>
        <w:rPr>
          <w:rFonts w:hint="eastAsia"/>
        </w:rPr>
        <w:t>GB 28050  食品安全国家标准  预包装食品营养标签通则</w:t>
      </w:r>
    </w:p>
    <w:p w14:paraId="6652CDD8">
      <w:pPr>
        <w:pStyle w:val="56"/>
        <w:ind w:firstLine="420"/>
      </w:pPr>
      <w:r>
        <w:rPr>
          <w:rFonts w:hint="eastAsia"/>
        </w:rPr>
        <w:t>GB/T 30382  辣椒（整的或粉状）</w:t>
      </w:r>
    </w:p>
    <w:p w14:paraId="11AFBAE7">
      <w:pPr>
        <w:pStyle w:val="56"/>
        <w:ind w:firstLine="420"/>
      </w:pPr>
      <w:r>
        <w:rPr>
          <w:rFonts w:hint="eastAsia"/>
        </w:rPr>
        <w:t>GB/T 45244  大蒜等级规格</w:t>
      </w:r>
    </w:p>
    <w:p w14:paraId="1DA1E4D2">
      <w:pPr>
        <w:pStyle w:val="56"/>
        <w:ind w:firstLine="420"/>
      </w:pPr>
      <w:r>
        <w:rPr>
          <w:rFonts w:hint="eastAsia"/>
        </w:rPr>
        <w:t>GB/T 45352  鸡精调味料质量通则</w:t>
      </w:r>
    </w:p>
    <w:p w14:paraId="66D408E7">
      <w:pPr>
        <w:pStyle w:val="56"/>
        <w:ind w:firstLine="420"/>
      </w:pPr>
      <w:r>
        <w:rPr>
          <w:rFonts w:hint="eastAsia"/>
        </w:rPr>
        <w:t>NY/T 1071  洋葱</w:t>
      </w:r>
    </w:p>
    <w:p w14:paraId="6F668418">
      <w:pPr>
        <w:pStyle w:val="56"/>
        <w:ind w:firstLine="420"/>
      </w:pPr>
      <w:r>
        <w:rPr>
          <w:rFonts w:hint="eastAsia"/>
        </w:rPr>
        <w:t>NY/T 1193  姜</w:t>
      </w:r>
    </w:p>
    <w:p w14:paraId="4AE6886D">
      <w:pPr>
        <w:pStyle w:val="56"/>
        <w:ind w:firstLine="420"/>
      </w:pPr>
      <w:r>
        <w:rPr>
          <w:rFonts w:hint="eastAsia"/>
        </w:rPr>
        <w:t>JJF 1070  定量包装商品净含量计量检验规则</w:t>
      </w:r>
    </w:p>
    <w:p w14:paraId="090C933F">
      <w:pPr>
        <w:pStyle w:val="56"/>
        <w:ind w:firstLine="420"/>
      </w:pPr>
      <w:r>
        <w:rPr>
          <w:rFonts w:hint="eastAsia"/>
        </w:rPr>
        <w:t>国家市场监督管理总局令第70号 《定量包装商品计量监督管理办法》</w:t>
      </w:r>
    </w:p>
    <w:p w14:paraId="42797C9A">
      <w:pPr>
        <w:pStyle w:val="56"/>
        <w:ind w:firstLine="420"/>
      </w:pPr>
      <w:r>
        <w:rPr>
          <w:rFonts w:hint="eastAsia"/>
        </w:rPr>
        <w:t>国家市场监督管理总局令第100号 《食品标识监督管理办法》</w:t>
      </w:r>
    </w:p>
    <w:p w14:paraId="49ADF9EF">
      <w:pPr>
        <w:pStyle w:val="104"/>
        <w:spacing w:before="240" w:after="240"/>
      </w:pPr>
      <w:bookmarkStart w:id="64" w:name="_Toc212754734"/>
      <w:bookmarkStart w:id="65" w:name="_Toc97192966"/>
      <w:bookmarkStart w:id="66" w:name="_Toc213015564"/>
      <w:bookmarkStart w:id="67" w:name="_Toc212752259"/>
      <w:bookmarkStart w:id="68" w:name="_Toc212752235"/>
      <w:bookmarkStart w:id="69" w:name="_Toc212752834"/>
      <w:r>
        <w:rPr>
          <w:rFonts w:hint="eastAsia"/>
          <w:szCs w:val="21"/>
        </w:rPr>
        <w:t>术语和定义</w:t>
      </w:r>
      <w:bookmarkEnd w:id="64"/>
      <w:bookmarkEnd w:id="65"/>
      <w:bookmarkEnd w:id="66"/>
      <w:bookmarkEnd w:id="67"/>
      <w:bookmarkEnd w:id="68"/>
      <w:bookmarkEnd w:id="69"/>
    </w:p>
    <w:sdt>
      <w:sdtPr>
        <w:id w:val="-1909835108"/>
        <w:placeholder>
          <w:docPart w:val="42D41501962E4FFF9FD9F2D2F0817FE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25A256F">
          <w:pPr>
            <w:pStyle w:val="56"/>
            <w:ind w:firstLine="420"/>
          </w:pPr>
          <w:bookmarkStart w:id="70" w:name="_Toc26986532"/>
          <w:bookmarkEnd w:id="70"/>
          <w:r>
            <w:t>下列术语和定义适用于本文件。</w:t>
          </w:r>
        </w:p>
      </w:sdtContent>
    </w:sdt>
    <w:p w14:paraId="475AE479">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糟粕醋 </w:t>
      </w:r>
      <w:r>
        <w:rPr>
          <w:rFonts w:ascii="Times New Roman" w:eastAsia="黑体"/>
        </w:rPr>
        <w:t>zao po cu</w:t>
      </w:r>
    </w:p>
    <w:p w14:paraId="04FBC4EF">
      <w:pPr>
        <w:pStyle w:val="56"/>
        <w:ind w:firstLine="420"/>
      </w:pPr>
      <w:r>
        <w:rPr>
          <w:rFonts w:hint="eastAsia"/>
        </w:rPr>
        <w:t>以大米为主要原料经酒曲发酵成酒糟，添加水，添加或不添加大蒜、食用盐、白砂糖、味精、鸡精、食用植物油、辣椒等食品原料，经配料、熬煮、杀菌、包装；或使用酒糟包，可添加或不添加复合调料包、油辣椒包、蒜头油包，混合包装等生产工艺制成的非即食复合调味料。</w:t>
      </w:r>
    </w:p>
    <w:p w14:paraId="49BEC988">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酒糟包</w:t>
      </w:r>
    </w:p>
    <w:p w14:paraId="374655E7">
      <w:pPr>
        <w:pStyle w:val="56"/>
        <w:ind w:firstLine="420"/>
      </w:pPr>
      <w:r>
        <w:rPr>
          <w:rFonts w:hint="eastAsia"/>
        </w:rPr>
        <w:t>以大米为主要原料经酒曲发酵，添加水，经调配、杀菌、包装等生产工艺制成的食用酒糟。</w:t>
      </w:r>
    </w:p>
    <w:p w14:paraId="205A3D30">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复合调料包</w:t>
      </w:r>
    </w:p>
    <w:p w14:paraId="40EA0BBE">
      <w:pPr>
        <w:pStyle w:val="56"/>
        <w:ind w:firstLine="420"/>
      </w:pPr>
      <w:r>
        <w:rPr>
          <w:rFonts w:hint="eastAsia"/>
        </w:rPr>
        <w:t>以白砂糖、味精、食用盐为主要原料，添加或不添加鸡精调味料、香辛料等其他原料，经粉碎或不粉碎、混合、包装等生产工艺制成的食用调料。</w:t>
      </w:r>
    </w:p>
    <w:p w14:paraId="6DD13F6D">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油辣椒包</w:t>
      </w:r>
    </w:p>
    <w:p w14:paraId="0F7B3CC6">
      <w:pPr>
        <w:pStyle w:val="56"/>
        <w:ind w:firstLine="420"/>
      </w:pPr>
      <w:r>
        <w:rPr>
          <w:rFonts w:hint="eastAsia"/>
        </w:rPr>
        <w:t>以辣椒和食用植物油为主要原料，添加或不添加食用盐、洋葱、大蒜、生姜、香辛料、味精等其他原料，经炒制、杀菌、包装等生产工艺制成的食用油辣椒包。</w:t>
      </w:r>
    </w:p>
    <w:p w14:paraId="05D73B4B">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蒜头油包</w:t>
      </w:r>
    </w:p>
    <w:p w14:paraId="2D0A6B0A">
      <w:pPr>
        <w:pStyle w:val="56"/>
        <w:ind w:firstLine="420"/>
      </w:pPr>
      <w:r>
        <w:rPr>
          <w:rFonts w:hint="eastAsia"/>
        </w:rPr>
        <w:t>以食用植物油、大蒜为主要原料，添加或不添加八角、香菜等香辛料，经前处理、配料、粉碎、油炸、包装等生产工艺制成的食用蒜头油。</w:t>
      </w:r>
    </w:p>
    <w:p w14:paraId="03B91A5B">
      <w:pPr>
        <w:pStyle w:val="104"/>
        <w:spacing w:before="240" w:after="240"/>
      </w:pPr>
      <w:bookmarkStart w:id="71" w:name="_Toc213015565"/>
      <w:r>
        <w:rPr>
          <w:rFonts w:hint="eastAsia"/>
        </w:rPr>
        <w:t>要求</w:t>
      </w:r>
      <w:bookmarkEnd w:id="71"/>
    </w:p>
    <w:p w14:paraId="6F34BF9E">
      <w:pPr>
        <w:pStyle w:val="105"/>
        <w:spacing w:before="120" w:after="120"/>
      </w:pPr>
      <w:r>
        <w:rPr>
          <w:rFonts w:hint="eastAsia"/>
        </w:rPr>
        <w:t>原辅材料</w:t>
      </w:r>
    </w:p>
    <w:p w14:paraId="55A7F0D5">
      <w:pPr>
        <w:pStyle w:val="65"/>
        <w:spacing w:before="120" w:after="120"/>
      </w:pPr>
      <w:r>
        <w:rPr>
          <w:rFonts w:hint="eastAsia"/>
        </w:rPr>
        <w:t>大米</w:t>
      </w:r>
    </w:p>
    <w:p w14:paraId="26CEEC87">
      <w:pPr>
        <w:pStyle w:val="56"/>
        <w:ind w:firstLine="420"/>
      </w:pPr>
      <w:r>
        <w:rPr>
          <w:rFonts w:hint="eastAsia"/>
        </w:rPr>
        <w:t>应符合GB/T 1354的规定。</w:t>
      </w:r>
    </w:p>
    <w:p w14:paraId="6B54C604">
      <w:pPr>
        <w:pStyle w:val="65"/>
        <w:spacing w:before="120" w:after="120"/>
      </w:pPr>
      <w:r>
        <w:rPr>
          <w:rFonts w:hint="eastAsia"/>
        </w:rPr>
        <w:t>酒糟</w:t>
      </w:r>
    </w:p>
    <w:p w14:paraId="2E3D7287">
      <w:pPr>
        <w:pStyle w:val="56"/>
        <w:ind w:firstLine="420"/>
      </w:pPr>
      <w:r>
        <w:rPr>
          <w:rFonts w:hint="eastAsia"/>
        </w:rPr>
        <w:t>应符合GB 2758的规定。</w:t>
      </w:r>
    </w:p>
    <w:p w14:paraId="065F6E40">
      <w:pPr>
        <w:pStyle w:val="65"/>
        <w:spacing w:before="120" w:after="120"/>
      </w:pPr>
      <w:r>
        <w:rPr>
          <w:rFonts w:hint="eastAsia"/>
        </w:rPr>
        <w:t>水</w:t>
      </w:r>
    </w:p>
    <w:p w14:paraId="1615527D">
      <w:pPr>
        <w:pStyle w:val="56"/>
        <w:ind w:firstLine="420"/>
      </w:pPr>
      <w:r>
        <w:rPr>
          <w:rFonts w:hint="eastAsia"/>
        </w:rPr>
        <w:t>应符合GB 5749的规定。</w:t>
      </w:r>
    </w:p>
    <w:p w14:paraId="4B0A3297">
      <w:pPr>
        <w:pStyle w:val="65"/>
        <w:spacing w:before="120" w:after="120"/>
      </w:pPr>
      <w:r>
        <w:rPr>
          <w:rFonts w:hint="eastAsia"/>
        </w:rPr>
        <w:t>大蒜</w:t>
      </w:r>
    </w:p>
    <w:p w14:paraId="6143B900">
      <w:pPr>
        <w:pStyle w:val="56"/>
        <w:ind w:firstLine="420"/>
      </w:pPr>
      <w:r>
        <w:rPr>
          <w:rFonts w:hint="eastAsia"/>
        </w:rPr>
        <w:t>应符合GB/T 45244的规定。</w:t>
      </w:r>
    </w:p>
    <w:p w14:paraId="7E1D0F49">
      <w:pPr>
        <w:pStyle w:val="65"/>
        <w:spacing w:before="120" w:after="120"/>
      </w:pPr>
      <w:r>
        <w:rPr>
          <w:rFonts w:hint="eastAsia"/>
        </w:rPr>
        <w:t>食盐</w:t>
      </w:r>
    </w:p>
    <w:p w14:paraId="3BE05F00">
      <w:pPr>
        <w:pStyle w:val="56"/>
        <w:ind w:firstLine="420"/>
      </w:pPr>
      <w:r>
        <w:rPr>
          <w:rFonts w:hint="eastAsia"/>
        </w:rPr>
        <w:t>应符合GB 2721的规定。</w:t>
      </w:r>
    </w:p>
    <w:p w14:paraId="29A96A07">
      <w:pPr>
        <w:pStyle w:val="65"/>
        <w:spacing w:before="120" w:after="120"/>
      </w:pPr>
      <w:r>
        <w:rPr>
          <w:rFonts w:hint="eastAsia"/>
        </w:rPr>
        <w:t>白砂糖</w:t>
      </w:r>
    </w:p>
    <w:p w14:paraId="63555F04">
      <w:pPr>
        <w:pStyle w:val="56"/>
        <w:ind w:firstLine="420"/>
      </w:pPr>
      <w:r>
        <w:rPr>
          <w:rFonts w:hint="eastAsia"/>
        </w:rPr>
        <w:t>应符合GB/T 317的规定。</w:t>
      </w:r>
    </w:p>
    <w:p w14:paraId="5D2AF970">
      <w:pPr>
        <w:pStyle w:val="65"/>
        <w:spacing w:before="120" w:after="120"/>
      </w:pPr>
      <w:r>
        <w:rPr>
          <w:rFonts w:hint="eastAsia"/>
        </w:rPr>
        <w:t>味精</w:t>
      </w:r>
    </w:p>
    <w:p w14:paraId="54B0277C">
      <w:pPr>
        <w:pStyle w:val="56"/>
        <w:ind w:firstLine="420"/>
      </w:pPr>
      <w:r>
        <w:rPr>
          <w:rFonts w:hint="eastAsia"/>
        </w:rPr>
        <w:t>应符合GB 2720的规定。</w:t>
      </w:r>
    </w:p>
    <w:p w14:paraId="04E7AC2C">
      <w:pPr>
        <w:pStyle w:val="65"/>
        <w:spacing w:before="120" w:after="120"/>
      </w:pPr>
      <w:r>
        <w:rPr>
          <w:rFonts w:hint="eastAsia"/>
        </w:rPr>
        <w:t>鸡精</w:t>
      </w:r>
    </w:p>
    <w:p w14:paraId="46C4CB95">
      <w:pPr>
        <w:pStyle w:val="56"/>
        <w:ind w:firstLine="420"/>
      </w:pPr>
      <w:r>
        <w:rPr>
          <w:rFonts w:hint="eastAsia"/>
        </w:rPr>
        <w:t>应符合GB/T 45352的规定。</w:t>
      </w:r>
    </w:p>
    <w:p w14:paraId="06C2E46E">
      <w:pPr>
        <w:pStyle w:val="65"/>
        <w:spacing w:before="120" w:after="120"/>
      </w:pPr>
      <w:r>
        <w:rPr>
          <w:rFonts w:hint="eastAsia"/>
        </w:rPr>
        <w:t>植物油</w:t>
      </w:r>
    </w:p>
    <w:p w14:paraId="7DC20681">
      <w:pPr>
        <w:pStyle w:val="56"/>
        <w:ind w:firstLine="420"/>
      </w:pPr>
      <w:r>
        <w:rPr>
          <w:rFonts w:hint="eastAsia"/>
        </w:rPr>
        <w:t>应符合GB 2716的规定。</w:t>
      </w:r>
    </w:p>
    <w:p w14:paraId="17808C0F">
      <w:pPr>
        <w:pStyle w:val="65"/>
        <w:spacing w:before="120" w:after="120"/>
      </w:pPr>
      <w:r>
        <w:rPr>
          <w:rFonts w:hint="eastAsia"/>
        </w:rPr>
        <w:t>辣椒</w:t>
      </w:r>
    </w:p>
    <w:p w14:paraId="3989E567">
      <w:pPr>
        <w:pStyle w:val="56"/>
        <w:ind w:firstLine="420"/>
      </w:pPr>
      <w:r>
        <w:rPr>
          <w:rFonts w:hint="eastAsia"/>
        </w:rPr>
        <w:t>应符合GB/T 30382的规定。</w:t>
      </w:r>
    </w:p>
    <w:p w14:paraId="7A3284F8">
      <w:pPr>
        <w:pStyle w:val="65"/>
        <w:spacing w:before="120" w:after="120"/>
      </w:pPr>
      <w:r>
        <w:rPr>
          <w:rFonts w:hint="eastAsia"/>
        </w:rPr>
        <w:t>香辛料</w:t>
      </w:r>
    </w:p>
    <w:p w14:paraId="7F241527">
      <w:pPr>
        <w:pStyle w:val="56"/>
        <w:ind w:firstLine="420"/>
      </w:pPr>
      <w:r>
        <w:rPr>
          <w:rFonts w:hint="eastAsia"/>
        </w:rPr>
        <w:t>应符合GB/T 15691的规定。</w:t>
      </w:r>
    </w:p>
    <w:p w14:paraId="264C6B23">
      <w:pPr>
        <w:pStyle w:val="65"/>
        <w:spacing w:before="120" w:after="120"/>
      </w:pPr>
      <w:r>
        <w:rPr>
          <w:rFonts w:hint="eastAsia"/>
        </w:rPr>
        <w:t>洋葱</w:t>
      </w:r>
    </w:p>
    <w:p w14:paraId="5CB6DBD4">
      <w:pPr>
        <w:pStyle w:val="56"/>
        <w:ind w:firstLine="420"/>
      </w:pPr>
      <w:r>
        <w:rPr>
          <w:rFonts w:hint="eastAsia"/>
        </w:rPr>
        <w:t>应符合NY/T 1071的规定。</w:t>
      </w:r>
    </w:p>
    <w:p w14:paraId="6E1C441B">
      <w:pPr>
        <w:pStyle w:val="65"/>
        <w:spacing w:before="120" w:after="120"/>
      </w:pPr>
      <w:r>
        <w:rPr>
          <w:rFonts w:hint="eastAsia"/>
        </w:rPr>
        <w:t>生姜</w:t>
      </w:r>
    </w:p>
    <w:p w14:paraId="4D6DB5D2">
      <w:pPr>
        <w:pStyle w:val="56"/>
        <w:ind w:firstLine="420"/>
      </w:pPr>
      <w:r>
        <w:rPr>
          <w:rFonts w:hint="eastAsia"/>
        </w:rPr>
        <w:t>应符合NY/T 1193的规定。</w:t>
      </w:r>
    </w:p>
    <w:p w14:paraId="04E5166E">
      <w:pPr>
        <w:pStyle w:val="65"/>
        <w:spacing w:before="120" w:after="120"/>
      </w:pPr>
      <w:r>
        <w:rPr>
          <w:rFonts w:hint="eastAsia"/>
        </w:rPr>
        <w:t>发酵菌种</w:t>
      </w:r>
    </w:p>
    <w:p w14:paraId="639A24F8">
      <w:pPr>
        <w:pStyle w:val="56"/>
        <w:ind w:firstLine="420"/>
      </w:pPr>
      <w:r>
        <w:rPr>
          <w:rFonts w:hint="eastAsia"/>
        </w:rPr>
        <w:t>酿酒酵母或其他由国务院卫生行政部门批准使用的菌种。</w:t>
      </w:r>
    </w:p>
    <w:p w14:paraId="2B8921FA">
      <w:pPr>
        <w:pStyle w:val="65"/>
        <w:spacing w:before="120" w:after="120"/>
      </w:pPr>
      <w:r>
        <w:rPr>
          <w:rFonts w:hint="eastAsia"/>
        </w:rPr>
        <w:t>生产环境</w:t>
      </w:r>
    </w:p>
    <w:p w14:paraId="46E92C2B">
      <w:pPr>
        <w:pStyle w:val="56"/>
        <w:ind w:firstLine="420"/>
      </w:pPr>
      <w:r>
        <w:rPr>
          <w:rFonts w:hint="eastAsia"/>
        </w:rPr>
        <w:t>加工企业的厂区环境、厂房和车间、设施与设备、卫生条件等应符合GB 14881的要求。</w:t>
      </w:r>
    </w:p>
    <w:p w14:paraId="7A5037DF">
      <w:pPr>
        <w:pStyle w:val="65"/>
        <w:spacing w:before="120" w:after="120"/>
      </w:pPr>
      <w:r>
        <w:rPr>
          <w:rFonts w:hint="eastAsia"/>
        </w:rPr>
        <w:t>发酵容器</w:t>
      </w:r>
    </w:p>
    <w:p w14:paraId="727C6670">
      <w:pPr>
        <w:pStyle w:val="56"/>
        <w:ind w:firstLine="420"/>
      </w:pPr>
      <w:r>
        <w:rPr>
          <w:rFonts w:hint="eastAsia"/>
        </w:rPr>
        <w:t>发酵容器可选用陶瓷发酵坛或不锈钢发酵罐等。使用前应用生石灰水或食品容器消毒剂进行消毒，确保容器卫生。</w:t>
      </w:r>
    </w:p>
    <w:p w14:paraId="2972BD6A">
      <w:pPr>
        <w:pStyle w:val="105"/>
        <w:spacing w:before="120" w:after="120"/>
      </w:pPr>
      <w:r>
        <w:rPr>
          <w:rFonts w:hint="eastAsia"/>
        </w:rPr>
        <w:t>工艺流程及工艺要点</w:t>
      </w:r>
    </w:p>
    <w:p w14:paraId="31D9668C">
      <w:pPr>
        <w:pStyle w:val="65"/>
        <w:spacing w:before="120" w:after="120"/>
      </w:pPr>
      <w:r>
        <w:rPr>
          <w:rFonts w:hint="eastAsia"/>
        </w:rPr>
        <w:t>生产工艺流程</w:t>
      </w:r>
    </w:p>
    <w:p w14:paraId="7C3FD6EE">
      <w:pPr>
        <w:pStyle w:val="56"/>
        <w:ind w:firstLine="420"/>
      </w:pPr>
      <w:r>
        <w:rPr>
          <w:rFonts w:hint="eastAsia"/>
        </w:rPr>
        <w:t>选料→大米处理→发酵→过滤→调味→杀菌→包装。</w:t>
      </w:r>
    </w:p>
    <w:p w14:paraId="38257301">
      <w:pPr>
        <w:pStyle w:val="65"/>
        <w:spacing w:before="120" w:after="120"/>
      </w:pPr>
      <w:r>
        <w:rPr>
          <w:rFonts w:hint="eastAsia"/>
        </w:rPr>
        <w:t>工艺要点</w:t>
      </w:r>
    </w:p>
    <w:p w14:paraId="0FB9C1A9">
      <w:pPr>
        <w:pStyle w:val="94"/>
        <w:spacing w:before="120" w:after="120"/>
      </w:pPr>
      <w:r>
        <w:rPr>
          <w:rFonts w:hint="eastAsia"/>
        </w:rPr>
        <w:t>选料</w:t>
      </w:r>
    </w:p>
    <w:p w14:paraId="64473121">
      <w:pPr>
        <w:pStyle w:val="56"/>
        <w:ind w:firstLine="420"/>
      </w:pPr>
      <w:r>
        <w:rPr>
          <w:rFonts w:hint="eastAsia"/>
        </w:rPr>
        <w:t>原辅材料选料按4.1要求进行。</w:t>
      </w:r>
    </w:p>
    <w:p w14:paraId="1A34BCCC">
      <w:pPr>
        <w:pStyle w:val="94"/>
        <w:spacing w:before="120" w:after="120"/>
      </w:pPr>
      <w:r>
        <w:rPr>
          <w:rFonts w:hint="eastAsia"/>
        </w:rPr>
        <w:t>大米处理</w:t>
      </w:r>
    </w:p>
    <w:p w14:paraId="743B909C">
      <w:pPr>
        <w:pStyle w:val="98"/>
        <w:spacing w:before="120" w:after="120"/>
      </w:pPr>
      <w:r>
        <w:rPr>
          <w:rFonts w:hint="eastAsia"/>
        </w:rPr>
        <w:t>筛选</w:t>
      </w:r>
    </w:p>
    <w:p w14:paraId="2C279AD9">
      <w:pPr>
        <w:pStyle w:val="56"/>
        <w:ind w:firstLine="420"/>
      </w:pPr>
      <w:r>
        <w:rPr>
          <w:rFonts w:hint="eastAsia"/>
        </w:rPr>
        <w:t>主要去除物理性杂质，包括但不限于谷壳、石子、碎米及其他异物。确保筛选后大米颗粒均匀，无明显可见杂质。</w:t>
      </w:r>
    </w:p>
    <w:p w14:paraId="066C3926">
      <w:pPr>
        <w:pStyle w:val="98"/>
        <w:spacing w:before="120" w:after="120"/>
      </w:pPr>
      <w:r>
        <w:rPr>
          <w:rFonts w:hint="eastAsia"/>
        </w:rPr>
        <w:t>清理</w:t>
      </w:r>
    </w:p>
    <w:p w14:paraId="00D910C5">
      <w:pPr>
        <w:pStyle w:val="56"/>
        <w:ind w:firstLine="420"/>
      </w:pPr>
      <w:r>
        <w:rPr>
          <w:rFonts w:hint="eastAsia"/>
        </w:rPr>
        <w:t>通过风选、水洗或干洗等方式，去除大米表面附着的灰尘及微小杂质。</w:t>
      </w:r>
    </w:p>
    <w:p w14:paraId="2264FE41">
      <w:pPr>
        <w:pStyle w:val="98"/>
        <w:spacing w:before="120" w:after="120"/>
      </w:pPr>
      <w:r>
        <w:rPr>
          <w:rFonts w:hint="eastAsia"/>
        </w:rPr>
        <w:t>蒸煮</w:t>
      </w:r>
    </w:p>
    <w:p w14:paraId="177ACF4B">
      <w:pPr>
        <w:pStyle w:val="56"/>
        <w:ind w:firstLine="420"/>
      </w:pPr>
      <w:r>
        <w:rPr>
          <w:rFonts w:hint="eastAsia"/>
        </w:rPr>
        <w:t>将清理后的大米送入蒸煮设备，进行加热熟化处理。</w:t>
      </w:r>
    </w:p>
    <w:p w14:paraId="5D6F40C1">
      <w:pPr>
        <w:pStyle w:val="94"/>
        <w:spacing w:before="120" w:after="120"/>
      </w:pPr>
      <w:r>
        <w:rPr>
          <w:rFonts w:hint="eastAsia"/>
        </w:rPr>
        <w:t>发酵</w:t>
      </w:r>
    </w:p>
    <w:p w14:paraId="10141FC5">
      <w:pPr>
        <w:pStyle w:val="56"/>
        <w:ind w:firstLine="420"/>
      </w:pPr>
      <w:r>
        <w:rPr>
          <w:rFonts w:hint="eastAsia"/>
        </w:rPr>
        <w:t>将蒸煮好的大米放入发酵容器中，加入酒曲、水及发酵菌种，搅拌均匀后，密封，在室温下自然发酵。发酵时间一般为 7 ～ 15 天。</w:t>
      </w:r>
    </w:p>
    <w:p w14:paraId="6F1376B8">
      <w:pPr>
        <w:pStyle w:val="94"/>
        <w:spacing w:before="120" w:after="120"/>
      </w:pPr>
      <w:r>
        <w:rPr>
          <w:rFonts w:hint="eastAsia"/>
        </w:rPr>
        <w:t>过滤</w:t>
      </w:r>
    </w:p>
    <w:p w14:paraId="58BE6CD9">
      <w:pPr>
        <w:pStyle w:val="56"/>
        <w:ind w:firstLine="420"/>
      </w:pPr>
      <w:r>
        <w:rPr>
          <w:rFonts w:hint="eastAsia"/>
        </w:rPr>
        <w:t>使用滤网或过滤设备对发酵液进行过滤，去除酒糟中的固体残渣，得到澄清的醋液。</w:t>
      </w:r>
    </w:p>
    <w:p w14:paraId="1C62B25A">
      <w:pPr>
        <w:pStyle w:val="94"/>
        <w:spacing w:before="120" w:after="120"/>
      </w:pPr>
      <w:r>
        <w:rPr>
          <w:rFonts w:hint="eastAsia"/>
        </w:rPr>
        <w:t>调味</w:t>
      </w:r>
    </w:p>
    <w:p w14:paraId="1160E14B">
      <w:pPr>
        <w:pStyle w:val="56"/>
        <w:ind w:firstLine="420"/>
      </w:pPr>
      <w:r>
        <w:rPr>
          <w:rFonts w:hint="eastAsia"/>
        </w:rPr>
        <w:t>根据不同的口味需求，向醋液中加入适量的调味料，搅拌均匀。</w:t>
      </w:r>
    </w:p>
    <w:p w14:paraId="4CAFAF5F">
      <w:pPr>
        <w:pStyle w:val="94"/>
        <w:spacing w:before="120" w:after="120"/>
      </w:pPr>
      <w:r>
        <w:rPr>
          <w:rFonts w:hint="eastAsia"/>
        </w:rPr>
        <w:t>杀菌</w:t>
      </w:r>
    </w:p>
    <w:p w14:paraId="0AE7A10A">
      <w:pPr>
        <w:pStyle w:val="56"/>
        <w:ind w:firstLine="420"/>
      </w:pPr>
      <w:r>
        <w:rPr>
          <w:rFonts w:hint="eastAsia"/>
        </w:rPr>
        <w:t>将调味后的糟粕醋进行杀菌处理。</w:t>
      </w:r>
    </w:p>
    <w:p w14:paraId="7319A1B8">
      <w:pPr>
        <w:pStyle w:val="94"/>
        <w:spacing w:before="120" w:after="120"/>
      </w:pPr>
      <w:r>
        <w:rPr>
          <w:rFonts w:hint="eastAsia"/>
        </w:rPr>
        <w:t>包装</w:t>
      </w:r>
    </w:p>
    <w:p w14:paraId="395E0CAD">
      <w:pPr>
        <w:pStyle w:val="56"/>
        <w:ind w:firstLine="420"/>
      </w:pPr>
      <w:r>
        <w:rPr>
          <w:rFonts w:hint="eastAsia"/>
        </w:rPr>
        <w:t>将杀菌后的糟粕醋装入干净的包装容器中，如玻璃瓶、塑料瓶等，进行密封包装。</w:t>
      </w:r>
    </w:p>
    <w:p w14:paraId="68191400">
      <w:pPr>
        <w:pStyle w:val="105"/>
        <w:spacing w:before="120" w:after="120"/>
      </w:pPr>
      <w:r>
        <w:rPr>
          <w:rFonts w:hint="eastAsia"/>
        </w:rPr>
        <w:t>感官要求</w:t>
      </w:r>
    </w:p>
    <w:p w14:paraId="252124F6">
      <w:pPr>
        <w:pStyle w:val="56"/>
        <w:ind w:firstLine="420"/>
      </w:pPr>
      <w:r>
        <w:rPr>
          <w:rFonts w:hint="eastAsia"/>
        </w:rPr>
        <w:t>应符合表1的要求。</w:t>
      </w:r>
    </w:p>
    <w:p w14:paraId="0393A67F">
      <w:pPr>
        <w:pStyle w:val="112"/>
        <w:spacing w:before="120" w:after="120"/>
      </w:pPr>
      <w:r>
        <w:rPr>
          <w:rFonts w:hint="eastAsia"/>
        </w:rPr>
        <w:t>感官要求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4C034D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vAlign w:val="center"/>
          </w:tcPr>
          <w:p w14:paraId="5267014B">
            <w:pPr>
              <w:pStyle w:val="178"/>
            </w:pPr>
            <w:r>
              <w:rPr>
                <w:rFonts w:hint="eastAsia"/>
              </w:rPr>
              <w:t>项目</w:t>
            </w:r>
          </w:p>
        </w:tc>
        <w:tc>
          <w:tcPr>
            <w:tcW w:w="3112" w:type="dxa"/>
            <w:tcBorders>
              <w:top w:val="single" w:color="auto" w:sz="8" w:space="0"/>
              <w:bottom w:val="single" w:color="auto" w:sz="8" w:space="0"/>
            </w:tcBorders>
            <w:vAlign w:val="center"/>
          </w:tcPr>
          <w:p w14:paraId="54A98C10">
            <w:pPr>
              <w:pStyle w:val="178"/>
            </w:pPr>
            <w:r>
              <w:rPr>
                <w:rFonts w:hint="eastAsia"/>
              </w:rPr>
              <w:t>要求</w:t>
            </w:r>
          </w:p>
        </w:tc>
        <w:tc>
          <w:tcPr>
            <w:tcW w:w="3112" w:type="dxa"/>
            <w:tcBorders>
              <w:top w:val="single" w:color="auto" w:sz="8" w:space="0"/>
              <w:bottom w:val="single" w:color="auto" w:sz="8" w:space="0"/>
            </w:tcBorders>
            <w:vAlign w:val="center"/>
          </w:tcPr>
          <w:p w14:paraId="076F1849">
            <w:pPr>
              <w:pStyle w:val="178"/>
            </w:pPr>
            <w:r>
              <w:rPr>
                <w:rFonts w:hint="eastAsia"/>
              </w:rPr>
              <w:t>检验方法</w:t>
            </w:r>
          </w:p>
        </w:tc>
      </w:tr>
      <w:tr w14:paraId="500F6F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tcBorders>
            <w:vAlign w:val="center"/>
          </w:tcPr>
          <w:p w14:paraId="35B3F0EB">
            <w:pPr>
              <w:pStyle w:val="178"/>
            </w:pPr>
            <w:r>
              <w:rPr>
                <w:rFonts w:hint="eastAsia"/>
              </w:rPr>
              <w:t>色泽</w:t>
            </w:r>
          </w:p>
        </w:tc>
        <w:tc>
          <w:tcPr>
            <w:tcW w:w="3112" w:type="dxa"/>
            <w:tcBorders>
              <w:top w:val="single" w:color="auto" w:sz="8" w:space="0"/>
            </w:tcBorders>
            <w:vAlign w:val="center"/>
          </w:tcPr>
          <w:p w14:paraId="532E24BD">
            <w:pPr>
              <w:pStyle w:val="178"/>
              <w:jc w:val="both"/>
            </w:pPr>
            <w:r>
              <w:rPr>
                <w:rFonts w:hint="eastAsia"/>
              </w:rPr>
              <w:t>应具有产品应有的色泽</w:t>
            </w:r>
          </w:p>
        </w:tc>
        <w:tc>
          <w:tcPr>
            <w:tcW w:w="3112" w:type="dxa"/>
            <w:vMerge w:val="restart"/>
            <w:tcBorders>
              <w:top w:val="single" w:color="auto" w:sz="8" w:space="0"/>
            </w:tcBorders>
            <w:vAlign w:val="center"/>
          </w:tcPr>
          <w:p w14:paraId="2C44376F">
            <w:pPr>
              <w:pStyle w:val="178"/>
              <w:jc w:val="both"/>
            </w:pPr>
            <w:r>
              <w:rPr>
                <w:rFonts w:hint="eastAsia"/>
              </w:rPr>
              <w:t>取适量试样置于洁净的烧杯（固液混合状产品）或洁净的白色搪瓷盘（半固态或固态产品）中，在自然光下观察色泽、性状和杂质，并嗅其气味，用温开水漱口，品其滋味</w:t>
            </w:r>
          </w:p>
        </w:tc>
      </w:tr>
      <w:tr w14:paraId="1696EB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Align w:val="center"/>
          </w:tcPr>
          <w:p w14:paraId="7B41A49A">
            <w:pPr>
              <w:pStyle w:val="178"/>
            </w:pPr>
            <w:r>
              <w:rPr>
                <w:rFonts w:hint="eastAsia"/>
              </w:rPr>
              <w:t>性状</w:t>
            </w:r>
          </w:p>
        </w:tc>
        <w:tc>
          <w:tcPr>
            <w:tcW w:w="3112" w:type="dxa"/>
            <w:vAlign w:val="center"/>
          </w:tcPr>
          <w:p w14:paraId="20549591">
            <w:pPr>
              <w:pStyle w:val="178"/>
              <w:jc w:val="both"/>
            </w:pPr>
            <w:r>
              <w:rPr>
                <w:rFonts w:hint="eastAsia"/>
              </w:rPr>
              <w:t>固液混合状、半固态或固态，含油型半固态久置原料颗粒或细泥沉淀在底部</w:t>
            </w:r>
          </w:p>
        </w:tc>
        <w:tc>
          <w:tcPr>
            <w:tcW w:w="3112" w:type="dxa"/>
            <w:vMerge w:val="continue"/>
            <w:vAlign w:val="center"/>
          </w:tcPr>
          <w:p w14:paraId="67FAAB9F">
            <w:pPr>
              <w:pStyle w:val="178"/>
            </w:pPr>
          </w:p>
        </w:tc>
      </w:tr>
      <w:tr w14:paraId="4CC070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Align w:val="center"/>
          </w:tcPr>
          <w:p w14:paraId="36DCEBF3">
            <w:pPr>
              <w:pStyle w:val="178"/>
            </w:pPr>
            <w:r>
              <w:rPr>
                <w:rFonts w:hint="eastAsia"/>
              </w:rPr>
              <w:t>气味与滋味</w:t>
            </w:r>
          </w:p>
        </w:tc>
        <w:tc>
          <w:tcPr>
            <w:tcW w:w="3112" w:type="dxa"/>
            <w:vAlign w:val="center"/>
          </w:tcPr>
          <w:p w14:paraId="54548C6A">
            <w:pPr>
              <w:pStyle w:val="178"/>
              <w:jc w:val="both"/>
            </w:pPr>
            <w:r>
              <w:rPr>
                <w:rFonts w:hint="eastAsia"/>
              </w:rPr>
              <w:t>具有产品特有的滋味和气味，无异味、无异嗅</w:t>
            </w:r>
          </w:p>
        </w:tc>
        <w:tc>
          <w:tcPr>
            <w:tcW w:w="3112" w:type="dxa"/>
            <w:vMerge w:val="continue"/>
            <w:vAlign w:val="center"/>
          </w:tcPr>
          <w:p w14:paraId="4A9B8EC1">
            <w:pPr>
              <w:pStyle w:val="178"/>
            </w:pPr>
          </w:p>
        </w:tc>
      </w:tr>
      <w:tr w14:paraId="25A5E7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Align w:val="center"/>
          </w:tcPr>
          <w:p w14:paraId="0DAAEDC0">
            <w:pPr>
              <w:pStyle w:val="178"/>
            </w:pPr>
            <w:r>
              <w:rPr>
                <w:rFonts w:hint="eastAsia"/>
              </w:rPr>
              <w:t>杂质</w:t>
            </w:r>
          </w:p>
        </w:tc>
        <w:tc>
          <w:tcPr>
            <w:tcW w:w="3112" w:type="dxa"/>
            <w:vAlign w:val="center"/>
          </w:tcPr>
          <w:p w14:paraId="716FA362">
            <w:pPr>
              <w:pStyle w:val="178"/>
              <w:jc w:val="both"/>
            </w:pPr>
            <w:r>
              <w:rPr>
                <w:rFonts w:hint="eastAsia"/>
              </w:rPr>
              <w:t>无正常视力可见的外来杂质</w:t>
            </w:r>
          </w:p>
        </w:tc>
        <w:tc>
          <w:tcPr>
            <w:tcW w:w="3112" w:type="dxa"/>
            <w:vMerge w:val="continue"/>
            <w:vAlign w:val="center"/>
          </w:tcPr>
          <w:p w14:paraId="62DBCF20">
            <w:pPr>
              <w:pStyle w:val="178"/>
            </w:pPr>
          </w:p>
        </w:tc>
      </w:tr>
    </w:tbl>
    <w:p w14:paraId="68AD0509">
      <w:pPr>
        <w:pStyle w:val="105"/>
        <w:spacing w:before="120" w:after="120"/>
      </w:pPr>
      <w:r>
        <w:rPr>
          <w:rFonts w:hint="eastAsia"/>
        </w:rPr>
        <w:t>理化指标</w:t>
      </w:r>
    </w:p>
    <w:p w14:paraId="50A71770">
      <w:pPr>
        <w:pStyle w:val="56"/>
        <w:ind w:firstLine="420"/>
      </w:pPr>
      <w:r>
        <w:rPr>
          <w:rFonts w:hint="eastAsia"/>
        </w:rPr>
        <w:t>应符合表2的要求。</w:t>
      </w:r>
    </w:p>
    <w:p w14:paraId="353B167B">
      <w:pPr>
        <w:pStyle w:val="112"/>
        <w:spacing w:before="120" w:after="120"/>
      </w:pPr>
      <w:r>
        <w:rPr>
          <w:rFonts w:hint="eastAsia"/>
        </w:rPr>
        <w:t>理化指标</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959"/>
        <w:gridCol w:w="2263"/>
        <w:gridCol w:w="3112"/>
      </w:tblGrid>
      <w:tr w14:paraId="0D16C0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959" w:type="dxa"/>
            <w:tcBorders>
              <w:top w:val="single" w:color="auto" w:sz="8" w:space="0"/>
              <w:bottom w:val="single" w:color="auto" w:sz="8" w:space="0"/>
            </w:tcBorders>
            <w:vAlign w:val="center"/>
          </w:tcPr>
          <w:p w14:paraId="36DA2AA6">
            <w:pPr>
              <w:pStyle w:val="178"/>
            </w:pPr>
            <w:r>
              <w:rPr>
                <w:rFonts w:hint="eastAsia"/>
              </w:rPr>
              <w:t>项目</w:t>
            </w:r>
          </w:p>
        </w:tc>
        <w:tc>
          <w:tcPr>
            <w:tcW w:w="2263" w:type="dxa"/>
            <w:tcBorders>
              <w:top w:val="single" w:color="auto" w:sz="8" w:space="0"/>
              <w:bottom w:val="single" w:color="auto" w:sz="8" w:space="0"/>
            </w:tcBorders>
            <w:vAlign w:val="center"/>
          </w:tcPr>
          <w:p w14:paraId="6AA30475">
            <w:pPr>
              <w:pStyle w:val="178"/>
            </w:pPr>
            <w:r>
              <w:rPr>
                <w:rFonts w:hint="eastAsia"/>
              </w:rPr>
              <w:t>指标</w:t>
            </w:r>
          </w:p>
        </w:tc>
        <w:tc>
          <w:tcPr>
            <w:tcW w:w="3112" w:type="dxa"/>
            <w:tcBorders>
              <w:top w:val="single" w:color="auto" w:sz="8" w:space="0"/>
              <w:bottom w:val="single" w:color="auto" w:sz="8" w:space="0"/>
            </w:tcBorders>
            <w:vAlign w:val="center"/>
          </w:tcPr>
          <w:p w14:paraId="0AEEFAC3">
            <w:pPr>
              <w:pStyle w:val="178"/>
            </w:pPr>
            <w:r>
              <w:rPr>
                <w:rFonts w:hint="eastAsia"/>
              </w:rPr>
              <w:t>检验方法</w:t>
            </w:r>
          </w:p>
        </w:tc>
      </w:tr>
      <w:tr w14:paraId="5BD409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959" w:type="dxa"/>
            <w:tcBorders>
              <w:top w:val="single" w:color="auto" w:sz="8" w:space="0"/>
            </w:tcBorders>
            <w:vAlign w:val="center"/>
          </w:tcPr>
          <w:p w14:paraId="3CEED6D5">
            <w:pPr>
              <w:pStyle w:val="178"/>
              <w:jc w:val="left"/>
            </w:pPr>
            <w:r>
              <w:rPr>
                <w:rFonts w:hint="eastAsia"/>
              </w:rPr>
              <w:t>总酸（以乙酸计），g/100g                 ≥</w:t>
            </w:r>
          </w:p>
        </w:tc>
        <w:tc>
          <w:tcPr>
            <w:tcW w:w="2263" w:type="dxa"/>
            <w:tcBorders>
              <w:top w:val="single" w:color="auto" w:sz="8" w:space="0"/>
            </w:tcBorders>
            <w:vAlign w:val="center"/>
          </w:tcPr>
          <w:p w14:paraId="31B46DDD">
            <w:pPr>
              <w:pStyle w:val="178"/>
            </w:pPr>
            <w:r>
              <w:rPr>
                <w:rFonts w:hint="eastAsia"/>
              </w:rPr>
              <w:t>0.05</w:t>
            </w:r>
          </w:p>
        </w:tc>
        <w:tc>
          <w:tcPr>
            <w:tcW w:w="3112" w:type="dxa"/>
            <w:tcBorders>
              <w:top w:val="single" w:color="auto" w:sz="8" w:space="0"/>
            </w:tcBorders>
            <w:vAlign w:val="center"/>
          </w:tcPr>
          <w:p w14:paraId="71E791DF">
            <w:pPr>
              <w:pStyle w:val="178"/>
            </w:pPr>
            <w:r>
              <w:t>GB 12456</w:t>
            </w:r>
          </w:p>
        </w:tc>
      </w:tr>
      <w:tr w14:paraId="77152C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959" w:type="dxa"/>
            <w:vAlign w:val="center"/>
          </w:tcPr>
          <w:p w14:paraId="706A41E7">
            <w:pPr>
              <w:pStyle w:val="178"/>
              <w:jc w:val="left"/>
            </w:pPr>
            <w:r>
              <w:rPr>
                <w:rFonts w:hint="eastAsia"/>
              </w:rPr>
              <w:t>酸价（以脂肪计）（以KOH计）</w:t>
            </w:r>
            <w:r>
              <w:rPr>
                <w:rFonts w:hint="eastAsia"/>
                <w:vertAlign w:val="superscript"/>
              </w:rPr>
              <w:t>a</w:t>
            </w:r>
            <w:r>
              <w:rPr>
                <w:rFonts w:hint="eastAsia"/>
              </w:rPr>
              <w:t xml:space="preserve">，mg/g       </w:t>
            </w:r>
            <w:r>
              <w:rPr>
                <w:rFonts w:hint="eastAsia" w:hAnsi="宋体"/>
                <w:szCs w:val="18"/>
              </w:rPr>
              <w:t>≤</w:t>
            </w:r>
          </w:p>
        </w:tc>
        <w:tc>
          <w:tcPr>
            <w:tcW w:w="2263" w:type="dxa"/>
            <w:vAlign w:val="center"/>
          </w:tcPr>
          <w:p w14:paraId="376F3341">
            <w:pPr>
              <w:pStyle w:val="178"/>
            </w:pPr>
            <w:r>
              <w:rPr>
                <w:rFonts w:hint="eastAsia"/>
              </w:rPr>
              <w:t>3.0</w:t>
            </w:r>
          </w:p>
        </w:tc>
        <w:tc>
          <w:tcPr>
            <w:tcW w:w="3112" w:type="dxa"/>
            <w:vAlign w:val="center"/>
          </w:tcPr>
          <w:p w14:paraId="400E13AA">
            <w:pPr>
              <w:pStyle w:val="178"/>
            </w:pPr>
            <w:r>
              <w:t>GB 5009.229</w:t>
            </w:r>
          </w:p>
        </w:tc>
      </w:tr>
      <w:tr w14:paraId="646434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959" w:type="dxa"/>
            <w:vAlign w:val="center"/>
          </w:tcPr>
          <w:p w14:paraId="025689B3">
            <w:pPr>
              <w:pStyle w:val="178"/>
              <w:jc w:val="left"/>
            </w:pPr>
            <w:r>
              <w:rPr>
                <w:rFonts w:hint="eastAsia"/>
              </w:rPr>
              <w:t>过氧化值（以脂肪计）</w:t>
            </w:r>
            <w:r>
              <w:rPr>
                <w:rFonts w:hint="eastAsia"/>
                <w:vertAlign w:val="superscript"/>
              </w:rPr>
              <w:t>a</w:t>
            </w:r>
            <w:r>
              <w:rPr>
                <w:rFonts w:hint="eastAsia"/>
              </w:rPr>
              <w:t xml:space="preserve">，g/100g            </w:t>
            </w:r>
            <w:r>
              <w:rPr>
                <w:rFonts w:hAnsi="宋体"/>
                <w:szCs w:val="18"/>
              </w:rPr>
              <w:t>≤</w:t>
            </w:r>
          </w:p>
        </w:tc>
        <w:tc>
          <w:tcPr>
            <w:tcW w:w="2263" w:type="dxa"/>
            <w:vAlign w:val="center"/>
          </w:tcPr>
          <w:p w14:paraId="4CED56BE">
            <w:pPr>
              <w:pStyle w:val="178"/>
            </w:pPr>
            <w:r>
              <w:rPr>
                <w:rFonts w:hint="eastAsia"/>
              </w:rPr>
              <w:t>0.25</w:t>
            </w:r>
          </w:p>
        </w:tc>
        <w:tc>
          <w:tcPr>
            <w:tcW w:w="3112" w:type="dxa"/>
            <w:vAlign w:val="center"/>
          </w:tcPr>
          <w:p w14:paraId="48259223">
            <w:pPr>
              <w:pStyle w:val="178"/>
            </w:pPr>
            <w:r>
              <w:rPr>
                <w:rFonts w:hint="eastAsia" w:hAnsi="宋体"/>
                <w:szCs w:val="18"/>
              </w:rPr>
              <w:t>GB 5009.227</w:t>
            </w:r>
          </w:p>
        </w:tc>
      </w:tr>
      <w:tr w14:paraId="136815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959" w:type="dxa"/>
            <w:vAlign w:val="center"/>
          </w:tcPr>
          <w:p w14:paraId="7348F3D4">
            <w:pPr>
              <w:pStyle w:val="178"/>
              <w:jc w:val="left"/>
            </w:pPr>
            <w:r>
              <w:rPr>
                <w:rFonts w:hint="eastAsia"/>
              </w:rPr>
              <w:t xml:space="preserve">铅（以Pb计），mg/kg                      </w:t>
            </w:r>
            <w:r>
              <w:rPr>
                <w:rFonts w:hAnsi="宋体"/>
                <w:szCs w:val="18"/>
              </w:rPr>
              <w:t>≤</w:t>
            </w:r>
          </w:p>
        </w:tc>
        <w:tc>
          <w:tcPr>
            <w:tcW w:w="2263" w:type="dxa"/>
            <w:vAlign w:val="center"/>
          </w:tcPr>
          <w:p w14:paraId="50BF07CC">
            <w:pPr>
              <w:pStyle w:val="178"/>
            </w:pPr>
            <w:r>
              <w:rPr>
                <w:rFonts w:hint="eastAsia"/>
              </w:rPr>
              <w:t>0.8</w:t>
            </w:r>
          </w:p>
        </w:tc>
        <w:tc>
          <w:tcPr>
            <w:tcW w:w="3112" w:type="dxa"/>
            <w:vAlign w:val="center"/>
          </w:tcPr>
          <w:p w14:paraId="4B9AF9A5">
            <w:pPr>
              <w:pStyle w:val="178"/>
            </w:pPr>
            <w:r>
              <w:rPr>
                <w:rFonts w:hint="eastAsia" w:hAnsi="宋体"/>
                <w:szCs w:val="18"/>
              </w:rPr>
              <w:t>GB 5009.12</w:t>
            </w:r>
          </w:p>
        </w:tc>
      </w:tr>
      <w:tr w14:paraId="63B870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959" w:type="dxa"/>
            <w:vAlign w:val="center"/>
          </w:tcPr>
          <w:p w14:paraId="1B05BCBC">
            <w:pPr>
              <w:pStyle w:val="178"/>
              <w:jc w:val="left"/>
            </w:pPr>
            <w:r>
              <w:rPr>
                <w:rFonts w:hint="eastAsia"/>
              </w:rPr>
              <w:t xml:space="preserve">无机砷（以As计），mg/kg                  </w:t>
            </w:r>
            <w:r>
              <w:rPr>
                <w:rFonts w:hAnsi="宋体"/>
                <w:szCs w:val="18"/>
              </w:rPr>
              <w:t>≤</w:t>
            </w:r>
          </w:p>
        </w:tc>
        <w:tc>
          <w:tcPr>
            <w:tcW w:w="2263" w:type="dxa"/>
            <w:vAlign w:val="center"/>
          </w:tcPr>
          <w:p w14:paraId="46262DA5">
            <w:pPr>
              <w:pStyle w:val="178"/>
            </w:pPr>
            <w:r>
              <w:rPr>
                <w:rFonts w:hint="eastAsia"/>
              </w:rPr>
              <w:t>0.1</w:t>
            </w:r>
          </w:p>
        </w:tc>
        <w:tc>
          <w:tcPr>
            <w:tcW w:w="3112" w:type="dxa"/>
            <w:vAlign w:val="center"/>
          </w:tcPr>
          <w:p w14:paraId="41B1F95E">
            <w:pPr>
              <w:pStyle w:val="178"/>
            </w:pPr>
            <w:r>
              <w:rPr>
                <w:rFonts w:hint="eastAsia" w:hAnsi="宋体"/>
                <w:szCs w:val="18"/>
              </w:rPr>
              <w:t>GB 5009.11</w:t>
            </w:r>
          </w:p>
        </w:tc>
      </w:tr>
      <w:tr w14:paraId="6F686B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3"/>
            <w:vAlign w:val="center"/>
          </w:tcPr>
          <w:p w14:paraId="35C49B8A">
            <w:pPr>
              <w:pStyle w:val="180"/>
            </w:pPr>
            <w:r>
              <w:rPr>
                <w:rFonts w:hint="eastAsia"/>
              </w:rPr>
              <w:t>将酒糟包添加或不添加复合调料包、油辣椒包、蒜头油包混合后检验。</w:t>
            </w:r>
          </w:p>
          <w:p w14:paraId="528FBD92">
            <w:pPr>
              <w:pStyle w:val="180"/>
            </w:pPr>
            <w:r>
              <w:rPr>
                <w:rFonts w:hint="eastAsia"/>
                <w:vertAlign w:val="superscript"/>
              </w:rPr>
              <w:t>a</w:t>
            </w:r>
            <w:r>
              <w:rPr>
                <w:rFonts w:hint="eastAsia"/>
              </w:rPr>
              <w:t>仅适用于添加食用植物油的产品和油辣椒包、蒜头油包的检验。</w:t>
            </w:r>
          </w:p>
        </w:tc>
      </w:tr>
    </w:tbl>
    <w:p w14:paraId="1402F272">
      <w:pPr>
        <w:pStyle w:val="105"/>
        <w:spacing w:before="120" w:after="120"/>
      </w:pPr>
      <w:r>
        <w:rPr>
          <w:rFonts w:hint="eastAsia"/>
        </w:rPr>
        <w:t>微生物限量</w:t>
      </w:r>
    </w:p>
    <w:p w14:paraId="501BC1E0">
      <w:pPr>
        <w:pStyle w:val="56"/>
        <w:ind w:firstLine="420"/>
      </w:pPr>
      <w:r>
        <w:rPr>
          <w:rFonts w:hint="eastAsia"/>
        </w:rPr>
        <w:t>应符合表3的规定。</w:t>
      </w:r>
    </w:p>
    <w:p w14:paraId="53E98CA2">
      <w:pPr>
        <w:pStyle w:val="112"/>
        <w:spacing w:before="120" w:after="120"/>
      </w:pPr>
      <w:r>
        <w:rPr>
          <w:rFonts w:hint="eastAsia"/>
        </w:rPr>
        <w:t>微生物限量</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66"/>
        <w:gridCol w:w="1536"/>
        <w:gridCol w:w="1560"/>
        <w:gridCol w:w="1554"/>
        <w:gridCol w:w="1550"/>
        <w:gridCol w:w="1568"/>
      </w:tblGrid>
      <w:tr w14:paraId="693C47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566" w:type="dxa"/>
            <w:vMerge w:val="restart"/>
            <w:tcBorders>
              <w:top w:val="single" w:color="auto" w:sz="8" w:space="0"/>
            </w:tcBorders>
            <w:vAlign w:val="center"/>
          </w:tcPr>
          <w:p w14:paraId="41C51006">
            <w:pPr>
              <w:pStyle w:val="178"/>
            </w:pPr>
            <w:r>
              <w:rPr>
                <w:rFonts w:hint="eastAsia"/>
              </w:rPr>
              <w:t>项目</w:t>
            </w:r>
          </w:p>
        </w:tc>
        <w:tc>
          <w:tcPr>
            <w:tcW w:w="6200" w:type="dxa"/>
            <w:gridSpan w:val="4"/>
          </w:tcPr>
          <w:p w14:paraId="4004829B">
            <w:pPr>
              <w:pStyle w:val="178"/>
            </w:pPr>
            <w:r>
              <w:rPr>
                <w:rFonts w:hint="eastAsia"/>
              </w:rPr>
              <w:t>采样方案及限量（若非指定，均以/25g表示）</w:t>
            </w:r>
          </w:p>
        </w:tc>
        <w:tc>
          <w:tcPr>
            <w:tcW w:w="1568" w:type="dxa"/>
            <w:vMerge w:val="restart"/>
            <w:tcBorders>
              <w:top w:val="single" w:color="auto" w:sz="8" w:space="0"/>
            </w:tcBorders>
            <w:vAlign w:val="center"/>
          </w:tcPr>
          <w:p w14:paraId="081358A4">
            <w:pPr>
              <w:pStyle w:val="178"/>
            </w:pPr>
            <w:r>
              <w:rPr>
                <w:rFonts w:hint="eastAsia"/>
              </w:rPr>
              <w:t>检验方法</w:t>
            </w:r>
          </w:p>
        </w:tc>
      </w:tr>
      <w:tr w14:paraId="6422A6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566" w:type="dxa"/>
            <w:vMerge w:val="continue"/>
            <w:vAlign w:val="center"/>
          </w:tcPr>
          <w:p w14:paraId="488ADF67">
            <w:pPr>
              <w:pStyle w:val="178"/>
            </w:pPr>
          </w:p>
        </w:tc>
        <w:tc>
          <w:tcPr>
            <w:tcW w:w="1536" w:type="dxa"/>
            <w:tcBorders>
              <w:top w:val="single" w:color="auto" w:sz="8" w:space="0"/>
            </w:tcBorders>
            <w:vAlign w:val="center"/>
          </w:tcPr>
          <w:p w14:paraId="12A94EBC">
            <w:pPr>
              <w:pStyle w:val="178"/>
            </w:pPr>
            <w:r>
              <w:rPr>
                <w:rFonts w:hint="eastAsia" w:hAnsi="宋体"/>
                <w:szCs w:val="18"/>
              </w:rPr>
              <w:t>n</w:t>
            </w:r>
          </w:p>
        </w:tc>
        <w:tc>
          <w:tcPr>
            <w:tcW w:w="1560" w:type="dxa"/>
            <w:tcBorders>
              <w:top w:val="single" w:color="auto" w:sz="8" w:space="0"/>
            </w:tcBorders>
            <w:vAlign w:val="center"/>
          </w:tcPr>
          <w:p w14:paraId="043E2D62">
            <w:pPr>
              <w:pStyle w:val="178"/>
            </w:pPr>
            <w:r>
              <w:rPr>
                <w:rFonts w:hint="eastAsia" w:hAnsi="宋体"/>
                <w:szCs w:val="18"/>
              </w:rPr>
              <w:t>c</w:t>
            </w:r>
          </w:p>
        </w:tc>
        <w:tc>
          <w:tcPr>
            <w:tcW w:w="1554" w:type="dxa"/>
            <w:vAlign w:val="center"/>
          </w:tcPr>
          <w:p w14:paraId="605FCD16">
            <w:pPr>
              <w:pStyle w:val="178"/>
            </w:pPr>
            <w:r>
              <w:rPr>
                <w:rFonts w:hint="eastAsia" w:hAnsi="宋体"/>
                <w:szCs w:val="18"/>
              </w:rPr>
              <w:t>m</w:t>
            </w:r>
          </w:p>
        </w:tc>
        <w:tc>
          <w:tcPr>
            <w:tcW w:w="1550" w:type="dxa"/>
            <w:tcBorders>
              <w:top w:val="single" w:color="auto" w:sz="8" w:space="0"/>
            </w:tcBorders>
            <w:vAlign w:val="center"/>
          </w:tcPr>
          <w:p w14:paraId="564B9F94">
            <w:pPr>
              <w:pStyle w:val="178"/>
            </w:pPr>
            <w:r>
              <w:rPr>
                <w:rFonts w:hint="eastAsia" w:hAnsi="宋体"/>
                <w:szCs w:val="18"/>
              </w:rPr>
              <w:t>M</w:t>
            </w:r>
          </w:p>
        </w:tc>
        <w:tc>
          <w:tcPr>
            <w:tcW w:w="1568" w:type="dxa"/>
            <w:vMerge w:val="continue"/>
            <w:vAlign w:val="center"/>
          </w:tcPr>
          <w:p w14:paraId="2E35E1C2">
            <w:pPr>
              <w:pStyle w:val="178"/>
            </w:pPr>
          </w:p>
        </w:tc>
      </w:tr>
      <w:tr w14:paraId="32A5C2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66" w:type="dxa"/>
            <w:vAlign w:val="center"/>
          </w:tcPr>
          <w:p w14:paraId="2047DFCA">
            <w:pPr>
              <w:pStyle w:val="178"/>
            </w:pPr>
            <w:r>
              <w:rPr>
                <w:rFonts w:hint="eastAsia" w:hAnsi="宋体"/>
                <w:szCs w:val="18"/>
              </w:rPr>
              <w:t>沙门氏菌</w:t>
            </w:r>
          </w:p>
        </w:tc>
        <w:tc>
          <w:tcPr>
            <w:tcW w:w="1536" w:type="dxa"/>
          </w:tcPr>
          <w:p w14:paraId="00611749">
            <w:pPr>
              <w:pStyle w:val="178"/>
            </w:pPr>
            <w:r>
              <w:rPr>
                <w:rFonts w:hint="eastAsia" w:hAnsi="宋体"/>
                <w:szCs w:val="18"/>
              </w:rPr>
              <w:t>5</w:t>
            </w:r>
          </w:p>
        </w:tc>
        <w:tc>
          <w:tcPr>
            <w:tcW w:w="1560" w:type="dxa"/>
          </w:tcPr>
          <w:p w14:paraId="27C70943">
            <w:pPr>
              <w:pStyle w:val="178"/>
            </w:pPr>
            <w:r>
              <w:rPr>
                <w:rFonts w:hint="eastAsia" w:hAnsi="宋体"/>
                <w:szCs w:val="18"/>
              </w:rPr>
              <w:t>0</w:t>
            </w:r>
          </w:p>
        </w:tc>
        <w:tc>
          <w:tcPr>
            <w:tcW w:w="1554" w:type="dxa"/>
          </w:tcPr>
          <w:p w14:paraId="19BB1C98">
            <w:pPr>
              <w:pStyle w:val="178"/>
            </w:pPr>
            <w:r>
              <w:rPr>
                <w:rFonts w:hint="eastAsia" w:hAnsi="宋体"/>
                <w:szCs w:val="18"/>
              </w:rPr>
              <w:t>0</w:t>
            </w:r>
          </w:p>
        </w:tc>
        <w:tc>
          <w:tcPr>
            <w:tcW w:w="1550" w:type="dxa"/>
          </w:tcPr>
          <w:p w14:paraId="3A44BF7F">
            <w:pPr>
              <w:pStyle w:val="178"/>
            </w:pPr>
            <w:r>
              <w:rPr>
                <w:rFonts w:hint="eastAsia" w:hAnsi="宋体"/>
                <w:szCs w:val="18"/>
              </w:rPr>
              <w:t>—</w:t>
            </w:r>
          </w:p>
        </w:tc>
        <w:tc>
          <w:tcPr>
            <w:tcW w:w="1568" w:type="dxa"/>
          </w:tcPr>
          <w:p w14:paraId="7A734187">
            <w:pPr>
              <w:pStyle w:val="178"/>
            </w:pPr>
            <w:r>
              <w:rPr>
                <w:rFonts w:hAnsi="宋体"/>
                <w:szCs w:val="18"/>
              </w:rPr>
              <w:t>GB 4789.4</w:t>
            </w:r>
          </w:p>
        </w:tc>
      </w:tr>
      <w:tr w14:paraId="12F4CA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66" w:type="dxa"/>
            <w:vAlign w:val="center"/>
          </w:tcPr>
          <w:p w14:paraId="1C214032">
            <w:pPr>
              <w:pStyle w:val="178"/>
            </w:pPr>
            <w:r>
              <w:rPr>
                <w:rFonts w:hint="eastAsia" w:hAnsi="宋体"/>
                <w:szCs w:val="18"/>
              </w:rPr>
              <w:t>金黄色葡萄球菌</w:t>
            </w:r>
          </w:p>
        </w:tc>
        <w:tc>
          <w:tcPr>
            <w:tcW w:w="1536" w:type="dxa"/>
            <w:vAlign w:val="center"/>
          </w:tcPr>
          <w:p w14:paraId="42A87B28">
            <w:pPr>
              <w:pStyle w:val="178"/>
            </w:pPr>
            <w:r>
              <w:rPr>
                <w:rFonts w:hint="eastAsia" w:hAnsi="宋体"/>
                <w:szCs w:val="18"/>
              </w:rPr>
              <w:t>5</w:t>
            </w:r>
          </w:p>
        </w:tc>
        <w:tc>
          <w:tcPr>
            <w:tcW w:w="1560" w:type="dxa"/>
          </w:tcPr>
          <w:p w14:paraId="548981D3">
            <w:pPr>
              <w:pStyle w:val="178"/>
            </w:pPr>
            <w:r>
              <w:rPr>
                <w:rFonts w:hint="eastAsia" w:hAnsi="宋体"/>
                <w:szCs w:val="18"/>
              </w:rPr>
              <w:t>2</w:t>
            </w:r>
          </w:p>
        </w:tc>
        <w:tc>
          <w:tcPr>
            <w:tcW w:w="1554" w:type="dxa"/>
          </w:tcPr>
          <w:p w14:paraId="3A4662C1">
            <w:pPr>
              <w:pStyle w:val="178"/>
            </w:pPr>
            <w:r>
              <w:rPr>
                <w:rFonts w:hint="eastAsia" w:hAnsi="宋体"/>
                <w:szCs w:val="18"/>
              </w:rPr>
              <w:t>100CFU/g</w:t>
            </w:r>
          </w:p>
        </w:tc>
        <w:tc>
          <w:tcPr>
            <w:tcW w:w="1550" w:type="dxa"/>
          </w:tcPr>
          <w:p w14:paraId="39475D8E">
            <w:pPr>
              <w:pStyle w:val="178"/>
            </w:pPr>
            <w:r>
              <w:rPr>
                <w:rFonts w:hint="eastAsia" w:hAnsi="宋体"/>
                <w:szCs w:val="18"/>
              </w:rPr>
              <w:t>10000 CFU/g</w:t>
            </w:r>
          </w:p>
        </w:tc>
        <w:tc>
          <w:tcPr>
            <w:tcW w:w="1568" w:type="dxa"/>
            <w:vAlign w:val="center"/>
          </w:tcPr>
          <w:p w14:paraId="01DCE974">
            <w:pPr>
              <w:pStyle w:val="178"/>
            </w:pPr>
            <w:r>
              <w:rPr>
                <w:rFonts w:hint="eastAsia" w:hAnsi="宋体"/>
                <w:szCs w:val="18"/>
              </w:rPr>
              <w:t>GB 4789.10</w:t>
            </w:r>
          </w:p>
        </w:tc>
      </w:tr>
      <w:tr w14:paraId="1F99FC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6"/>
            <w:vAlign w:val="center"/>
          </w:tcPr>
          <w:p w14:paraId="541AB4E1">
            <w:pPr>
              <w:pStyle w:val="179"/>
            </w:pPr>
            <w:r>
              <w:rPr>
                <w:rFonts w:hint="eastAsia"/>
              </w:rPr>
              <w:t>样品的处理及采集按GB 4789.1及GB 4789.22执行。</w:t>
            </w:r>
          </w:p>
        </w:tc>
      </w:tr>
    </w:tbl>
    <w:p w14:paraId="7169152F">
      <w:pPr>
        <w:pStyle w:val="105"/>
        <w:spacing w:before="120" w:after="120"/>
      </w:pPr>
      <w:r>
        <w:rPr>
          <w:rFonts w:hint="eastAsia"/>
        </w:rPr>
        <w:t>净含量</w:t>
      </w:r>
    </w:p>
    <w:p w14:paraId="675E9E90">
      <w:pPr>
        <w:pStyle w:val="56"/>
        <w:ind w:firstLine="420"/>
      </w:pPr>
      <w:r>
        <w:rPr>
          <w:rFonts w:hint="eastAsia"/>
        </w:rPr>
        <w:t>应符合《定量包装商品计量监督管理办法》的规定，并按JJF 1070规定的方法进行测定。</w:t>
      </w:r>
    </w:p>
    <w:p w14:paraId="33F5E922">
      <w:pPr>
        <w:pStyle w:val="104"/>
        <w:spacing w:before="240" w:after="240"/>
      </w:pPr>
      <w:bookmarkStart w:id="72" w:name="_Toc213015566"/>
      <w:r>
        <w:rPr>
          <w:rFonts w:hint="eastAsia"/>
        </w:rPr>
        <w:t>检验规则</w:t>
      </w:r>
      <w:bookmarkEnd w:id="72"/>
    </w:p>
    <w:p w14:paraId="7BFD89A0">
      <w:pPr>
        <w:pStyle w:val="105"/>
        <w:spacing w:before="120" w:after="120"/>
      </w:pPr>
      <w:r>
        <w:rPr>
          <w:rFonts w:hint="eastAsia"/>
        </w:rPr>
        <w:t>组批</w:t>
      </w:r>
    </w:p>
    <w:p w14:paraId="4895BBE1">
      <w:pPr>
        <w:pStyle w:val="56"/>
        <w:ind w:firstLine="420"/>
      </w:pPr>
      <w:r>
        <w:rPr>
          <w:rFonts w:hint="eastAsia"/>
        </w:rPr>
        <w:t>以同一次调配、同一生产日期、同一生产班次生产的包装完好的产品为一组批。</w:t>
      </w:r>
    </w:p>
    <w:p w14:paraId="33559136">
      <w:pPr>
        <w:pStyle w:val="105"/>
        <w:spacing w:before="120" w:after="120"/>
      </w:pPr>
      <w:r>
        <w:rPr>
          <w:rFonts w:hint="eastAsia"/>
        </w:rPr>
        <w:t>抽样</w:t>
      </w:r>
    </w:p>
    <w:p w14:paraId="74B0A2B9">
      <w:pPr>
        <w:pStyle w:val="56"/>
        <w:ind w:firstLine="420"/>
      </w:pPr>
      <w:r>
        <w:rPr>
          <w:rFonts w:hint="eastAsia"/>
        </w:rPr>
        <w:t>每批产品按包装件数的 1‰随机抽样，不足 1 千件者按 1 千件计。每批产品抽样数量不少于 10个独立包装（总量不少于 1kg），3 个包装样品用于感官检査、理化指标检验，5 个包装样品用于微生物指标检验，2 个包装样品用于留样，另根据产品的具体规格抽取适当的样品进行净含量检验。</w:t>
      </w:r>
    </w:p>
    <w:p w14:paraId="375F98CE">
      <w:pPr>
        <w:pStyle w:val="105"/>
        <w:spacing w:before="120" w:after="120"/>
      </w:pPr>
      <w:r>
        <w:rPr>
          <w:rFonts w:hint="eastAsia"/>
        </w:rPr>
        <w:t>出厂检验</w:t>
      </w:r>
    </w:p>
    <w:p w14:paraId="6975EB94">
      <w:pPr>
        <w:pStyle w:val="56"/>
        <w:ind w:firstLine="420"/>
      </w:pPr>
      <w:r>
        <w:rPr>
          <w:rFonts w:hint="eastAsia"/>
        </w:rPr>
        <w:t>产品应由生产厂的质量监督检验部门按本标准的规定进行检验，合格后方可出厂。出厂检验项目包括：感官要求、总酸、酸价、过氧化值、净含量。</w:t>
      </w:r>
    </w:p>
    <w:p w14:paraId="6BDB7750">
      <w:pPr>
        <w:pStyle w:val="105"/>
        <w:spacing w:before="120" w:after="120"/>
      </w:pPr>
      <w:r>
        <w:rPr>
          <w:rFonts w:hint="eastAsia"/>
        </w:rPr>
        <w:t>型式检验</w:t>
      </w:r>
    </w:p>
    <w:p w14:paraId="5D7D1D24">
      <w:pPr>
        <w:pStyle w:val="56"/>
        <w:ind w:firstLine="420"/>
      </w:pPr>
      <w:r>
        <w:rPr>
          <w:rFonts w:hint="eastAsia"/>
        </w:rPr>
        <w:t>型式检验是对产品质量进行的全面考核，正常生产时每年进行一次，检验项目包括本标准技术要求中的全部项目。有下列情况之一时亦应进行型式检验。</w:t>
      </w:r>
    </w:p>
    <w:p w14:paraId="23D3C945">
      <w:pPr>
        <w:pStyle w:val="174"/>
      </w:pPr>
      <w:r>
        <w:rPr>
          <w:rFonts w:hint="eastAsia"/>
        </w:rPr>
        <w:t>产品正式投入生产时；</w:t>
      </w:r>
    </w:p>
    <w:p w14:paraId="0EDD11B8">
      <w:pPr>
        <w:pStyle w:val="174"/>
      </w:pPr>
      <w:r>
        <w:rPr>
          <w:rFonts w:hint="eastAsia"/>
        </w:rPr>
        <w:t>正式生产后，如原料、工艺有较大变化或更换主要生产设备，可能影响产品质量时；</w:t>
      </w:r>
    </w:p>
    <w:p w14:paraId="51FD756B">
      <w:pPr>
        <w:pStyle w:val="174"/>
      </w:pPr>
      <w:r>
        <w:rPr>
          <w:rFonts w:hint="eastAsia"/>
        </w:rPr>
        <w:t>出厂检验与上一次型式检验结果有较大差异时；</w:t>
      </w:r>
    </w:p>
    <w:p w14:paraId="038E5ED8">
      <w:pPr>
        <w:pStyle w:val="174"/>
      </w:pPr>
      <w:r>
        <w:rPr>
          <w:rFonts w:hint="eastAsia"/>
        </w:rPr>
        <w:t>长期停产6个月以上，恢复生产时；</w:t>
      </w:r>
    </w:p>
    <w:p w14:paraId="07D93733">
      <w:pPr>
        <w:pStyle w:val="174"/>
      </w:pPr>
      <w:r>
        <w:rPr>
          <w:rFonts w:hint="eastAsia"/>
        </w:rPr>
        <w:t>食品安全监管部门提出进行型式检验的要求时。</w:t>
      </w:r>
    </w:p>
    <w:p w14:paraId="332751E1">
      <w:pPr>
        <w:pStyle w:val="105"/>
        <w:spacing w:before="120" w:after="120"/>
      </w:pPr>
      <w:r>
        <w:rPr>
          <w:rFonts w:hint="eastAsia"/>
        </w:rPr>
        <w:t>判定规则</w:t>
      </w:r>
    </w:p>
    <w:p w14:paraId="067D00FB">
      <w:pPr>
        <w:pStyle w:val="56"/>
        <w:ind w:firstLine="420"/>
      </w:pPr>
      <w:r>
        <w:rPr>
          <w:rFonts w:hint="eastAsia"/>
        </w:rPr>
        <w:t>所检项目检验结果全部符合本标准规定时,判该批产品为合格品。微生物指标不符合本标准要求时，判该批产品为不合格品，不得复检。除微生物指标外，其它项目检验结果不符合本标准要求时，可以在原批次产品中双倍抽样复检一次，判定以复检结果为准。复检后仍有一项或一项以上不符合标准，则判该批产品为不合格品。</w:t>
      </w:r>
    </w:p>
    <w:p w14:paraId="049B414E">
      <w:pPr>
        <w:pStyle w:val="104"/>
        <w:spacing w:before="240" w:after="240"/>
      </w:pPr>
      <w:bookmarkStart w:id="73" w:name="_Toc213015567"/>
      <w:bookmarkStart w:id="74" w:name="_Hlk213017980"/>
      <w:r>
        <w:rPr>
          <w:rFonts w:hint="eastAsia"/>
        </w:rPr>
        <w:t>标签、标志、包装、运输与贮存</w:t>
      </w:r>
      <w:bookmarkEnd w:id="73"/>
    </w:p>
    <w:bookmarkEnd w:id="74"/>
    <w:p w14:paraId="5324EF94">
      <w:pPr>
        <w:pStyle w:val="105"/>
        <w:spacing w:before="120" w:after="120"/>
      </w:pPr>
      <w:r>
        <w:rPr>
          <w:rFonts w:hint="eastAsia"/>
        </w:rPr>
        <w:t>标签、标志</w:t>
      </w:r>
    </w:p>
    <w:p w14:paraId="4B07DAFB">
      <w:pPr>
        <w:pStyle w:val="56"/>
        <w:ind w:firstLine="420"/>
      </w:pPr>
      <w:r>
        <w:rPr>
          <w:rFonts w:hint="eastAsia"/>
        </w:rPr>
        <w:t>应符合GB 7718、GB 28050和GB 2758的有关要求。运输包装的储运标志应符合GB/T 191的规定。</w:t>
      </w:r>
    </w:p>
    <w:p w14:paraId="07689D56">
      <w:pPr>
        <w:pStyle w:val="105"/>
        <w:spacing w:before="120" w:after="120"/>
      </w:pPr>
      <w:r>
        <w:rPr>
          <w:rFonts w:hint="eastAsia"/>
        </w:rPr>
        <w:t>包装</w:t>
      </w:r>
    </w:p>
    <w:p w14:paraId="5368B107">
      <w:pPr>
        <w:pStyle w:val="56"/>
        <w:ind w:firstLine="420"/>
      </w:pPr>
      <w:r>
        <w:rPr>
          <w:rFonts w:hint="eastAsia"/>
        </w:rPr>
        <w:t>产品包装材料应符合GB 4806.5或GB 4806.7的要求；或采用符合食品安全相关国家标准要求的其他包装材料，产品销售包装应符合GB 23350的要求。外包装用瓦楞纸箱应符合GB/T 6543的规定。</w:t>
      </w:r>
    </w:p>
    <w:p w14:paraId="725C29A3">
      <w:pPr>
        <w:pStyle w:val="105"/>
        <w:spacing w:before="120" w:after="120"/>
      </w:pPr>
      <w:r>
        <w:rPr>
          <w:rFonts w:hint="eastAsia"/>
        </w:rPr>
        <w:t>运输</w:t>
      </w:r>
    </w:p>
    <w:p w14:paraId="54B65916">
      <w:pPr>
        <w:pStyle w:val="56"/>
        <w:ind w:firstLine="420"/>
      </w:pPr>
      <w:r>
        <w:rPr>
          <w:rFonts w:hint="eastAsia"/>
        </w:rPr>
        <w:t>运输工具必须清洁、干燥、无异味、无污染；运输时应防雨、防潮、防曝晒；装卸时轻放轻卸,不得与有毒、有害、有异味或其他可能影响产品品质的物品混装、混运。</w:t>
      </w:r>
    </w:p>
    <w:p w14:paraId="72847908">
      <w:pPr>
        <w:pStyle w:val="105"/>
        <w:spacing w:before="120" w:after="120"/>
      </w:pPr>
      <w:r>
        <w:rPr>
          <w:rFonts w:hint="eastAsia"/>
        </w:rPr>
        <w:t>贮存</w:t>
      </w:r>
    </w:p>
    <w:p w14:paraId="5F241227">
      <w:pPr>
        <w:pStyle w:val="56"/>
        <w:ind w:firstLine="420"/>
      </w:pPr>
      <w:r>
        <w:rPr>
          <w:rFonts w:hint="eastAsia"/>
        </w:rPr>
        <w:t>产品应贮于清洁、干燥、防潮、无异味的专用仓库内；仓库周围应无异气污染；不得与有毒、有害有异味、易挥发、易腐蚀或其他可能影响产品品质的物品同库储存。</w:t>
      </w:r>
    </w:p>
    <w:p w14:paraId="05D951E4">
      <w:pPr>
        <w:pStyle w:val="104"/>
        <w:spacing w:before="240" w:after="240"/>
      </w:pPr>
      <w:bookmarkStart w:id="75" w:name="_Toc213015568"/>
      <w:r>
        <w:rPr>
          <w:rFonts w:hint="eastAsia"/>
        </w:rPr>
        <w:t>保质期</w:t>
      </w:r>
      <w:bookmarkEnd w:id="75"/>
    </w:p>
    <w:p w14:paraId="7D2744A2">
      <w:pPr>
        <w:pStyle w:val="56"/>
        <w:ind w:firstLine="420"/>
      </w:pPr>
      <w:r>
        <w:rPr>
          <w:rFonts w:hint="eastAsia"/>
        </w:rPr>
        <w:t>在符合本标准规定的条件下，产品保质期按标签标示执行。</w:t>
      </w:r>
    </w:p>
    <w:bookmarkEnd w:id="34"/>
    <w:p w14:paraId="6680EC84">
      <w:pPr>
        <w:pStyle w:val="56"/>
        <w:ind w:firstLine="0" w:firstLineChars="0"/>
        <w:jc w:val="center"/>
      </w:pPr>
      <w:bookmarkStart w:id="76" w:name="BookMark8"/>
      <w:r>
        <w:rPr>
          <w:rFonts w:hint="eastAsia"/>
        </w:rPr>
        <w:drawing>
          <wp:inline distT="0" distB="0" distL="0" distR="0">
            <wp:extent cx="1485900" cy="317500"/>
            <wp:effectExtent l="0" t="0" r="0" b="6350"/>
            <wp:docPr id="1605983485" name="图片 3"/>
            <wp:cNvGraphicFramePr/>
            <a:graphic xmlns:a="http://schemas.openxmlformats.org/drawingml/2006/main">
              <a:graphicData uri="http://schemas.openxmlformats.org/drawingml/2006/picture">
                <pic:pic xmlns:pic="http://schemas.openxmlformats.org/drawingml/2006/picture">
                  <pic:nvPicPr>
                    <pic:cNvPr id="1605983485"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6"/>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8231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D0262">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560DB">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87794">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56864">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2E460">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B42F7">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CB16C">
    <w:pPr>
      <w:pStyle w:val="61"/>
      <w:rPr>
        <w:rFonts w:hint="eastAsia"/>
      </w:rPr>
    </w:pPr>
    <w:r>
      <w:fldChar w:fldCharType="begin"/>
    </w:r>
    <w:r>
      <w:instrText xml:space="preserve"> STYLEREF  标准文件_文件编号  \* MERGEFORMAT </w:instrText>
    </w:r>
    <w:r>
      <w:fldChar w:fldCharType="separate"/>
    </w:r>
    <w: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CE32F">
    <w:pPr>
      <w:pStyle w:val="18"/>
      <w:jc w:val="right"/>
    </w:pPr>
    <w:r>
      <w:fldChar w:fldCharType="begin"/>
    </w:r>
    <w:r>
      <w:instrText xml:space="preserve"> STYLEREF  标准文件_文件编号  \* MERGEFORMAT </w:instrText>
    </w:r>
    <w:r>
      <w:fldChar w:fldCharType="separate"/>
    </w:r>
    <w:r>
      <w:t>T/XXX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attachedTemplate r:id="rId1"/>
  <w:documentProtection w:edit="forms" w:enforcement="1" w:cryptProviderType="rsaAES" w:cryptAlgorithmClass="hash" w:cryptAlgorithmType="typeAny" w:cryptAlgorithmSid="14" w:cryptSpinCount="100000" w:hash="STjOh2nTqQUiec/m2ZTE6eXQGPDj6ppnOQOe4zoihsJmTl6AaTBiUyHZdok5dPvHI+J/3FLD1BpnIp70bFo8ZQ==" w:salt="gn2+JbvALU6rjep+z837Nw=="/>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7B1"/>
    <w:rsid w:val="0000040A"/>
    <w:rsid w:val="00000A94"/>
    <w:rsid w:val="00000BF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298"/>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4DF8"/>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31AC"/>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5C88"/>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66D7"/>
    <w:rsid w:val="00257C40"/>
    <w:rsid w:val="0026148A"/>
    <w:rsid w:val="00262696"/>
    <w:rsid w:val="00262FC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4896"/>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6B6"/>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1CF8"/>
    <w:rsid w:val="00392AD7"/>
    <w:rsid w:val="003938D9"/>
    <w:rsid w:val="00394376"/>
    <w:rsid w:val="003943FF"/>
    <w:rsid w:val="003974EB"/>
    <w:rsid w:val="00397CC5"/>
    <w:rsid w:val="003A11D1"/>
    <w:rsid w:val="003A1582"/>
    <w:rsid w:val="003A3D9C"/>
    <w:rsid w:val="003A404A"/>
    <w:rsid w:val="003A4077"/>
    <w:rsid w:val="003A4AA7"/>
    <w:rsid w:val="003A6D97"/>
    <w:rsid w:val="003B09AD"/>
    <w:rsid w:val="003B18E3"/>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5EAE"/>
    <w:rsid w:val="004960F2"/>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4328"/>
    <w:rsid w:val="00555044"/>
    <w:rsid w:val="005600EF"/>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59"/>
    <w:rsid w:val="005B6CF6"/>
    <w:rsid w:val="005B7422"/>
    <w:rsid w:val="005C29B8"/>
    <w:rsid w:val="005C4F6F"/>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53A3"/>
    <w:rsid w:val="006015CE"/>
    <w:rsid w:val="00604784"/>
    <w:rsid w:val="00606419"/>
    <w:rsid w:val="00606D7E"/>
    <w:rsid w:val="00607D29"/>
    <w:rsid w:val="00612952"/>
    <w:rsid w:val="00614CC1"/>
    <w:rsid w:val="0061527C"/>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695F"/>
    <w:rsid w:val="006F03A8"/>
    <w:rsid w:val="006F2ACA"/>
    <w:rsid w:val="006F2ADC"/>
    <w:rsid w:val="006F2BFE"/>
    <w:rsid w:val="006F31E9"/>
    <w:rsid w:val="006F6284"/>
    <w:rsid w:val="006F74B9"/>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7D96"/>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3E4E"/>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086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5858"/>
    <w:rsid w:val="00960F1E"/>
    <w:rsid w:val="009610DC"/>
    <w:rsid w:val="00961490"/>
    <w:rsid w:val="0096381A"/>
    <w:rsid w:val="009641CB"/>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C5E24"/>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57B1"/>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B7B50"/>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A7FC5"/>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6741B"/>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4A0"/>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23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498B"/>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01DF"/>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2EE1"/>
    <w:rsid w:val="00EA58D1"/>
    <w:rsid w:val="00EA61BC"/>
    <w:rsid w:val="00EA681A"/>
    <w:rsid w:val="00EA735B"/>
    <w:rsid w:val="00EB1E69"/>
    <w:rsid w:val="00EB2086"/>
    <w:rsid w:val="00EB31ED"/>
    <w:rsid w:val="00EB4A6E"/>
    <w:rsid w:val="00EB5EDF"/>
    <w:rsid w:val="00EB60FE"/>
    <w:rsid w:val="00EB74DB"/>
    <w:rsid w:val="00EC5359"/>
    <w:rsid w:val="00EC562A"/>
    <w:rsid w:val="00ED067A"/>
    <w:rsid w:val="00ED2B50"/>
    <w:rsid w:val="00EE0350"/>
    <w:rsid w:val="00EE0719"/>
    <w:rsid w:val="00EE0E80"/>
    <w:rsid w:val="00EE5153"/>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30B1"/>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0C42"/>
    <w:rsid w:val="00F82970"/>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3FDE"/>
    <w:rsid w:val="00FE4BCE"/>
    <w:rsid w:val="00FE54AE"/>
    <w:rsid w:val="00FE576A"/>
    <w:rsid w:val="00FE7E79"/>
    <w:rsid w:val="00FF3E7D"/>
    <w:rsid w:val="00FF5B99"/>
    <w:rsid w:val="00FF730C"/>
    <w:rsid w:val="00FF73F4"/>
    <w:rsid w:val="00FF7CE4"/>
    <w:rsid w:val="00FF7E39"/>
    <w:rsid w:val="1C6D2EE3"/>
    <w:rsid w:val="27414B49"/>
    <w:rsid w:val="61AE0FAA"/>
    <w:rsid w:val="6F033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一级条标题"/>
    <w:basedOn w:val="105"/>
    <w:next w:val="1"/>
    <w:qFormat/>
    <w:uiPriority w:val="0"/>
    <w:pPr>
      <w:numPr>
        <w:ilvl w:val="0"/>
        <w:numId w:val="0"/>
      </w:numPr>
      <w:tabs>
        <w:tab w:val="left" w:pos="2258"/>
      </w:tabs>
      <w:spacing w:before="0" w:after="0"/>
      <w:ind w:left="2258" w:hanging="420"/>
    </w:pPr>
    <w:rPr>
      <w:rFonts w:ascii="Times New Roman" w:cs="黑体"/>
      <w:szCs w:val="21"/>
    </w:rPr>
  </w:style>
  <w:style w:type="paragraph" w:customStyle="1" w:styleId="231">
    <w:name w:val="二级条标题"/>
    <w:basedOn w:val="65"/>
    <w:next w:val="1"/>
    <w:autoRedefine/>
    <w:qFormat/>
    <w:uiPriority w:val="0"/>
    <w:pPr>
      <w:numPr>
        <w:ilvl w:val="0"/>
        <w:numId w:val="0"/>
      </w:numPr>
      <w:tabs>
        <w:tab w:val="left" w:pos="2150"/>
      </w:tabs>
      <w:spacing w:before="0" w:after="0"/>
      <w:ind w:left="2150" w:hanging="420"/>
    </w:pPr>
    <w:rPr>
      <w:rFonts w:ascii="Times New Roman" w:cs="黑体"/>
      <w:szCs w:val="21"/>
    </w:rPr>
  </w:style>
  <w:style w:type="paragraph" w:customStyle="1" w:styleId="232">
    <w:name w:val="字母编号列项（一级）"/>
    <w:autoRedefine/>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233">
    <w:name w:val="1章标题"/>
    <w:next w:val="56"/>
    <w:qFormat/>
    <w:uiPriority w:val="99"/>
    <w:pPr>
      <w:spacing w:beforeLines="50" w:afterLines="50"/>
      <w:jc w:val="both"/>
      <w:outlineLvl w:val="0"/>
    </w:pPr>
    <w:rPr>
      <w:rFonts w:ascii="黑体" w:hAnsi="Times New Roman" w:eastAsia="黑体" w:cs="黑体"/>
      <w:sz w:val="21"/>
      <w:szCs w:val="21"/>
      <w:lang w:val="en-US" w:eastAsia="zh-CN" w:bidi="ar-SA"/>
    </w:rPr>
  </w:style>
  <w:style w:type="paragraph" w:customStyle="1" w:styleId="234">
    <w:name w:val="章标题"/>
    <w:basedOn w:val="233"/>
    <w:next w:val="1"/>
    <w:qFormat/>
    <w:uiPriority w:val="0"/>
    <w:pPr>
      <w:spacing w:beforeLines="100" w:afterLines="100"/>
    </w:pPr>
    <w:rPr>
      <w:rFonts w:ascii="Times New Roman"/>
    </w:rPr>
  </w:style>
  <w:style w:type="paragraph" w:customStyle="1" w:styleId="235">
    <w:name w:val="段"/>
    <w:basedOn w:val="1"/>
    <w:qFormat/>
    <w:uiPriority w:val="0"/>
    <w:pPr>
      <w:spacing w:line="240" w:lineRule="auto"/>
      <w:ind w:firstLine="420" w:firstLineChars="200"/>
    </w:pPr>
    <w:rPr>
      <w:rFonts w:ascii="Times New Roman" w:hAnsi="Times New Roman" w:cs="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891A32F2890401F849CDBE7052D0279"/>
        <w:style w:val=""/>
        <w:category>
          <w:name w:val="常规"/>
          <w:gallery w:val="placeholder"/>
        </w:category>
        <w:types>
          <w:type w:val="bbPlcHdr"/>
        </w:types>
        <w:behaviors>
          <w:behavior w:val="content"/>
        </w:behaviors>
        <w:description w:val=""/>
        <w:guid w:val="{2E632E23-C541-4C0A-AFFD-8CFEC8B90C8A}"/>
      </w:docPartPr>
      <w:docPartBody>
        <w:p w14:paraId="6BC16EFC">
          <w:pPr>
            <w:pStyle w:val="5"/>
            <w:rPr>
              <w:rFonts w:hint="eastAsia"/>
            </w:rPr>
          </w:pPr>
          <w:r>
            <w:rPr>
              <w:rStyle w:val="4"/>
              <w:rFonts w:hint="eastAsia"/>
            </w:rPr>
            <w:t>单击或点击此处输入文字。</w:t>
          </w:r>
        </w:p>
      </w:docPartBody>
    </w:docPart>
    <w:docPart>
      <w:docPartPr>
        <w:name w:val="E34F6C7A9D1E4F16A3BC2D9E609FE853"/>
        <w:style w:val=""/>
        <w:category>
          <w:name w:val="常规"/>
          <w:gallery w:val="placeholder"/>
        </w:category>
        <w:types>
          <w:type w:val="bbPlcHdr"/>
        </w:types>
        <w:behaviors>
          <w:behavior w:val="content"/>
        </w:behaviors>
        <w:description w:val=""/>
        <w:guid w:val="{C632EC7E-8F59-403A-B0BC-9A2A3FB25981}"/>
      </w:docPartPr>
      <w:docPartBody>
        <w:p w14:paraId="25CCF316">
          <w:pPr>
            <w:pStyle w:val="6"/>
            <w:rPr>
              <w:rFonts w:hint="eastAsia"/>
            </w:rPr>
          </w:pPr>
          <w:r>
            <w:rPr>
              <w:rStyle w:val="4"/>
              <w:rFonts w:hint="eastAsia"/>
            </w:rPr>
            <w:t>选择一项。</w:t>
          </w:r>
        </w:p>
      </w:docPartBody>
    </w:docPart>
    <w:docPart>
      <w:docPartPr>
        <w:name w:val="42D41501962E4FFF9FD9F2D2F0817FE6"/>
        <w:style w:val=""/>
        <w:category>
          <w:name w:val="常规"/>
          <w:gallery w:val="placeholder"/>
        </w:category>
        <w:types>
          <w:type w:val="bbPlcHdr"/>
        </w:types>
        <w:behaviors>
          <w:behavior w:val="content"/>
        </w:behaviors>
        <w:description w:val=""/>
        <w:guid w:val="{CFBE3DDB-6322-4CBE-BABE-DFE65D818978}"/>
      </w:docPartPr>
      <w:docPartBody>
        <w:p w14:paraId="308E704F">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8C"/>
    <w:rsid w:val="00035298"/>
    <w:rsid w:val="00257C40"/>
    <w:rsid w:val="002667C6"/>
    <w:rsid w:val="002A3C41"/>
    <w:rsid w:val="00362F3E"/>
    <w:rsid w:val="003A404A"/>
    <w:rsid w:val="00426D41"/>
    <w:rsid w:val="0057698C"/>
    <w:rsid w:val="00655048"/>
    <w:rsid w:val="007C4C13"/>
    <w:rsid w:val="008A086C"/>
    <w:rsid w:val="00A53977"/>
    <w:rsid w:val="00BA599D"/>
    <w:rsid w:val="00DC4341"/>
    <w:rsid w:val="00E04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891A32F2890401F849CDBE7052D0279"/>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E34F6C7A9D1E4F16A3BC2D9E609FE853"/>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42D41501962E4FFF9FD9F2D2F0817FE6"/>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9</Pages>
  <Words>4225</Words>
  <Characters>4807</Characters>
  <Lines>212</Lines>
  <Paragraphs>285</Paragraphs>
  <TotalTime>0</TotalTime>
  <ScaleCrop>false</ScaleCrop>
  <LinksUpToDate>false</LinksUpToDate>
  <CharactersWithSpaces>5139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2025-10-30T12:56:00Z</dcterms:created>
  <dc:creator>HUAWEI</dc:creator>
  <dc:description>&lt;config cover="true" show_menu="true" version="1.0.0" doctype="SDKXY"&gt;_x000d_
&lt;/config&gt;</dc:description>
  <cp:lastModifiedBy>菲儿</cp:lastModifiedBy>
  <cp:lastPrinted>2025-11-02T15:19:00Z</cp:lastPrinted>
  <dcterms:modified xsi:type="dcterms:W3CDTF">2025-11-10T07:54:49Z</dcterms:modified>
  <dc:title>团体标准</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eyJoZGlkIjoiN2E5ZGE4MTMwMzdjOGVkZDZlN2Y5OWNiNTFkZThjNjIiLCJ1c2VySWQiOiI0NjkzMTgyMjcifQ==</vt:lpwstr>
  </property>
  <property fmtid="{D5CDD505-2E9C-101B-9397-08002B2CF9AE}" pid="15" name="KSOProductBuildVer">
    <vt:lpwstr>2052-12.1.0.23125</vt:lpwstr>
  </property>
  <property fmtid="{D5CDD505-2E9C-101B-9397-08002B2CF9AE}" pid="16" name="ICV">
    <vt:lpwstr>6802E932A9CC4CF88F6616151CDBD9EC_13</vt:lpwstr>
  </property>
</Properties>
</file>