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65FA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09831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F6066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65.020.30</w:t>
            </w:r>
            <w:r>
              <w:rPr>
                <w:rFonts w:ascii="黑体" w:hAnsi="黑体" w:eastAsia="黑体"/>
                <w:sz w:val="21"/>
                <w:szCs w:val="21"/>
              </w:rPr>
              <w:fldChar w:fldCharType="end"/>
            </w:r>
            <w:bookmarkEnd w:id="0"/>
          </w:p>
        </w:tc>
      </w:tr>
      <w:tr w14:paraId="1D3A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21DD5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20363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435762E">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2719A0C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40</w:t>
            </w:r>
            <w:r>
              <w:rPr>
                <w:rFonts w:ascii="黑体" w:hAnsi="黑体" w:eastAsia="黑体"/>
                <w:sz w:val="21"/>
                <w:szCs w:val="21"/>
              </w:rPr>
              <w:fldChar w:fldCharType="end"/>
            </w:r>
            <w:bookmarkEnd w:id="2"/>
          </w:p>
        </w:tc>
      </w:tr>
    </w:tbl>
    <w:p w14:paraId="661B48DC">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val="en-US" w:eastAsia="zh-CN"/>
        </w:rPr>
        <w:t>海南省质量协会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FC6FE7B">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 xml:space="preserve">    </w:t>
      </w:r>
      <w:r>
        <w:fldChar w:fldCharType="end"/>
      </w:r>
      <w:bookmarkEnd w:id="7"/>
    </w:p>
    <w:p w14:paraId="501D975D">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A44AD1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B1312F">
      <w:pPr>
        <w:pStyle w:val="50"/>
        <w:framePr w:w="9639" w:h="6976" w:hRule="exact" w:hSpace="0" w:vSpace="0" w:wrap="around" w:hAnchor="page" w:y="6408"/>
        <w:jc w:val="center"/>
        <w:rPr>
          <w:rFonts w:hint="eastAsia" w:ascii="黑体" w:hAnsi="黑体" w:eastAsia="黑体"/>
          <w:b w:val="0"/>
          <w:bCs w:val="0"/>
          <w:w w:val="100"/>
        </w:rPr>
      </w:pPr>
    </w:p>
    <w:p w14:paraId="43B8AC2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海南消费领域区域公共品牌 养殖技术规范</w:t>
      </w:r>
      <w:r>
        <w:fldChar w:fldCharType="end"/>
      </w:r>
      <w:bookmarkEnd w:id="9"/>
    </w:p>
    <w:p w14:paraId="1EB0D9A4">
      <w:pPr>
        <w:framePr w:w="9639" w:h="6974" w:hRule="exact" w:wrap="around" w:vAnchor="page" w:hAnchor="page" w:x="1419" w:y="6408" w:anchorLock="1"/>
        <w:ind w:left="-1418"/>
      </w:pPr>
    </w:p>
    <w:p w14:paraId="019A260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Technical </w:t>
      </w:r>
      <w:r>
        <w:rPr>
          <w:rFonts w:hint="eastAsia" w:eastAsia="黑体"/>
          <w:szCs w:val="28"/>
          <w:lang w:val="en-US" w:eastAsia="zh-CN"/>
        </w:rPr>
        <w:t>s</w:t>
      </w:r>
      <w:r>
        <w:rPr>
          <w:rFonts w:hint="eastAsia" w:eastAsia="黑体"/>
          <w:szCs w:val="28"/>
        </w:rPr>
        <w:t xml:space="preserve">pecifications for </w:t>
      </w:r>
      <w:r>
        <w:rPr>
          <w:rFonts w:hint="eastAsia" w:eastAsia="黑体"/>
          <w:szCs w:val="28"/>
          <w:lang w:val="en-US" w:eastAsia="zh-CN"/>
        </w:rPr>
        <w:t>b</w:t>
      </w:r>
      <w:r>
        <w:rPr>
          <w:rFonts w:hint="eastAsia" w:eastAsia="黑体"/>
          <w:szCs w:val="28"/>
        </w:rPr>
        <w:t>reeding of</w:t>
      </w:r>
      <w:r>
        <w:rPr>
          <w:rFonts w:hint="eastAsia" w:eastAsia="黑体"/>
          <w:szCs w:val="28"/>
          <w:lang w:val="en-US" w:eastAsia="zh-CN"/>
        </w:rPr>
        <w:t xml:space="preserve"> r</w:t>
      </w:r>
      <w:r>
        <w:rPr>
          <w:rFonts w:hint="eastAsia" w:eastAsia="黑体"/>
          <w:szCs w:val="28"/>
        </w:rPr>
        <w:t xml:space="preserve">egional </w:t>
      </w:r>
      <w:r>
        <w:rPr>
          <w:rFonts w:hint="eastAsia" w:eastAsia="黑体"/>
          <w:szCs w:val="28"/>
          <w:lang w:val="en-US" w:eastAsia="zh-CN"/>
        </w:rPr>
        <w:t>p</w:t>
      </w:r>
      <w:r>
        <w:rPr>
          <w:rFonts w:hint="eastAsia" w:eastAsia="黑体"/>
          <w:szCs w:val="28"/>
        </w:rPr>
        <w:t>ublic</w:t>
      </w:r>
      <w:r>
        <w:rPr>
          <w:rFonts w:hint="eastAsia" w:eastAsia="黑体"/>
          <w:szCs w:val="28"/>
          <w:lang w:val="en-US" w:eastAsia="zh-CN"/>
        </w:rPr>
        <w:t>b</w:t>
      </w:r>
      <w:r>
        <w:rPr>
          <w:rFonts w:hint="eastAsia" w:eastAsia="黑体"/>
          <w:szCs w:val="28"/>
        </w:rPr>
        <w:t xml:space="preserve">rand for the </w:t>
      </w:r>
      <w:r>
        <w:rPr>
          <w:rFonts w:hint="eastAsia" w:eastAsia="黑体"/>
          <w:szCs w:val="28"/>
          <w:lang w:val="en-US" w:eastAsia="zh-CN"/>
        </w:rPr>
        <w:t>c</w:t>
      </w:r>
      <w:r>
        <w:rPr>
          <w:rFonts w:hint="eastAsia" w:eastAsia="黑体"/>
          <w:szCs w:val="28"/>
        </w:rPr>
        <w:t xml:space="preserve">onsumer </w:t>
      </w:r>
      <w:r>
        <w:rPr>
          <w:rFonts w:hint="eastAsia" w:eastAsia="黑体"/>
          <w:szCs w:val="28"/>
          <w:lang w:val="en-US" w:eastAsia="zh-CN"/>
        </w:rPr>
        <w:t>s</w:t>
      </w:r>
      <w:r>
        <w:rPr>
          <w:rFonts w:hint="eastAsia" w:eastAsia="黑体"/>
          <w:szCs w:val="28"/>
        </w:rPr>
        <w:t xml:space="preserve">ector of Hainan </w:t>
      </w:r>
      <w:r>
        <w:rPr>
          <w:rFonts w:hint="eastAsia" w:eastAsia="黑体"/>
          <w:szCs w:val="28"/>
          <w:lang w:val="en-US" w:eastAsia="zh-CN"/>
        </w:rPr>
        <w:t>p</w:t>
      </w:r>
      <w:bookmarkStart w:id="76" w:name="_GoBack"/>
      <w:bookmarkEnd w:id="76"/>
      <w:r>
        <w:rPr>
          <w:rFonts w:hint="eastAsia" w:eastAsia="黑体"/>
          <w:szCs w:val="28"/>
        </w:rPr>
        <w:t>rovince</w:t>
      </w:r>
      <w:r>
        <w:rPr>
          <w:rFonts w:eastAsia="黑体"/>
          <w:szCs w:val="28"/>
        </w:rPr>
        <w:fldChar w:fldCharType="end"/>
      </w:r>
      <w:bookmarkEnd w:id="10"/>
    </w:p>
    <w:p w14:paraId="11B16590">
      <w:pPr>
        <w:framePr w:w="9639" w:h="6974" w:hRule="exact" w:wrap="around" w:vAnchor="page" w:hAnchor="page" w:x="1419" w:y="6408" w:anchorLock="1"/>
        <w:spacing w:line="760" w:lineRule="exact"/>
        <w:ind w:left="-1418"/>
      </w:pPr>
    </w:p>
    <w:p w14:paraId="5D91ED53">
      <w:pPr>
        <w:pStyle w:val="125"/>
        <w:framePr w:w="9639" w:h="6974" w:hRule="exact" w:wrap="around" w:vAnchor="page" w:hAnchor="page" w:x="1419" w:y="6408" w:anchorLock="1"/>
        <w:textAlignment w:val="bottom"/>
        <w:rPr>
          <w:rFonts w:eastAsia="黑体"/>
          <w:szCs w:val="28"/>
        </w:rPr>
      </w:pPr>
    </w:p>
    <w:p w14:paraId="424A6E5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C77F86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180E6A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91E463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0978EE9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7F652629">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海南省质量协会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675EBE7">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B78FECF">
      <w:pPr>
        <w:pStyle w:val="91"/>
        <w:spacing w:after="360"/>
      </w:pPr>
      <w:bookmarkStart w:id="21" w:name="BookMark1"/>
      <w:bookmarkStart w:id="22" w:name="_Toc212752830"/>
      <w:bookmarkStart w:id="23" w:name="_Toc212752255"/>
      <w:bookmarkStart w:id="24" w:name="_Toc212752231"/>
      <w:r>
        <w:rPr>
          <w:rFonts w:hint="eastAsia"/>
          <w:spacing w:val="320"/>
        </w:rPr>
        <w:t>目</w:t>
      </w:r>
      <w:r>
        <w:rPr>
          <w:rFonts w:hint="eastAsia"/>
        </w:rPr>
        <w:t>次</w:t>
      </w:r>
    </w:p>
    <w:p w14:paraId="5CCD441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"_Toc212754730"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_Toc212754730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49BAC44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"_Toc212754731"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_Toc212754731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D08DD6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_Toc212754732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82219F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_Toc212754733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F4C2F3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_Toc212754734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8BC3A4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"_Toc212754735" </w:instrText>
      </w:r>
      <w:r>
        <w:fldChar w:fldCharType="separate"/>
      </w:r>
      <w:r>
        <w:rPr>
          <w:rStyle w:val="32"/>
          <w:rFonts w:hint="eastAsia" w:ascii="黑体"/>
        </w:rPr>
        <w:t>4</w:t>
      </w:r>
      <w:r>
        <w:rPr>
          <w:rStyle w:val="32"/>
          <w:rFonts w:ascii="黑体"/>
        </w:rPr>
        <w:t xml:space="preserve"> </w:t>
      </w:r>
      <w:r>
        <w:rPr>
          <w:rStyle w:val="32"/>
          <w:rFonts w:hint="eastAsia"/>
        </w:rPr>
        <w:t xml:space="preserve"> 环境要求</w:t>
      </w:r>
      <w:r>
        <w:rPr>
          <w:rFonts w:hint="eastAsia"/>
        </w:rPr>
        <w:tab/>
      </w:r>
      <w:r>
        <w:rPr>
          <w:rFonts w:hint="eastAsia"/>
        </w:rPr>
        <w:fldChar w:fldCharType="begin"/>
      </w:r>
      <w:r>
        <w:rPr>
          <w:rFonts w:hint="eastAsia"/>
        </w:rPr>
        <w:instrText xml:space="preserve"> </w:instrText>
      </w:r>
      <w:r>
        <w:instrText xml:space="preserve">PAGEREF _Toc212754735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813B1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"_Toc212754736" </w:instrText>
      </w:r>
      <w:r>
        <w:fldChar w:fldCharType="separate"/>
      </w:r>
      <w:r>
        <w:rPr>
          <w:rStyle w:val="32"/>
          <w:rFonts w:hint="eastAsia"/>
        </w:rPr>
        <w:t>5</w:t>
      </w:r>
      <w:r>
        <w:rPr>
          <w:rStyle w:val="32"/>
        </w:rPr>
        <w:t xml:space="preserve"> </w:t>
      </w:r>
      <w:r>
        <w:rPr>
          <w:rStyle w:val="32"/>
          <w:rFonts w:hint="eastAsia"/>
        </w:rPr>
        <w:t xml:space="preserve"> 养殖过程</w:t>
      </w:r>
      <w:r>
        <w:rPr>
          <w:rFonts w:hint="eastAsia"/>
        </w:rPr>
        <w:tab/>
      </w:r>
      <w:r>
        <w:rPr>
          <w:rFonts w:hint="eastAsia"/>
        </w:rPr>
        <w:fldChar w:fldCharType="begin"/>
      </w:r>
      <w:r>
        <w:rPr>
          <w:rFonts w:hint="eastAsia"/>
        </w:rPr>
        <w:instrText xml:space="preserve"> </w:instrText>
      </w:r>
      <w:r>
        <w:instrText xml:space="preserve">PAGEREF _Toc212754736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6866B3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"_Toc212754737" </w:instrText>
      </w:r>
      <w:r>
        <w:fldChar w:fldCharType="separate"/>
      </w:r>
      <w:r>
        <w:rPr>
          <w:rStyle w:val="32"/>
          <w:rFonts w:hint="eastAsia"/>
        </w:rPr>
        <w:t>6</w:t>
      </w:r>
      <w:r>
        <w:rPr>
          <w:rStyle w:val="32"/>
        </w:rPr>
        <w:t xml:space="preserve"> </w:t>
      </w:r>
      <w:r>
        <w:rPr>
          <w:rStyle w:val="32"/>
          <w:rFonts w:hint="eastAsia"/>
        </w:rPr>
        <w:t xml:space="preserve"> 质量要求</w:t>
      </w:r>
      <w:r>
        <w:rPr>
          <w:rFonts w:hint="eastAsia"/>
        </w:rPr>
        <w:tab/>
      </w:r>
      <w:r>
        <w:rPr>
          <w:rFonts w:hint="eastAsia"/>
        </w:rPr>
        <w:fldChar w:fldCharType="begin"/>
      </w:r>
      <w:r>
        <w:rPr>
          <w:rFonts w:hint="eastAsia"/>
        </w:rPr>
        <w:instrText xml:space="preserve"> </w:instrText>
      </w:r>
      <w:r>
        <w:instrText xml:space="preserve">PAGEREF _Toc212754737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CCAB7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"_Toc212754738" </w:instrText>
      </w:r>
      <w:r>
        <w:fldChar w:fldCharType="separate"/>
      </w:r>
      <w:r>
        <w:rPr>
          <w:rStyle w:val="32"/>
          <w:rFonts w:hint="eastAsia"/>
        </w:rPr>
        <w:t>7</w:t>
      </w:r>
      <w:r>
        <w:rPr>
          <w:rStyle w:val="32"/>
        </w:rPr>
        <w:t xml:space="preserve"> </w:t>
      </w:r>
      <w:r>
        <w:rPr>
          <w:rStyle w:val="32"/>
          <w:rFonts w:hint="eastAsia"/>
        </w:rPr>
        <w:t xml:space="preserve"> 文件和记录</w:t>
      </w:r>
      <w:r>
        <w:rPr>
          <w:rFonts w:hint="eastAsia"/>
        </w:rPr>
        <w:tab/>
      </w:r>
      <w:r>
        <w:rPr>
          <w:rFonts w:hint="eastAsia"/>
        </w:rPr>
        <w:fldChar w:fldCharType="begin"/>
      </w:r>
      <w:r>
        <w:rPr>
          <w:rFonts w:hint="eastAsia"/>
        </w:rPr>
        <w:instrText xml:space="preserve"> </w:instrText>
      </w:r>
      <w:r>
        <w:instrText xml:space="preserve">PAGEREF _Toc212754738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FDB102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"_Toc212754739"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_Toc212754739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C1C0288">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F546F23">
      <w:pPr>
        <w:pStyle w:val="89"/>
        <w:spacing w:before="900" w:after="360"/>
      </w:pPr>
      <w:bookmarkStart w:id="25" w:name="_Toc212754730"/>
      <w:bookmarkStart w:id="26" w:name="BookMark2"/>
      <w:r>
        <w:rPr>
          <w:rFonts w:hint="eastAsia"/>
          <w:spacing w:val="320"/>
        </w:rPr>
        <w:t>前</w:t>
      </w:r>
      <w:r>
        <w:rPr>
          <w:rFonts w:hint="eastAsia"/>
        </w:rPr>
        <w:t>言</w:t>
      </w:r>
      <w:bookmarkEnd w:id="22"/>
      <w:bookmarkEnd w:id="23"/>
      <w:bookmarkEnd w:id="24"/>
      <w:bookmarkEnd w:id="25"/>
    </w:p>
    <w:p w14:paraId="0B98DD5F">
      <w:pPr>
        <w:pStyle w:val="56"/>
        <w:ind w:firstLine="420"/>
      </w:pPr>
      <w:r>
        <w:rPr>
          <w:rFonts w:hint="eastAsia"/>
        </w:rPr>
        <w:t>本文件按照GB/T 1.1—2020《标准化工作导则  第1部分：标准化文件的结构和起草规则》的规定起草。</w:t>
      </w:r>
    </w:p>
    <w:p w14:paraId="220747E8">
      <w:pPr>
        <w:pStyle w:val="235"/>
        <w:rPr>
          <w:rFonts w:hint="eastAsia" w:eastAsia="宋体"/>
          <w:lang w:eastAsia="zh-CN"/>
        </w:rPr>
      </w:pPr>
      <w:r>
        <w:rPr>
          <w:rFonts w:hint="eastAsia"/>
        </w:rPr>
        <w:t>本文件由方圆标志认证集团有限公司提出</w:t>
      </w:r>
      <w:r>
        <w:rPr>
          <w:rFonts w:hint="eastAsia"/>
          <w:lang w:eastAsia="zh-CN"/>
        </w:rPr>
        <w:t>。</w:t>
      </w:r>
    </w:p>
    <w:p w14:paraId="46159AC5">
      <w:pPr>
        <w:pStyle w:val="235"/>
        <w:rPr>
          <w:rFonts w:hint="eastAsia"/>
        </w:rPr>
      </w:pPr>
      <w:r>
        <w:rPr>
          <w:rFonts w:hint="eastAsia"/>
        </w:rPr>
        <w:t>本文件由海南省质量协会归口。</w:t>
      </w:r>
    </w:p>
    <w:p w14:paraId="43F2B900">
      <w:pPr>
        <w:pStyle w:val="235"/>
        <w:rPr>
          <w:rFonts w:hint="eastAsia" w:eastAsia="宋体"/>
          <w:lang w:eastAsia="zh-CN"/>
        </w:rPr>
      </w:pPr>
      <w:r>
        <w:rPr>
          <w:rFonts w:hint="eastAsia"/>
        </w:rPr>
        <w:t>本文件起草单位：方圆标志认证集团有限公司</w:t>
      </w:r>
      <w:r>
        <w:rPr>
          <w:rFonts w:hint="eastAsia"/>
          <w:lang w:eastAsia="zh-CN"/>
        </w:rPr>
        <w:t>。</w:t>
      </w:r>
    </w:p>
    <w:p w14:paraId="05FF3DD3">
      <w:pPr>
        <w:pStyle w:val="235"/>
        <w:rPr>
          <w:rFonts w:hint="default" w:eastAsia="宋体"/>
          <w:lang w:val="en-US" w:eastAsia="zh-CN"/>
        </w:rPr>
      </w:pPr>
      <w:r>
        <w:rPr>
          <w:rFonts w:hint="eastAsia"/>
        </w:rPr>
        <w:t>本文件主要起草人：</w:t>
      </w:r>
      <w:r>
        <w:rPr>
          <w:rFonts w:hint="eastAsia"/>
          <w:lang w:val="en-US" w:eastAsia="zh-CN"/>
        </w:rPr>
        <w:t xml:space="preserve"> </w:t>
      </w:r>
    </w:p>
    <w:p w14:paraId="2BF37356">
      <w:pPr>
        <w:pStyle w:val="56"/>
        <w:ind w:firstLine="420"/>
      </w:pPr>
      <w:r>
        <w:rPr>
          <w:rFonts w:hint="eastAsia"/>
        </w:rPr>
        <w:t>本文件首次制定。</w:t>
      </w:r>
    </w:p>
    <w:p w14:paraId="3A1ABB07">
      <w:pPr>
        <w:pStyle w:val="56"/>
        <w:ind w:firstLine="420"/>
        <w:rPr>
          <w:rFonts w:hint="default" w:eastAsia="宋体"/>
          <w:lang w:val="en-US" w:eastAsia="zh-CN"/>
        </w:rPr>
      </w:pPr>
      <w:r>
        <w:rPr>
          <w:rFonts w:hint="eastAsia"/>
          <w:lang w:val="en-US" w:eastAsia="zh-CN"/>
        </w:rPr>
        <w:t xml:space="preserve">  </w:t>
      </w:r>
    </w:p>
    <w:p w14:paraId="32530E6E">
      <w:pPr>
        <w:pStyle w:val="56"/>
        <w:ind w:firstLine="420"/>
      </w:pPr>
    </w:p>
    <w:p w14:paraId="5E70F0E9">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6"/>
    <w:p w14:paraId="6D5B8537">
      <w:pPr>
        <w:pStyle w:val="89"/>
        <w:spacing w:after="360"/>
      </w:pPr>
      <w:bookmarkStart w:id="27" w:name="_Toc212752232"/>
      <w:bookmarkStart w:id="28" w:name="_Toc212752256"/>
      <w:bookmarkStart w:id="29" w:name="_Toc212752831"/>
      <w:bookmarkStart w:id="30" w:name="_Toc212754731"/>
      <w:bookmarkStart w:id="31" w:name="BookMark3"/>
      <w:r>
        <w:rPr>
          <w:rFonts w:hint="eastAsia"/>
          <w:spacing w:val="320"/>
        </w:rPr>
        <w:t>引</w:t>
      </w:r>
      <w:r>
        <w:rPr>
          <w:rFonts w:hint="eastAsia"/>
        </w:rPr>
        <w:t>言</w:t>
      </w:r>
      <w:bookmarkEnd w:id="27"/>
      <w:bookmarkEnd w:id="28"/>
      <w:bookmarkEnd w:id="29"/>
      <w:bookmarkEnd w:id="30"/>
    </w:p>
    <w:p w14:paraId="030C92F5">
      <w:pPr>
        <w:pStyle w:val="56"/>
        <w:ind w:firstLine="420"/>
      </w:pPr>
      <w:r>
        <w:rPr>
          <w:rFonts w:hint="eastAsia"/>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领域，形成一批集质量、标准、服务、信誉、效益为一体，市场和社会公认的海南消费领域区域公共品牌。</w:t>
      </w:r>
    </w:p>
    <w:p w14:paraId="146E815F">
      <w:pPr>
        <w:pStyle w:val="56"/>
        <w:ind w:firstLine="420"/>
      </w:pPr>
      <w:r>
        <w:rPr>
          <w:rFonts w:hint="eastAsia"/>
        </w:rPr>
        <w:t>海南消费领域区域公共品牌系列团体标准作为开展“海南消费领域区域公共品牌”自愿性认证的认证依据，以海南省区域特色产品与服务和优势产业为重点，通过管理过程要求和核心技术指标，推动企业提升内部管理水平，实现产品和服务品质提升，提高海南省高品质产品和服务的市场竞争力。</w:t>
      </w:r>
    </w:p>
    <w:p w14:paraId="0AA4F644">
      <w:pPr>
        <w:pStyle w:val="56"/>
        <w:ind w:firstLine="420"/>
      </w:pPr>
      <w:r>
        <w:rPr>
          <w:rFonts w:hint="eastAsia"/>
        </w:rPr>
        <w:t>海南消费领域区域公共品牌系列团体标准是在对比分析了国内外技术指标参数的基础上，采用过程控制和持续改进的管理理念方法，融合编制的一套包括基于管理要素的通用技术要求及基于行业特点的特色产品和服务技术规范的系列标准。该套系列文件设计如下：第一层级为《海南消费领域区域公共品牌通用要求 农食产品》和《海南消费领域区域公共品牌通用要求 服务业》，第二层级为《海南消费领域区域公共品牌 种植技术规范》和《海南消费领域区域公共品牌 食品加工技术规范》，第三层级为特色产品和服务技术规范。第一层级、第二层级和第三层级文件应配套使用。本文件为第二层级《海南消费领域区域公共品牌 养殖技术规范》，通过本文件的发布实施，将有助于推进养殖业规范化、规模化、标准化、生态化发展，提升养殖产品质量。同时，以本文件作为认证依据，对</w:t>
      </w:r>
      <w:r>
        <w:rPr>
          <w:rFonts w:hint="eastAsia" w:hAnsi="宋体" w:cs="宋体"/>
          <w:szCs w:val="21"/>
        </w:rPr>
        <w:t>养殖</w:t>
      </w:r>
      <w:r>
        <w:rPr>
          <w:rFonts w:hint="eastAsia"/>
        </w:rPr>
        <w:t>生产经营者进行第三方认证，通过认证在供需两端传递质量信号，提高“海南消费领域区域公共品牌”品牌权威性和公信力，形成有效的市场选择机制，助推特色优势养殖产品提档升级、提质增效。</w:t>
      </w:r>
    </w:p>
    <w:p w14:paraId="5F9BCA95">
      <w:pPr>
        <w:pStyle w:val="56"/>
        <w:ind w:firstLine="420"/>
      </w:pPr>
    </w:p>
    <w:p w14:paraId="1A675620">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31"/>
    <w:p w14:paraId="54E7E43E">
      <w:pPr>
        <w:spacing w:line="20" w:lineRule="exact"/>
        <w:jc w:val="center"/>
        <w:rPr>
          <w:rFonts w:hint="eastAsia" w:ascii="黑体" w:hAnsi="黑体" w:eastAsia="黑体"/>
          <w:sz w:val="32"/>
          <w:szCs w:val="32"/>
        </w:rPr>
      </w:pPr>
      <w:bookmarkStart w:id="32" w:name="BookMark4"/>
    </w:p>
    <w:p w14:paraId="5F2C0ADE">
      <w:pPr>
        <w:spacing w:line="20" w:lineRule="exact"/>
        <w:jc w:val="center"/>
        <w:rPr>
          <w:rFonts w:hint="eastAsia" w:ascii="黑体" w:hAnsi="黑体" w:eastAsia="黑体"/>
          <w:sz w:val="32"/>
          <w:szCs w:val="32"/>
        </w:rPr>
      </w:pPr>
    </w:p>
    <w:sdt>
      <w:sdtPr>
        <w:tag w:val="NEW_STAND_NAME"/>
        <w:id w:val="595910757"/>
        <w:lock w:val="sdtLocked"/>
        <w:placeholder>
          <w:docPart w:val="C891A32F2890401F849CDBE7052D0279"/>
        </w:placeholder>
      </w:sdtPr>
      <w:sdtContent>
        <w:p w14:paraId="37A9D984">
          <w:pPr>
            <w:pStyle w:val="177"/>
            <w:spacing w:before="240" w:beforeLines="100" w:after="528" w:afterLines="220"/>
            <w:rPr>
              <w:rFonts w:hint="eastAsia"/>
            </w:rPr>
          </w:pPr>
          <w:bookmarkStart w:id="33" w:name="NEW_STAND_NAME"/>
          <w:r>
            <w:rPr>
              <w:rFonts w:hint="eastAsia"/>
            </w:rPr>
            <w:t>海南消费领域区域公共品牌 养殖技术规范</w:t>
          </w:r>
        </w:p>
      </w:sdtContent>
    </w:sdt>
    <w:bookmarkEnd w:id="33"/>
    <w:p w14:paraId="0A0A61E4">
      <w:pPr>
        <w:pStyle w:val="104"/>
        <w:spacing w:before="240" w:after="240"/>
      </w:pPr>
      <w:bookmarkStart w:id="34" w:name="_Toc212752257"/>
      <w:bookmarkStart w:id="35" w:name="_Toc26648465"/>
      <w:bookmarkStart w:id="36" w:name="_Toc17233325"/>
      <w:bookmarkStart w:id="37" w:name="_Toc97192964"/>
      <w:bookmarkStart w:id="38" w:name="_Toc26986771"/>
      <w:bookmarkStart w:id="39" w:name="_Toc24884211"/>
      <w:bookmarkStart w:id="40" w:name="_Toc212752832"/>
      <w:bookmarkStart w:id="41" w:name="_Toc24884218"/>
      <w:bookmarkStart w:id="42" w:name="_Toc212754732"/>
      <w:bookmarkStart w:id="43" w:name="_Toc26718930"/>
      <w:bookmarkStart w:id="44" w:name="_Toc212752233"/>
      <w:bookmarkStart w:id="45" w:name="_Toc26986530"/>
      <w:bookmarkStart w:id="46" w:name="_Toc172333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p>
    <w:p w14:paraId="0C869F7B">
      <w:pPr>
        <w:pStyle w:val="56"/>
        <w:ind w:firstLine="420"/>
        <w:rPr>
          <w:rFonts w:hint="eastAsia"/>
        </w:rPr>
      </w:pPr>
      <w:bookmarkStart w:id="47" w:name="_Toc26648466"/>
      <w:bookmarkStart w:id="48" w:name="_Toc17233326"/>
      <w:bookmarkStart w:id="49" w:name="_Toc17233334"/>
      <w:bookmarkStart w:id="50" w:name="_Toc24884212"/>
      <w:bookmarkStart w:id="51" w:name="_Toc24884219"/>
      <w:r>
        <w:rPr>
          <w:rFonts w:hint="eastAsia"/>
        </w:rPr>
        <w:t>本文件规定了“海南消费领域区域公共品牌”养殖产品在环境要求、养殖过程、质量要求和以及文件和记录等要求。</w:t>
      </w:r>
    </w:p>
    <w:p w14:paraId="63E596A7">
      <w:pPr>
        <w:pStyle w:val="56"/>
        <w:ind w:firstLine="420"/>
        <w:rPr>
          <w:rFonts w:hint="eastAsia"/>
        </w:rPr>
      </w:pPr>
      <w:r>
        <w:rPr>
          <w:rFonts w:hint="eastAsia"/>
        </w:rPr>
        <w:t>本文件适用于海南省区域内，从事“海南消费领域区域公共品牌”下畜牧、水产及蜜蜂养殖产品的生产经营者进行自我评价，也适用于第三方机构开展评价或认证。</w:t>
      </w:r>
    </w:p>
    <w:p w14:paraId="5B7749C4">
      <w:pPr>
        <w:pStyle w:val="104"/>
        <w:spacing w:before="240" w:after="240"/>
      </w:pPr>
      <w:bookmarkStart w:id="52" w:name="_Toc212752258"/>
      <w:bookmarkStart w:id="53" w:name="_Toc26718931"/>
      <w:bookmarkStart w:id="54" w:name="_Toc212752833"/>
      <w:bookmarkStart w:id="55" w:name="_Toc212754733"/>
      <w:bookmarkStart w:id="56" w:name="_Toc212752234"/>
      <w:bookmarkStart w:id="57" w:name="_Toc26986772"/>
      <w:bookmarkStart w:id="58" w:name="_Toc97192965"/>
      <w:bookmarkStart w:id="59" w:name="_Toc26986531"/>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E34F6C7A9D1E4F16A3BC2D9E609FE8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A55BCFF">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8BD481A">
      <w:pPr>
        <w:pStyle w:val="56"/>
        <w:ind w:firstLine="420"/>
      </w:pPr>
      <w:r>
        <w:rPr>
          <w:rFonts w:hint="eastAsia"/>
        </w:rPr>
        <w:t>GB 2761  食品中真菌毒素限量</w:t>
      </w:r>
    </w:p>
    <w:p w14:paraId="7083EC9A">
      <w:pPr>
        <w:pStyle w:val="56"/>
        <w:ind w:firstLine="420"/>
      </w:pPr>
      <w:r>
        <w:rPr>
          <w:rFonts w:hint="eastAsia"/>
        </w:rPr>
        <w:t>GB 2762  食品中污染物限量</w:t>
      </w:r>
    </w:p>
    <w:p w14:paraId="1018C403">
      <w:pPr>
        <w:pStyle w:val="56"/>
        <w:ind w:firstLine="420"/>
      </w:pPr>
      <w:r>
        <w:rPr>
          <w:rFonts w:hint="eastAsia"/>
        </w:rPr>
        <w:t>GB 2763  食品中农药最大残留限量</w:t>
      </w:r>
    </w:p>
    <w:p w14:paraId="21246881">
      <w:pPr>
        <w:pStyle w:val="56"/>
        <w:ind w:firstLine="420"/>
      </w:pPr>
      <w:r>
        <w:rPr>
          <w:rFonts w:hint="eastAsia"/>
        </w:rPr>
        <w:t>GB 3095  环境空气质量标准</w:t>
      </w:r>
    </w:p>
    <w:p w14:paraId="0CC9E64C">
      <w:pPr>
        <w:pStyle w:val="56"/>
        <w:ind w:firstLine="420"/>
      </w:pPr>
      <w:r>
        <w:rPr>
          <w:rFonts w:hint="eastAsia"/>
        </w:rPr>
        <w:t>GB 5749  生活饮用水卫生标准</w:t>
      </w:r>
    </w:p>
    <w:p w14:paraId="6BB4250C">
      <w:pPr>
        <w:pStyle w:val="56"/>
        <w:ind w:firstLine="420"/>
      </w:pPr>
      <w:r>
        <w:rPr>
          <w:rFonts w:hint="eastAsia"/>
        </w:rPr>
        <w:t>GB 11607  渔业水质标准</w:t>
      </w:r>
    </w:p>
    <w:p w14:paraId="0105B1DF">
      <w:pPr>
        <w:pStyle w:val="56"/>
        <w:ind w:firstLine="420"/>
      </w:pPr>
      <w:r>
        <w:rPr>
          <w:rFonts w:hint="eastAsia"/>
        </w:rPr>
        <w:t>GB/T 19168  蜜蜂病虫害综合防治规范</w:t>
      </w:r>
    </w:p>
    <w:p w14:paraId="0C0E6055">
      <w:pPr>
        <w:pStyle w:val="56"/>
        <w:ind w:firstLine="420"/>
      </w:pPr>
      <w:r>
        <w:rPr>
          <w:rFonts w:hint="eastAsia"/>
        </w:rPr>
        <w:t>GB 31650  食品安全国家标准  食品中兽药最大残留限量</w:t>
      </w:r>
    </w:p>
    <w:p w14:paraId="78FE244F">
      <w:pPr>
        <w:pStyle w:val="56"/>
        <w:ind w:firstLine="420"/>
      </w:pPr>
      <w:r>
        <w:rPr>
          <w:rFonts w:hint="eastAsia"/>
        </w:rPr>
        <w:t>NY/T 472  绿色食品  兽药使用准则</w:t>
      </w:r>
    </w:p>
    <w:p w14:paraId="39D0180B">
      <w:pPr>
        <w:pStyle w:val="104"/>
        <w:spacing w:before="240" w:after="240"/>
      </w:pPr>
      <w:bookmarkStart w:id="60" w:name="_Toc212752834"/>
      <w:bookmarkStart w:id="61" w:name="_Toc212752259"/>
      <w:bookmarkStart w:id="62" w:name="_Toc97192966"/>
      <w:bookmarkStart w:id="63" w:name="_Toc212754734"/>
      <w:bookmarkStart w:id="64" w:name="_Toc212752235"/>
      <w:r>
        <w:rPr>
          <w:rFonts w:hint="eastAsia"/>
          <w:szCs w:val="21"/>
        </w:rPr>
        <w:t>术语和定义</w:t>
      </w:r>
      <w:bookmarkEnd w:id="60"/>
      <w:bookmarkEnd w:id="61"/>
      <w:bookmarkEnd w:id="62"/>
      <w:bookmarkEnd w:id="63"/>
      <w:bookmarkEnd w:id="64"/>
    </w:p>
    <w:sdt>
      <w:sdtPr>
        <w:id w:val="-1909835108"/>
        <w:placeholder>
          <w:docPart w:val="42D41501962E4FFF9FD9F2D2F0817FE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F3726F9">
          <w:pPr>
            <w:pStyle w:val="56"/>
            <w:ind w:firstLine="420"/>
          </w:pPr>
          <w:bookmarkStart w:id="65" w:name="_Toc26986532"/>
          <w:bookmarkEnd w:id="65"/>
          <w:r>
            <w:t>本文件没有需要界定的术语和定义。</w:t>
          </w:r>
        </w:p>
      </w:sdtContent>
    </w:sdt>
    <w:p w14:paraId="48BF5BE8">
      <w:pPr>
        <w:pStyle w:val="234"/>
        <w:numPr>
          <w:ilvl w:val="1"/>
          <w:numId w:val="2"/>
        </w:numPr>
        <w:spacing w:before="240" w:after="240"/>
        <w:rPr>
          <w:rFonts w:cs="Times New Roman"/>
        </w:rPr>
      </w:pPr>
      <w:bookmarkStart w:id="66" w:name="_Toc212752835"/>
      <w:bookmarkStart w:id="67" w:name="_Toc7310"/>
      <w:bookmarkStart w:id="68" w:name="_Toc212754735"/>
      <w:bookmarkStart w:id="69" w:name="_Toc3214"/>
      <w:r>
        <w:rPr>
          <w:rFonts w:hint="eastAsia" w:cs="Times New Roman"/>
        </w:rPr>
        <w:t>环境要求</w:t>
      </w:r>
      <w:bookmarkEnd w:id="66"/>
      <w:bookmarkEnd w:id="67"/>
      <w:bookmarkEnd w:id="68"/>
      <w:bookmarkEnd w:id="69"/>
    </w:p>
    <w:p w14:paraId="4E305ED4">
      <w:pPr>
        <w:pStyle w:val="56"/>
        <w:ind w:firstLine="420"/>
      </w:pPr>
      <w:r>
        <w:rPr>
          <w:rFonts w:hint="eastAsia"/>
        </w:rPr>
        <w:t>应选择生态环境良好、无污染风险的地区，产地环境质量应符合以下要求：</w:t>
      </w:r>
    </w:p>
    <w:p w14:paraId="71A26962">
      <w:pPr>
        <w:pStyle w:val="174"/>
      </w:pPr>
      <w:r>
        <w:rPr>
          <w:rFonts w:hint="eastAsia"/>
        </w:rPr>
        <w:t>环境空气质量符合 GB 3095 的规定;</w:t>
      </w:r>
    </w:p>
    <w:p w14:paraId="51FF439F">
      <w:pPr>
        <w:pStyle w:val="174"/>
      </w:pPr>
      <w:r>
        <w:rPr>
          <w:rFonts w:hint="eastAsia"/>
        </w:rPr>
        <w:t>畜禽饮用水符合 GB 5749 的规定；</w:t>
      </w:r>
    </w:p>
    <w:p w14:paraId="630B5B9E">
      <w:pPr>
        <w:pStyle w:val="174"/>
      </w:pPr>
      <w:r>
        <w:rPr>
          <w:rFonts w:hint="eastAsia"/>
        </w:rPr>
        <w:t>渔业用水符合 GB 11607 的规定。</w:t>
      </w:r>
    </w:p>
    <w:p w14:paraId="35F59FB9">
      <w:pPr>
        <w:pStyle w:val="104"/>
        <w:spacing w:before="240" w:after="240"/>
      </w:pPr>
      <w:bookmarkStart w:id="70" w:name="_Toc212754736"/>
      <w:r>
        <w:rPr>
          <w:rFonts w:hint="eastAsia"/>
        </w:rPr>
        <w:t>养殖过程</w:t>
      </w:r>
      <w:bookmarkEnd w:id="70"/>
    </w:p>
    <w:p w14:paraId="58BE0A38">
      <w:pPr>
        <w:pStyle w:val="105"/>
        <w:spacing w:before="120" w:after="120"/>
      </w:pPr>
      <w:r>
        <w:rPr>
          <w:rFonts w:hint="eastAsia"/>
        </w:rPr>
        <w:t>畜牧养殖</w:t>
      </w:r>
    </w:p>
    <w:p w14:paraId="0C93F335">
      <w:pPr>
        <w:pStyle w:val="65"/>
        <w:spacing w:before="120" w:after="120"/>
      </w:pPr>
      <w:r>
        <w:rPr>
          <w:rFonts w:hint="eastAsia"/>
        </w:rPr>
        <w:t>选址</w:t>
      </w:r>
    </w:p>
    <w:p w14:paraId="013F792A">
      <w:pPr>
        <w:pStyle w:val="164"/>
      </w:pPr>
      <w:r>
        <w:rPr>
          <w:rFonts w:hint="eastAsia"/>
        </w:rPr>
        <w:t>应选择地势平坦、干燥、交通便利、背风向阳和排水良好的区域建立养殖场，场地应水源充足、水质良好，无有害气体、烟雾和灰尘及其他污染源。畜禽养殖场周围 5 km无大型化工厂、矿厂或其他畜牧污染源，并远离学校、公共场所、居民居住区和交通主干道。</w:t>
      </w:r>
    </w:p>
    <w:p w14:paraId="69B5CBE4">
      <w:pPr>
        <w:pStyle w:val="164"/>
      </w:pPr>
      <w:r>
        <w:rPr>
          <w:rFonts w:hint="eastAsia"/>
        </w:rPr>
        <w:t>畜禽养殖场内应分设生活管理区、生产区及粪污处理区，生产区和生活管理区相对隔离，生产区应在生活管理区的常年主导风向的下风向，粪便污水处理设施和畜禽尸体焚烧炉应设在畜禽养殖场的生产区、生活管理区的常年主导风向的下风向或侧风向处；畜禽养殖场内净道与污道应分开。</w:t>
      </w:r>
    </w:p>
    <w:p w14:paraId="1E6AED14">
      <w:pPr>
        <w:pStyle w:val="164"/>
      </w:pPr>
      <w:r>
        <w:rPr>
          <w:rFonts w:hint="eastAsia"/>
        </w:rPr>
        <w:t>畜禽养殖场排污应遵循减量化、无害化、资源化和综合利用、先处理后消纳的原则，应设置废弃物处理和销毁设施，排泄物应定期从畜舍和饲养设施中运走，可根据当地实际情况采取综合利用措施，如微生物发酵或沼气发酵等。</w:t>
      </w:r>
    </w:p>
    <w:p w14:paraId="59E661C1">
      <w:pPr>
        <w:pStyle w:val="164"/>
      </w:pPr>
      <w:r>
        <w:rPr>
          <w:rFonts w:hint="eastAsia"/>
        </w:rPr>
        <w:t>对自产草料和户外放养畜禽的畜禽养殖场，应制定养殖场土壤管理及放养计划。</w:t>
      </w:r>
    </w:p>
    <w:p w14:paraId="040BA4DE">
      <w:pPr>
        <w:pStyle w:val="164"/>
      </w:pPr>
      <w:r>
        <w:rPr>
          <w:rFonts w:hint="eastAsia"/>
        </w:rPr>
        <w:t>天然草场的使用应符合载畜量和放牧管理的相关规定。</w:t>
      </w:r>
    </w:p>
    <w:p w14:paraId="1F81CCA4">
      <w:pPr>
        <w:pStyle w:val="65"/>
        <w:spacing w:before="120" w:after="120"/>
      </w:pPr>
      <w:r>
        <w:rPr>
          <w:rFonts w:hint="eastAsia"/>
        </w:rPr>
        <w:t>设施和设备</w:t>
      </w:r>
    </w:p>
    <w:p w14:paraId="36F3F46E">
      <w:pPr>
        <w:pStyle w:val="164"/>
      </w:pPr>
      <w:r>
        <w:rPr>
          <w:rFonts w:hint="eastAsia"/>
        </w:rPr>
        <w:t>应配备引入畜禽隔离舍和患病畜禽隔离舍。</w:t>
      </w:r>
    </w:p>
    <w:p w14:paraId="47F4E5CB">
      <w:pPr>
        <w:pStyle w:val="164"/>
      </w:pPr>
      <w:r>
        <w:rPr>
          <w:rFonts w:hint="eastAsia"/>
        </w:rPr>
        <w:t>养殖场设施应符合畜禽不同生产阶段的要求，且维护良好。</w:t>
      </w:r>
    </w:p>
    <w:p w14:paraId="167C0C55">
      <w:pPr>
        <w:pStyle w:val="164"/>
      </w:pPr>
      <w:r>
        <w:rPr>
          <w:rFonts w:hint="eastAsia"/>
        </w:rPr>
        <w:t>圈舍的空间应满足相应的畜禽饲养密度要求且通风良好，并保持良好的清洁卫生状态，且适应所养畜禽类型,并保持适宜的温度、湿度和光照，避免形成冷凝水。</w:t>
      </w:r>
    </w:p>
    <w:p w14:paraId="2A8C6A18">
      <w:pPr>
        <w:pStyle w:val="164"/>
      </w:pPr>
      <w:r>
        <w:rPr>
          <w:rFonts w:hint="eastAsia"/>
        </w:rPr>
        <w:t>所有的常压电器设施安装在畜禽接触不到的地方，且正确接地。</w:t>
      </w:r>
    </w:p>
    <w:p w14:paraId="32784D74">
      <w:pPr>
        <w:pStyle w:val="65"/>
        <w:spacing w:before="120" w:after="120"/>
      </w:pPr>
      <w:r>
        <w:rPr>
          <w:rFonts w:hint="eastAsia"/>
        </w:rPr>
        <w:t>品种引入</w:t>
      </w:r>
    </w:p>
    <w:p w14:paraId="64357EA1">
      <w:pPr>
        <w:pStyle w:val="56"/>
        <w:ind w:firstLine="420"/>
      </w:pPr>
      <w:r>
        <w:rPr>
          <w:rFonts w:hint="eastAsia"/>
        </w:rPr>
        <w:t>种畜禽、冻精、受精卵和胚胎应来源于具备种畜禽生产经营许可证资质的生产或销售单。</w:t>
      </w:r>
    </w:p>
    <w:p w14:paraId="390899A9">
      <w:pPr>
        <w:pStyle w:val="65"/>
        <w:spacing w:before="120" w:after="120"/>
      </w:pPr>
      <w:r>
        <w:rPr>
          <w:rFonts w:hint="eastAsia"/>
        </w:rPr>
        <w:t>饲料和饲料添加剂</w:t>
      </w:r>
    </w:p>
    <w:p w14:paraId="7E2712C1">
      <w:pPr>
        <w:pStyle w:val="164"/>
      </w:pPr>
      <w:r>
        <w:rPr>
          <w:rFonts w:hint="eastAsia"/>
        </w:rPr>
        <w:t>饲料添加剂和添加剂预混合饲料应来源于具备饲料产品生产许可证的企业，应在《饲料添加剂品种目录》中，不得采购含有促生长类药物饲料添加剂的饲料。</w:t>
      </w:r>
    </w:p>
    <w:p w14:paraId="1F18F022">
      <w:pPr>
        <w:pStyle w:val="164"/>
      </w:pPr>
      <w:r>
        <w:rPr>
          <w:rFonts w:hint="eastAsia"/>
        </w:rPr>
        <w:t>进口饲料和饲料添加剂应索取进口登记证和检验检疫部门检测合格的报告，不应使用同源动物源性饲料(奶和奶制品除外)和动物粪便。</w:t>
      </w:r>
    </w:p>
    <w:p w14:paraId="3EC2E091">
      <w:pPr>
        <w:pStyle w:val="164"/>
      </w:pPr>
      <w:r>
        <w:rPr>
          <w:rFonts w:hint="eastAsia"/>
        </w:rPr>
        <w:t>自制饲料宜选择本地的主要原料和饲草料，不得直接添加兽药和其它禁用药品。</w:t>
      </w:r>
    </w:p>
    <w:p w14:paraId="142EB423">
      <w:pPr>
        <w:pStyle w:val="65"/>
        <w:spacing w:before="120" w:after="120"/>
      </w:pPr>
      <w:r>
        <w:rPr>
          <w:rFonts w:hint="eastAsia"/>
        </w:rPr>
        <w:t>饲养</w:t>
      </w:r>
    </w:p>
    <w:p w14:paraId="341C28A4">
      <w:pPr>
        <w:pStyle w:val="164"/>
      </w:pPr>
      <w:r>
        <w:rPr>
          <w:rFonts w:hint="eastAsia"/>
        </w:rPr>
        <w:t>养殖场不得使用变质、霉败或被污染的饲草（料），禁止使用乳品以外的动物源性饲料。</w:t>
      </w:r>
    </w:p>
    <w:p w14:paraId="374FDC2B">
      <w:pPr>
        <w:pStyle w:val="164"/>
      </w:pPr>
      <w:r>
        <w:rPr>
          <w:rFonts w:hint="eastAsia"/>
        </w:rPr>
        <w:t>养殖场应根据畜禽品种特性和不同生理阶段提供符合其营养需要的日粮，并且达到维持良好身体状况的需要量。</w:t>
      </w:r>
    </w:p>
    <w:p w14:paraId="52EFD7BB">
      <w:pPr>
        <w:pStyle w:val="164"/>
      </w:pPr>
      <w:r>
        <w:rPr>
          <w:rFonts w:hint="eastAsia"/>
        </w:rPr>
        <w:t>应每天连续向所有畜禽提供充足、清洁和新鲜的饮用水（除主治兽医师医嘱外）。饮用水质应符合 GB 5749 的要求。</w:t>
      </w:r>
    </w:p>
    <w:p w14:paraId="257E34B4">
      <w:pPr>
        <w:pStyle w:val="164"/>
      </w:pPr>
      <w:r>
        <w:rPr>
          <w:rFonts w:hint="eastAsia"/>
        </w:rPr>
        <w:t>按照类型、品种和饲养阶段等合理确定畜禽饲养密度，以保证畜禽在正常的站立、转动、伸展翅膀、栖息和蹲下时不会碰到其他畜禽。</w:t>
      </w:r>
    </w:p>
    <w:p w14:paraId="75B8A997">
      <w:pPr>
        <w:pStyle w:val="164"/>
      </w:pPr>
      <w:r>
        <w:rPr>
          <w:rFonts w:hint="eastAsia"/>
        </w:rPr>
        <w:t>应根据家禽品种和饲养方式制定科学的光照计划并实施。</w:t>
      </w:r>
    </w:p>
    <w:p w14:paraId="33D133EB">
      <w:pPr>
        <w:pStyle w:val="164"/>
      </w:pPr>
      <w:r>
        <w:rPr>
          <w:rFonts w:hint="eastAsia"/>
        </w:rPr>
        <w:t>不适用放养畜禽养殖场所，宜设置遮蔽或御寒等场所。</w:t>
      </w:r>
    </w:p>
    <w:p w14:paraId="65DFEE0C">
      <w:pPr>
        <w:pStyle w:val="65"/>
        <w:spacing w:before="120" w:after="120"/>
      </w:pPr>
      <w:r>
        <w:rPr>
          <w:rFonts w:hint="eastAsia"/>
        </w:rPr>
        <w:t>疾病预防和防治</w:t>
      </w:r>
    </w:p>
    <w:p w14:paraId="6375B400">
      <w:pPr>
        <w:pStyle w:val="164"/>
      </w:pPr>
      <w:r>
        <w:rPr>
          <w:rFonts w:hint="eastAsia"/>
        </w:rPr>
        <w:t>应制定畜禽健康计划，该计划包括疾病预防策略、常见问题的处理措施、免疫程序、虫害控制措施、饲料和水进行药物处理的要求，应每年进行评审确认。</w:t>
      </w:r>
    </w:p>
    <w:p w14:paraId="1AD47398">
      <w:pPr>
        <w:pStyle w:val="164"/>
      </w:pPr>
      <w:r>
        <w:rPr>
          <w:rFonts w:hint="eastAsia"/>
        </w:rPr>
        <w:t>当采用多种预防措施仍无法控制畜禽疾病或伤痛时，可在兽医指导下对患病畜禽使用常规兽药，使用的药物应符合 NY/T 472 的要求。</w:t>
      </w:r>
    </w:p>
    <w:p w14:paraId="636346B6">
      <w:pPr>
        <w:pStyle w:val="164"/>
      </w:pPr>
      <w:r>
        <w:rPr>
          <w:rFonts w:hint="eastAsia"/>
        </w:rPr>
        <w:t>应制定兽药安全管理制度，对兽药的采购、存储、使用以及休药期等进行规定。</w:t>
      </w:r>
    </w:p>
    <w:p w14:paraId="0942791A">
      <w:pPr>
        <w:pStyle w:val="164"/>
      </w:pPr>
      <w:r>
        <w:rPr>
          <w:rFonts w:hint="eastAsia"/>
        </w:rPr>
        <w:t>应按照兽医要求对患病和受伤的畜禽进行隔离诊断和治疗。</w:t>
      </w:r>
    </w:p>
    <w:p w14:paraId="3F68BBB0">
      <w:pPr>
        <w:pStyle w:val="65"/>
        <w:spacing w:before="120" w:after="120"/>
      </w:pPr>
      <w:r>
        <w:rPr>
          <w:rFonts w:hint="eastAsia"/>
        </w:rPr>
        <w:t>运输</w:t>
      </w:r>
    </w:p>
    <w:p w14:paraId="25E13188">
      <w:pPr>
        <w:pStyle w:val="164"/>
      </w:pPr>
      <w:r>
        <w:rPr>
          <w:rFonts w:hint="eastAsia"/>
        </w:rPr>
        <w:t>装载、运输途中以及卸载时对畜禽的应激应最小。</w:t>
      </w:r>
    </w:p>
    <w:p w14:paraId="66A1B401">
      <w:pPr>
        <w:pStyle w:val="164"/>
      </w:pPr>
      <w:r>
        <w:rPr>
          <w:rFonts w:hint="eastAsia"/>
        </w:rPr>
        <w:t>不应在运输前和运输过程中对动物使用化学合成的镇静剂。</w:t>
      </w:r>
    </w:p>
    <w:p w14:paraId="012D3E1F">
      <w:pPr>
        <w:pStyle w:val="105"/>
        <w:spacing w:before="120" w:after="120"/>
      </w:pPr>
      <w:r>
        <w:rPr>
          <w:rFonts w:hint="eastAsia"/>
        </w:rPr>
        <w:t>水产养殖</w:t>
      </w:r>
    </w:p>
    <w:p w14:paraId="26DA41A8">
      <w:pPr>
        <w:pStyle w:val="65"/>
        <w:spacing w:before="120" w:after="120"/>
      </w:pPr>
      <w:r>
        <w:rPr>
          <w:rFonts w:hint="eastAsia"/>
        </w:rPr>
        <w:t>选址和水体要求</w:t>
      </w:r>
    </w:p>
    <w:p w14:paraId="63A65992">
      <w:pPr>
        <w:pStyle w:val="164"/>
      </w:pPr>
      <w:r>
        <w:rPr>
          <w:rFonts w:hint="eastAsia"/>
        </w:rPr>
        <w:t>水产养殖区域应水源充足,水质良好,不存在对水产养殖环境构成威胁的污染源。</w:t>
      </w:r>
    </w:p>
    <w:p w14:paraId="177EFF85">
      <w:pPr>
        <w:pStyle w:val="164"/>
      </w:pPr>
      <w:r>
        <w:rPr>
          <w:rFonts w:hint="eastAsia"/>
        </w:rPr>
        <w:t>养殖场对周围环境应无不良影响，宜考虑了建筑外观、围拦、养殖排放水以及养殖活动等对生态的影响；考虑到了维持养殖水域生态环境和周围水生、陆生生态系统平衡，并有助于保持所在水域的生物多样性。</w:t>
      </w:r>
    </w:p>
    <w:p w14:paraId="453FE3E5">
      <w:pPr>
        <w:pStyle w:val="164"/>
      </w:pPr>
      <w:r>
        <w:rPr>
          <w:rFonts w:hint="eastAsia"/>
        </w:rPr>
        <w:t>应制定水质监控程序，对养殖水域进行适当监控，以保证养殖产品的健康、卫生和安全。</w:t>
      </w:r>
    </w:p>
    <w:p w14:paraId="2EED9107">
      <w:pPr>
        <w:pStyle w:val="65"/>
        <w:spacing w:before="120" w:after="120"/>
      </w:pPr>
      <w:r>
        <w:rPr>
          <w:rFonts w:hint="eastAsia"/>
        </w:rPr>
        <w:t>设施和设备</w:t>
      </w:r>
    </w:p>
    <w:p w14:paraId="5DDB7D51">
      <w:pPr>
        <w:pStyle w:val="164"/>
      </w:pPr>
      <w:r>
        <w:rPr>
          <w:rFonts w:hint="eastAsia"/>
        </w:rPr>
        <w:t>养殖场具有符合养殖要求的设施和设备，如：贮水池、水源、饲养设备、各种网具、发电机、排灌设备和增氧机等应满足养殖需要，其设施设备布局应合理，并保持良好的维护保养状态。</w:t>
      </w:r>
    </w:p>
    <w:p w14:paraId="48637EEB">
      <w:pPr>
        <w:pStyle w:val="164"/>
      </w:pPr>
      <w:r>
        <w:rPr>
          <w:rFonts w:hint="eastAsia"/>
        </w:rPr>
        <w:t>养殖、收获等操作使用的工具应用无毒无害的材料建造，接触面应平滑，避免引起养殖产品损伤。</w:t>
      </w:r>
    </w:p>
    <w:p w14:paraId="17917DD9">
      <w:pPr>
        <w:pStyle w:val="164"/>
      </w:pPr>
      <w:r>
        <w:rPr>
          <w:rFonts w:hint="eastAsia"/>
        </w:rPr>
        <w:t>应制定设备操作规程和维护保养计划，定期检查、校准和清洁保养。</w:t>
      </w:r>
    </w:p>
    <w:p w14:paraId="36BAB643">
      <w:pPr>
        <w:pStyle w:val="65"/>
        <w:spacing w:before="120" w:after="120"/>
      </w:pPr>
      <w:r>
        <w:rPr>
          <w:rFonts w:hint="eastAsia"/>
        </w:rPr>
        <w:t>品种引入</w:t>
      </w:r>
    </w:p>
    <w:p w14:paraId="37D35718">
      <w:pPr>
        <w:pStyle w:val="164"/>
      </w:pPr>
      <w:r>
        <w:rPr>
          <w:rFonts w:hint="eastAsia"/>
        </w:rPr>
        <w:t>采购亲本或后备亲本及苗种应来自于行政主管部门批准并有水产苗种生产许可证的种苗场，并提供检疫证书。</w:t>
      </w:r>
    </w:p>
    <w:p w14:paraId="4DF4A717">
      <w:pPr>
        <w:pStyle w:val="164"/>
      </w:pPr>
      <w:r>
        <w:rPr>
          <w:rFonts w:hint="eastAsia"/>
        </w:rPr>
        <w:t>养殖场应遵守政府有关亲本/苗种进口的规定,具备相关证书以证明亲本健康无疫病。</w:t>
      </w:r>
    </w:p>
    <w:p w14:paraId="0D5943F9">
      <w:pPr>
        <w:pStyle w:val="65"/>
        <w:spacing w:before="120" w:after="120"/>
      </w:pPr>
      <w:r>
        <w:rPr>
          <w:rFonts w:hint="eastAsia"/>
        </w:rPr>
        <w:t>饲料和饲料添加剂</w:t>
      </w:r>
    </w:p>
    <w:p w14:paraId="739FB7D5">
      <w:pPr>
        <w:pStyle w:val="164"/>
      </w:pPr>
      <w:r>
        <w:rPr>
          <w:rFonts w:hint="eastAsia"/>
        </w:rPr>
        <w:t>采购的渔用饲料和饲料添加剂应来源于相关行政主管部门批准的生产企业。应在《饲料添加剂品种目录》中。进口饲料和饲料添加剂应索取进口登记证、检验检疫部门检测合格的报告。</w:t>
      </w:r>
    </w:p>
    <w:p w14:paraId="515C4A1C">
      <w:pPr>
        <w:pStyle w:val="164"/>
      </w:pPr>
      <w:r>
        <w:rPr>
          <w:rFonts w:hint="eastAsia"/>
        </w:rPr>
        <w:t>自配渔用饲料的原料采购应符合法律法规的规定，配方应由有资质的人员提供饲料营养配比应满足不同阶段养殖品种的营养要求，</w:t>
      </w:r>
    </w:p>
    <w:p w14:paraId="4E133F21">
      <w:pPr>
        <w:pStyle w:val="164"/>
      </w:pPr>
      <w:r>
        <w:rPr>
          <w:rFonts w:hint="eastAsia"/>
        </w:rPr>
        <w:t>饲料贮存过程应能防止饲料变质和交叉污染。</w:t>
      </w:r>
    </w:p>
    <w:p w14:paraId="244EC288">
      <w:pPr>
        <w:pStyle w:val="65"/>
        <w:spacing w:before="120" w:after="120"/>
      </w:pPr>
      <w:r>
        <w:rPr>
          <w:rFonts w:hint="eastAsia"/>
        </w:rPr>
        <w:t>饲养</w:t>
      </w:r>
    </w:p>
    <w:p w14:paraId="4FE7E4B4">
      <w:pPr>
        <w:pStyle w:val="164"/>
      </w:pPr>
      <w:r>
        <w:rPr>
          <w:rFonts w:hint="eastAsia"/>
        </w:rPr>
        <w:t>按照不同养殖品种的生长周期、不同种类所需要的蛋白质和脂肪含量制定投喂方案和投饵量。</w:t>
      </w:r>
    </w:p>
    <w:p w14:paraId="0E3DB65E">
      <w:pPr>
        <w:pStyle w:val="164"/>
      </w:pPr>
      <w:r>
        <w:rPr>
          <w:rFonts w:hint="eastAsia"/>
        </w:rPr>
        <w:t>应根据养殖品种、生长周期和养殖场特点等条件，制定合理的养殖计划。</w:t>
      </w:r>
    </w:p>
    <w:p w14:paraId="4E101057">
      <w:pPr>
        <w:pStyle w:val="164"/>
      </w:pPr>
      <w:r>
        <w:rPr>
          <w:rFonts w:hint="eastAsia"/>
        </w:rPr>
        <w:t>应根据品种和养殖条件，制定合理的苗种放养规格、密度和程序，并作记录。</w:t>
      </w:r>
    </w:p>
    <w:p w14:paraId="7E5D7AB7">
      <w:pPr>
        <w:pStyle w:val="164"/>
      </w:pPr>
      <w:r>
        <w:rPr>
          <w:rFonts w:hint="eastAsia"/>
        </w:rPr>
        <w:t>放养密度应合理，不超过水体的负载量；混合养殖，应合理确定不同品种的放养比例。</w:t>
      </w:r>
    </w:p>
    <w:p w14:paraId="42097BEE">
      <w:pPr>
        <w:pStyle w:val="65"/>
        <w:spacing w:before="120" w:after="120"/>
      </w:pPr>
      <w:r>
        <w:rPr>
          <w:rFonts w:hint="eastAsia"/>
        </w:rPr>
        <w:t>疾病预防和防治</w:t>
      </w:r>
    </w:p>
    <w:p w14:paraId="6F9C459D">
      <w:pPr>
        <w:pStyle w:val="164"/>
      </w:pPr>
      <w:r>
        <w:rPr>
          <w:rFonts w:hint="eastAsia"/>
        </w:rPr>
        <w:t>应制定包括疾病预防和治疗计划、主要病害、环境治理措施和防治方案等病害防治计划并有效实施。</w:t>
      </w:r>
    </w:p>
    <w:p w14:paraId="59278115">
      <w:pPr>
        <w:pStyle w:val="164"/>
      </w:pPr>
      <w:r>
        <w:rPr>
          <w:rFonts w:hint="eastAsia"/>
        </w:rPr>
        <w:t>渔药应来自于具有生产许可证或进口登记许可证的生产单位或供应商，同时应符合产品消费地的法律法规要求。</w:t>
      </w:r>
    </w:p>
    <w:p w14:paraId="3CDB0D4C">
      <w:pPr>
        <w:pStyle w:val="164"/>
      </w:pPr>
      <w:r>
        <w:rPr>
          <w:rFonts w:hint="eastAsia"/>
        </w:rPr>
        <w:t>应制定渔药管理制度，对其采购、使用、存储、处方制度以及相关的休药期进行规定。</w:t>
      </w:r>
    </w:p>
    <w:p w14:paraId="3A99E1EB">
      <w:pPr>
        <w:pStyle w:val="164"/>
      </w:pPr>
      <w:r>
        <w:rPr>
          <w:rFonts w:hint="eastAsia"/>
        </w:rPr>
        <w:t>渔药的剂量应按处方或应严格按药品说明书执行。</w:t>
      </w:r>
    </w:p>
    <w:p w14:paraId="564826C1">
      <w:pPr>
        <w:pStyle w:val="164"/>
      </w:pPr>
      <w:r>
        <w:rPr>
          <w:rFonts w:hint="eastAsia"/>
        </w:rPr>
        <w:t>应遵循相关渔药休药期规定，同一水域的养殖场应遵循同一休药期。</w:t>
      </w:r>
    </w:p>
    <w:p w14:paraId="03DCDB2E">
      <w:pPr>
        <w:pStyle w:val="65"/>
        <w:spacing w:before="120" w:after="120"/>
      </w:pPr>
      <w:r>
        <w:rPr>
          <w:rFonts w:hint="eastAsia"/>
        </w:rPr>
        <w:t>运输和捕捞</w:t>
      </w:r>
    </w:p>
    <w:p w14:paraId="3AE852DB">
      <w:pPr>
        <w:pStyle w:val="164"/>
      </w:pPr>
      <w:r>
        <w:rPr>
          <w:rFonts w:hint="eastAsia"/>
        </w:rPr>
        <w:t>捕捞船、加工船或运输船应符合卫生要求，并获得国家业务主管机构的许可。</w:t>
      </w:r>
    </w:p>
    <w:p w14:paraId="22B4ADC6">
      <w:pPr>
        <w:pStyle w:val="164"/>
      </w:pPr>
      <w:r>
        <w:rPr>
          <w:rFonts w:hint="eastAsia"/>
        </w:rPr>
        <w:t>活水产品应在适宜的存活条件下运输。</w:t>
      </w:r>
    </w:p>
    <w:p w14:paraId="087B56C1">
      <w:pPr>
        <w:pStyle w:val="164"/>
      </w:pPr>
      <w:r>
        <w:rPr>
          <w:rFonts w:hint="eastAsia"/>
        </w:rPr>
        <w:t>冰鲜水产品捕捞后应立即冷却，水产品的温度宜保持在 0 ℃～4 ℃。</w:t>
      </w:r>
    </w:p>
    <w:p w14:paraId="55C676BF">
      <w:pPr>
        <w:pStyle w:val="164"/>
      </w:pPr>
      <w:r>
        <w:rPr>
          <w:rFonts w:hint="eastAsia"/>
        </w:rPr>
        <w:t>保鲜和冷冻用冰（水）应清洁、卫生，符合 GB 5749 要求。</w:t>
      </w:r>
    </w:p>
    <w:p w14:paraId="086CFC55">
      <w:pPr>
        <w:pStyle w:val="65"/>
        <w:spacing w:before="120" w:after="120"/>
      </w:pPr>
      <w:r>
        <w:rPr>
          <w:rFonts w:hint="eastAsia"/>
        </w:rPr>
        <w:t>水产品贮存</w:t>
      </w:r>
    </w:p>
    <w:p w14:paraId="1650FDFF">
      <w:pPr>
        <w:pStyle w:val="56"/>
        <w:ind w:firstLine="420"/>
      </w:pPr>
      <w:r>
        <w:rPr>
          <w:rFonts w:hint="eastAsia"/>
        </w:rPr>
        <w:t>预冷库(或保鲜库)的温度应控制在 0 ℃～4 ℃ 之间:冷冻库温度应控制 -18 ℃ 以下；速冻库温度应控制 -28 ℃ 以下；冷包装间温度应控制在 0 ℃～10 ℃ 之间。</w:t>
      </w:r>
    </w:p>
    <w:p w14:paraId="006EB283">
      <w:pPr>
        <w:pStyle w:val="105"/>
        <w:spacing w:before="120" w:after="120"/>
      </w:pPr>
      <w:r>
        <w:rPr>
          <w:rFonts w:hint="eastAsia"/>
        </w:rPr>
        <w:t>蜜蜂养殖</w:t>
      </w:r>
    </w:p>
    <w:p w14:paraId="4C417925">
      <w:pPr>
        <w:pStyle w:val="65"/>
        <w:spacing w:before="120" w:after="120"/>
      </w:pPr>
      <w:r>
        <w:rPr>
          <w:rFonts w:hint="eastAsia"/>
        </w:rPr>
        <w:t>选址</w:t>
      </w:r>
    </w:p>
    <w:p w14:paraId="323BC510">
      <w:pPr>
        <w:pStyle w:val="164"/>
      </w:pPr>
      <w:r>
        <w:rPr>
          <w:rFonts w:hint="eastAsia"/>
        </w:rPr>
        <w:t>蜜蜂采蜜区选址时，应考虑到采蜜区应有充足的花粉或蜜源植物，并靠近清洁的水源，背风向阳，地势高燥，环境安静。</w:t>
      </w:r>
    </w:p>
    <w:p w14:paraId="459FCE3B">
      <w:pPr>
        <w:pStyle w:val="164"/>
      </w:pPr>
      <w:r>
        <w:rPr>
          <w:rFonts w:hint="eastAsia"/>
        </w:rPr>
        <w:t>在离蜂场半径 5 km 的范围内应无农药厂、农药仓库和以蜜、糖为原料的食品厂远离工业污染源、垃圾填埋场和垃圾焚烧厂等。</w:t>
      </w:r>
    </w:p>
    <w:p w14:paraId="77148A31">
      <w:pPr>
        <w:pStyle w:val="65"/>
        <w:spacing w:before="120" w:after="120"/>
      </w:pPr>
      <w:r>
        <w:rPr>
          <w:rFonts w:hint="eastAsia"/>
        </w:rPr>
        <w:t>养蜂机具</w:t>
      </w:r>
    </w:p>
    <w:p w14:paraId="44ABF654">
      <w:pPr>
        <w:pStyle w:val="164"/>
      </w:pPr>
      <w:r>
        <w:rPr>
          <w:rFonts w:hint="eastAsia"/>
        </w:rPr>
        <w:t>蜂箱和巢框的用材应具备透气性好、无毒和无味等条件。</w:t>
      </w:r>
    </w:p>
    <w:p w14:paraId="01E83505">
      <w:pPr>
        <w:pStyle w:val="164"/>
      </w:pPr>
      <w:r>
        <w:rPr>
          <w:rFonts w:hint="eastAsia"/>
        </w:rPr>
        <w:t>养蜂和采收器具应无毒和无味，符合食品安全要求的材料制成。</w:t>
      </w:r>
    </w:p>
    <w:p w14:paraId="7E03E7D6">
      <w:pPr>
        <w:pStyle w:val="164"/>
      </w:pPr>
      <w:r>
        <w:rPr>
          <w:rFonts w:hint="eastAsia"/>
        </w:rPr>
        <w:t>蜂箱应定期消毒和换洗，避免滋生巢虫。</w:t>
      </w:r>
    </w:p>
    <w:p w14:paraId="7023EDC1">
      <w:pPr>
        <w:pStyle w:val="164"/>
      </w:pPr>
      <w:r>
        <w:rPr>
          <w:rFonts w:hint="eastAsia"/>
        </w:rPr>
        <w:t>蜂场应配置驱蜂、脱蜂和防蛰等防护服和设施设备。</w:t>
      </w:r>
    </w:p>
    <w:p w14:paraId="3E663224">
      <w:pPr>
        <w:pStyle w:val="65"/>
        <w:spacing w:before="120" w:after="120"/>
      </w:pPr>
      <w:r>
        <w:rPr>
          <w:rFonts w:hint="eastAsia"/>
        </w:rPr>
        <w:t>品种引入</w:t>
      </w:r>
    </w:p>
    <w:p w14:paraId="239ED41E">
      <w:pPr>
        <w:pStyle w:val="164"/>
      </w:pPr>
      <w:r>
        <w:rPr>
          <w:rFonts w:hint="eastAsia"/>
        </w:rPr>
        <w:t>蜂种应来自于行政主管部门批准并有资质的蜂种场。</w:t>
      </w:r>
    </w:p>
    <w:p w14:paraId="5E2CB058">
      <w:pPr>
        <w:pStyle w:val="164"/>
      </w:pPr>
      <w:r>
        <w:rPr>
          <w:rFonts w:hint="eastAsia"/>
        </w:rPr>
        <w:t>应引进适合当地环境的健康优势蜂种。</w:t>
      </w:r>
    </w:p>
    <w:p w14:paraId="7CBA499D">
      <w:pPr>
        <w:pStyle w:val="65"/>
        <w:spacing w:before="120" w:after="120"/>
      </w:pPr>
      <w:r>
        <w:rPr>
          <w:rFonts w:hint="eastAsia"/>
        </w:rPr>
        <w:t>饲料和饲料添加剂</w:t>
      </w:r>
    </w:p>
    <w:p w14:paraId="20433856">
      <w:pPr>
        <w:pStyle w:val="164"/>
      </w:pPr>
      <w:r>
        <w:rPr>
          <w:rFonts w:hint="eastAsia"/>
        </w:rPr>
        <w:t>采购的饲料应来源于相关行政主管部门批准的生产企业。</w:t>
      </w:r>
    </w:p>
    <w:p w14:paraId="4DD50246">
      <w:pPr>
        <w:pStyle w:val="164"/>
      </w:pPr>
      <w:r>
        <w:rPr>
          <w:rFonts w:hint="eastAsia"/>
        </w:rPr>
        <w:t>饲料应符合的要求如下：</w:t>
      </w:r>
    </w:p>
    <w:p w14:paraId="7FC518C2">
      <w:pPr>
        <w:pStyle w:val="174"/>
        <w:numPr>
          <w:ilvl w:val="0"/>
          <w:numId w:val="32"/>
        </w:numPr>
      </w:pPr>
      <w:r>
        <w:rPr>
          <w:rFonts w:hint="eastAsia"/>
        </w:rPr>
        <w:t>饲喂蜂群的蜂蜜、糖浆、花粉或花粉代用品应符合相关的卫生要求；</w:t>
      </w:r>
    </w:p>
    <w:p w14:paraId="4753C8CE">
      <w:pPr>
        <w:pStyle w:val="174"/>
      </w:pPr>
      <w:r>
        <w:rPr>
          <w:rFonts w:hint="eastAsia"/>
        </w:rPr>
        <w:t>花粉代用品不应添加未经国家有关部门批准使用的添加剂等；</w:t>
      </w:r>
    </w:p>
    <w:p w14:paraId="744B6A43">
      <w:pPr>
        <w:pStyle w:val="174"/>
      </w:pPr>
      <w:r>
        <w:rPr>
          <w:rFonts w:hint="eastAsia"/>
        </w:rPr>
        <w:t>饲料中不得人为添加违禁兽药；</w:t>
      </w:r>
    </w:p>
    <w:p w14:paraId="0C388DF8">
      <w:pPr>
        <w:pStyle w:val="174"/>
      </w:pPr>
      <w:r>
        <w:rPr>
          <w:rFonts w:hint="eastAsia"/>
        </w:rPr>
        <w:t>能提供蜂群持续健康生长所需要的营养。</w:t>
      </w:r>
    </w:p>
    <w:p w14:paraId="70AB1FDC">
      <w:pPr>
        <w:pStyle w:val="65"/>
        <w:spacing w:before="120" w:after="120"/>
      </w:pPr>
      <w:r>
        <w:rPr>
          <w:rFonts w:hint="eastAsia"/>
        </w:rPr>
        <w:t>饲养</w:t>
      </w:r>
    </w:p>
    <w:p w14:paraId="6FF220AC">
      <w:pPr>
        <w:pStyle w:val="164"/>
      </w:pPr>
      <w:r>
        <w:rPr>
          <w:rFonts w:hint="eastAsia"/>
        </w:rPr>
        <w:t>应有充足的饮水器和清洁水，以满足蜂群用水需要。</w:t>
      </w:r>
    </w:p>
    <w:p w14:paraId="36DC5A1A">
      <w:pPr>
        <w:pStyle w:val="164"/>
      </w:pPr>
      <w:r>
        <w:rPr>
          <w:rFonts w:hint="eastAsia"/>
        </w:rPr>
        <w:t>适时补充饲喂或奖励饲喂；留足越冬饲料，越冬后期注意补充饲料。</w:t>
      </w:r>
    </w:p>
    <w:p w14:paraId="4FCE7F4D">
      <w:pPr>
        <w:pStyle w:val="164"/>
      </w:pPr>
      <w:r>
        <w:rPr>
          <w:rFonts w:hint="eastAsia"/>
        </w:rPr>
        <w:t>应制定不同光照条件下，管理蜂箱和蜂群的措施，不限于将蜂箱摆放在蔽阴处、搭建凉棚或草帘遮光等。</w:t>
      </w:r>
    </w:p>
    <w:p w14:paraId="3FF684DD">
      <w:pPr>
        <w:pStyle w:val="164"/>
      </w:pPr>
      <w:r>
        <w:rPr>
          <w:rFonts w:hint="eastAsia"/>
        </w:rPr>
        <w:t>应根据蜜蜂的生长阶段，保持蜂箱的温度相对稳定，并通风良好。</w:t>
      </w:r>
    </w:p>
    <w:p w14:paraId="6F53EE98">
      <w:pPr>
        <w:pStyle w:val="164"/>
      </w:pPr>
      <w:r>
        <w:rPr>
          <w:rFonts w:hint="eastAsia"/>
        </w:rPr>
        <w:t>根据季节采取适当的控温措施。</w:t>
      </w:r>
    </w:p>
    <w:p w14:paraId="2250F442">
      <w:pPr>
        <w:pStyle w:val="164"/>
      </w:pPr>
      <w:r>
        <w:rPr>
          <w:rFonts w:hint="eastAsia"/>
        </w:rPr>
        <w:t>蜂箱和蜂巢内适宜的相对湿度宜为 65 %～88 %。</w:t>
      </w:r>
    </w:p>
    <w:p w14:paraId="069DA4EE">
      <w:pPr>
        <w:pStyle w:val="65"/>
        <w:spacing w:before="120" w:after="120"/>
      </w:pPr>
      <w:r>
        <w:rPr>
          <w:rFonts w:hint="eastAsia"/>
        </w:rPr>
        <w:t>疾病预防和防治</w:t>
      </w:r>
    </w:p>
    <w:p w14:paraId="56D4F04D">
      <w:pPr>
        <w:pStyle w:val="164"/>
      </w:pPr>
      <w:r>
        <w:rPr>
          <w:rFonts w:hint="eastAsia"/>
        </w:rPr>
        <w:t>蜜蜂病敌害防治应以加强饲养管理和综合防治为主，并符合GB/T 19168 的规定。</w:t>
      </w:r>
    </w:p>
    <w:p w14:paraId="5493951D">
      <w:pPr>
        <w:pStyle w:val="164"/>
      </w:pPr>
      <w:r>
        <w:rPr>
          <w:rFonts w:hint="eastAsia"/>
        </w:rPr>
        <w:t>应制定培养强群的方案，包括选择抗病品种，预防盗蜂，选择良好的饲养环境，保证蜂群有充足且富含营养物质的饲料,重视消毒优于用药,保持养蜂场地和养蜂机具清洁卫生等，尽可能不使用药或少用药，以防蜜蜂产品污染。</w:t>
      </w:r>
    </w:p>
    <w:p w14:paraId="37E7D982">
      <w:pPr>
        <w:pStyle w:val="164"/>
      </w:pPr>
      <w:r>
        <w:rPr>
          <w:rFonts w:hint="eastAsia"/>
        </w:rPr>
        <w:t>必要时，应采用药物治疗蜂群疾病。使用蜂药时，应由具有养殖或病害专业等相关资质人员开出处方。投喂或使用蜂药的员工应经过相关培训，并具备用药的相关能力和知识。</w:t>
      </w:r>
    </w:p>
    <w:p w14:paraId="581F85BD">
      <w:pPr>
        <w:pStyle w:val="164"/>
      </w:pPr>
      <w:r>
        <w:rPr>
          <w:rFonts w:hint="eastAsia"/>
        </w:rPr>
        <w:t>流蜜期或流蜜盛期，不应使用药物处理蜜蜂。</w:t>
      </w:r>
    </w:p>
    <w:p w14:paraId="3A4CC2D3">
      <w:pPr>
        <w:pStyle w:val="65"/>
        <w:spacing w:before="120" w:after="120"/>
      </w:pPr>
      <w:r>
        <w:rPr>
          <w:rFonts w:hint="eastAsia"/>
        </w:rPr>
        <w:t>蜜蜂收获与处理</w:t>
      </w:r>
    </w:p>
    <w:p w14:paraId="31C65D33">
      <w:pPr>
        <w:pStyle w:val="164"/>
      </w:pPr>
      <w:r>
        <w:rPr>
          <w:rFonts w:hint="eastAsia"/>
        </w:rPr>
        <w:t>蜜蜂产品采收期间，生产群不应使用任何蜂药；在休药期内不得采收任何蜜蜂产品。</w:t>
      </w:r>
    </w:p>
    <w:p w14:paraId="29E0173D">
      <w:pPr>
        <w:pStyle w:val="164"/>
      </w:pPr>
      <w:r>
        <w:rPr>
          <w:rFonts w:hint="eastAsia"/>
        </w:rPr>
        <w:t>宜用吹风或烟雾发生器把蜜蜂从蜂箱中驱赶出去，不应使用化学驱逐剂。</w:t>
      </w:r>
    </w:p>
    <w:p w14:paraId="6386B6E6">
      <w:pPr>
        <w:pStyle w:val="164"/>
      </w:pPr>
      <w:r>
        <w:rPr>
          <w:rFonts w:hint="eastAsia"/>
        </w:rPr>
        <w:t>蜂箱管理和采集蜂蜜的方法应以保护蜂群和维持蜂群为目标，采集完蜂蜜后不得毁掉蜂群。</w:t>
      </w:r>
    </w:p>
    <w:p w14:paraId="69F8A7DD">
      <w:pPr>
        <w:pStyle w:val="164"/>
      </w:pPr>
      <w:r>
        <w:rPr>
          <w:rFonts w:hint="eastAsia"/>
        </w:rPr>
        <w:t>蜂蜜所接触表面应当是不锈钢、玻璃、陶瓷和搪瓷等耐腐蚀材料，或者符合安全卫生、无毒要求。</w:t>
      </w:r>
    </w:p>
    <w:p w14:paraId="7A497FC8">
      <w:pPr>
        <w:pStyle w:val="164"/>
      </w:pPr>
      <w:r>
        <w:rPr>
          <w:rFonts w:hint="eastAsia"/>
        </w:rPr>
        <w:t>蜂蜜提取设施应杜绝蜜蜂进入，防止蜜蜂偷食蜂蜜以及传播疾病；提取设施应配有清洗设备，并能提供充足且干净的热水供设施清洗。</w:t>
      </w:r>
    </w:p>
    <w:p w14:paraId="37F463BD">
      <w:pPr>
        <w:pStyle w:val="65"/>
        <w:spacing w:before="120" w:after="120"/>
      </w:pPr>
      <w:r>
        <w:rPr>
          <w:rFonts w:hint="eastAsia"/>
        </w:rPr>
        <w:t>蜂蜜的保鲜贮藏</w:t>
      </w:r>
    </w:p>
    <w:p w14:paraId="1456795D">
      <w:pPr>
        <w:pStyle w:val="164"/>
      </w:pPr>
      <w:r>
        <w:rPr>
          <w:rFonts w:hint="eastAsia"/>
        </w:rPr>
        <w:t>存放蜂蜜应使用专用的容器。</w:t>
      </w:r>
    </w:p>
    <w:p w14:paraId="547AA18D">
      <w:pPr>
        <w:pStyle w:val="164"/>
      </w:pPr>
      <w:r>
        <w:rPr>
          <w:rFonts w:hint="eastAsia"/>
        </w:rPr>
        <w:t>成品蜂蜜的贮存温度要求稳定，密封包装，以避免蜂蜜变质。</w:t>
      </w:r>
    </w:p>
    <w:p w14:paraId="3BB57401">
      <w:pPr>
        <w:pStyle w:val="164"/>
      </w:pPr>
      <w:r>
        <w:rPr>
          <w:rFonts w:hint="eastAsia"/>
        </w:rPr>
        <w:t>不应对贮存的蜂蜜和蜂产品使用萘等化学合成物质控制蜂蜡蛾等害虫。</w:t>
      </w:r>
    </w:p>
    <w:p w14:paraId="4435B231">
      <w:pPr>
        <w:pStyle w:val="105"/>
        <w:spacing w:before="120" w:after="120"/>
      </w:pPr>
      <w:r>
        <w:rPr>
          <w:rFonts w:hint="eastAsia"/>
        </w:rPr>
        <w:t>卫生管理</w:t>
      </w:r>
    </w:p>
    <w:p w14:paraId="3FA23468">
      <w:pPr>
        <w:pStyle w:val="165"/>
      </w:pPr>
      <w:r>
        <w:rPr>
          <w:rFonts w:hint="eastAsia"/>
        </w:rPr>
        <w:t>应制定养殖场所各岗位人员卫生管理制度包括人员行为和操作方式的卫生并有效执行。养殖场应制定和发布符合操作需要的个人清洁、行为和操作规程；已知受到病毒感染，或者携带可经养殖动物传播疾病或病症的人员，应避免处理养殖的动物及其接触材料。</w:t>
      </w:r>
    </w:p>
    <w:p w14:paraId="341F349B">
      <w:pPr>
        <w:pStyle w:val="165"/>
      </w:pPr>
      <w:r>
        <w:rPr>
          <w:rFonts w:hint="eastAsia"/>
        </w:rPr>
        <w:t>应保持所有房舍和设备表面包括运输容器的清洁。</w:t>
      </w:r>
    </w:p>
    <w:p w14:paraId="4FCDEB81">
      <w:pPr>
        <w:pStyle w:val="105"/>
        <w:spacing w:before="120" w:after="120"/>
      </w:pPr>
      <w:r>
        <w:rPr>
          <w:rFonts w:hint="eastAsia"/>
        </w:rPr>
        <w:t>有害生物控制</w:t>
      </w:r>
    </w:p>
    <w:p w14:paraId="69665457">
      <w:pPr>
        <w:pStyle w:val="165"/>
      </w:pPr>
      <w:r>
        <w:rPr>
          <w:rFonts w:hint="eastAsia"/>
        </w:rPr>
        <w:t>对养殖场所、饲料存放或与之接触的设备和建筑物所有出入口予以适当保护,防止啮齿动物和鸟类侵入。</w:t>
      </w:r>
    </w:p>
    <w:p w14:paraId="15BE70E3">
      <w:pPr>
        <w:pStyle w:val="165"/>
      </w:pPr>
      <w:r>
        <w:rPr>
          <w:rFonts w:hint="eastAsia"/>
        </w:rPr>
        <w:t>当养殖场内的虫害侵袭和繁殖可能导致食品污染时，组织应制定并保持虫害防治体系，采用适当方式监测和控制养殖场内虫害的侵袭和繁殖。</w:t>
      </w:r>
    </w:p>
    <w:p w14:paraId="3062BC90">
      <w:pPr>
        <w:pStyle w:val="165"/>
      </w:pPr>
      <w:r>
        <w:rPr>
          <w:rFonts w:hint="eastAsia"/>
        </w:rPr>
        <w:t>应使用经过业务主管部门规定的，并经业务主管部门批准的虫害控制化学品，且不应与食品和饲料产品或养殖产品接触。</w:t>
      </w:r>
    </w:p>
    <w:p w14:paraId="3D61F486">
      <w:pPr>
        <w:pStyle w:val="165"/>
      </w:pPr>
      <w:r>
        <w:rPr>
          <w:rFonts w:hint="eastAsia"/>
        </w:rPr>
        <w:t>应按照其产品说明书使用虫害控制化学品，不应污染其他农食产品或者水源。</w:t>
      </w:r>
    </w:p>
    <w:p w14:paraId="71B96A41">
      <w:pPr>
        <w:pStyle w:val="105"/>
        <w:spacing w:before="120" w:after="120"/>
      </w:pPr>
      <w:r>
        <w:rPr>
          <w:rFonts w:hint="eastAsia"/>
        </w:rPr>
        <w:t>废弃物管理</w:t>
      </w:r>
    </w:p>
    <w:p w14:paraId="23428AE2">
      <w:pPr>
        <w:pStyle w:val="56"/>
        <w:ind w:firstLine="420"/>
      </w:pPr>
      <w:r>
        <w:rPr>
          <w:rFonts w:hint="eastAsia"/>
        </w:rPr>
        <w:t>应确保养殖场房舍内废弃物的产生、运输、回收、堆放和贮存不会滋生虫害、并且不会构成污染养殖场终端产品或其他食品的风险。</w:t>
      </w:r>
    </w:p>
    <w:p w14:paraId="009236F9">
      <w:pPr>
        <w:pStyle w:val="104"/>
        <w:spacing w:before="240" w:after="240"/>
      </w:pPr>
      <w:bookmarkStart w:id="71" w:name="_Toc212754737"/>
      <w:r>
        <w:rPr>
          <w:rFonts w:hint="eastAsia"/>
        </w:rPr>
        <w:t>质量要求</w:t>
      </w:r>
      <w:bookmarkEnd w:id="71"/>
    </w:p>
    <w:p w14:paraId="146FF105">
      <w:pPr>
        <w:pStyle w:val="162"/>
      </w:pPr>
      <w:r>
        <w:rPr>
          <w:rFonts w:hint="eastAsia"/>
        </w:rPr>
        <w:t>食品安全指标和产品品质指标应符合绿色食品的标准（</w:t>
      </w:r>
      <w:r>
        <w:rPr>
          <w:rFonts w:hint="eastAsia" w:hAnsi="宋体"/>
          <w:lang w:bidi="ar"/>
        </w:rPr>
        <w:t>“海南消费领域区域公共品牌”</w:t>
      </w:r>
      <w:r>
        <w:rPr>
          <w:rFonts w:hint="eastAsia"/>
        </w:rPr>
        <w:t>特色产品按特色产品技术规范执行除外），无绿色食品标准则须符合国家产品标准和限量标准如GB 2761、GB 2762、GB 2763 和 GB 31650 等。</w:t>
      </w:r>
    </w:p>
    <w:p w14:paraId="329208F7">
      <w:pPr>
        <w:pStyle w:val="162"/>
      </w:pPr>
      <w:r>
        <w:rPr>
          <w:rFonts w:hint="eastAsia"/>
        </w:rPr>
        <w:t>应通过委托具备法定资质的第三方检验检测机构进行产品检测，在风险评估的基础上确定检验检测的项目和频次。</w:t>
      </w:r>
    </w:p>
    <w:p w14:paraId="2FE29007">
      <w:pPr>
        <w:pStyle w:val="104"/>
        <w:spacing w:before="240" w:after="240"/>
      </w:pPr>
      <w:bookmarkStart w:id="72" w:name="_Toc212754738"/>
      <w:r>
        <w:rPr>
          <w:rFonts w:hint="eastAsia"/>
        </w:rPr>
        <w:t>文件和记录</w:t>
      </w:r>
      <w:bookmarkEnd w:id="72"/>
    </w:p>
    <w:p w14:paraId="1F7A5C10">
      <w:pPr>
        <w:pStyle w:val="162"/>
      </w:pPr>
      <w:r>
        <w:rPr>
          <w:rFonts w:hint="eastAsia"/>
        </w:rPr>
        <w:t>应制定饲养管理操作规程，明确养殖过程中饲养、治疗和收获等活动以及包装、贮藏、运输和销售等各个环节的要求，至少应形成并保持饲养活动记录、投入品使用记录和收获记录及产品的销售运输记录。</w:t>
      </w:r>
    </w:p>
    <w:p w14:paraId="6A3BD25A">
      <w:pPr>
        <w:pStyle w:val="162"/>
      </w:pPr>
      <w:r>
        <w:rPr>
          <w:rFonts w:hint="eastAsia"/>
        </w:rPr>
        <w:t>应制定投入品包括饲料、饲料添加剂、治疗药物和包装材料的采购验收制度，明确兽药、饲料及添加剂等投入品和产品包装材料等相关产品采购索证和进库查验要求，形成并保持验收记录、饲养投入品的入库及领用出库记录，记录应由记录和审核人员复核签名。</w:t>
      </w:r>
    </w:p>
    <w:p w14:paraId="71C1B281">
      <w:pPr>
        <w:pStyle w:val="162"/>
      </w:pPr>
      <w:r>
        <w:rPr>
          <w:rFonts w:hint="eastAsia"/>
        </w:rPr>
        <w:t>应制定和执行仓储管理制度，明确仓库的管理要求及投入品及产品储藏要求，养殖产品出入库和库存量必须有完整的档案记录，并保留相应的单据，发现异常应及时处理。</w:t>
      </w:r>
    </w:p>
    <w:p w14:paraId="599C9772">
      <w:pPr>
        <w:pStyle w:val="162"/>
        <w:numPr>
          <w:ilvl w:val="0"/>
          <w:numId w:val="0"/>
        </w:numPr>
      </w:pPr>
    </w:p>
    <w:bookmarkEnd w:id="32"/>
    <w:p w14:paraId="1B4B686B">
      <w:pPr>
        <w:pStyle w:val="162"/>
        <w:numPr>
          <w:ilvl w:val="0"/>
          <w:numId w:val="0"/>
        </w:numPr>
        <w:sectPr>
          <w:pgSz w:w="11906" w:h="16838"/>
          <w:pgMar w:top="1928" w:right="1134" w:bottom="1134" w:left="1134" w:header="1418" w:footer="1134" w:gutter="284"/>
          <w:pgNumType w:start="1"/>
          <w:cols w:space="425" w:num="1"/>
          <w:formProt w:val="0"/>
          <w:docGrid w:linePitch="312" w:charSpace="0"/>
        </w:sectPr>
      </w:pPr>
      <w:bookmarkStart w:id="73" w:name="BookMark6"/>
    </w:p>
    <w:p w14:paraId="11EC59DA">
      <w:pPr>
        <w:pStyle w:val="63"/>
        <w:spacing w:after="120"/>
      </w:pPr>
      <w:bookmarkStart w:id="74" w:name="_Toc212754739"/>
      <w:r>
        <w:rPr>
          <w:rFonts w:hint="eastAsia"/>
          <w:spacing w:val="105"/>
        </w:rPr>
        <w:t>参考文</w:t>
      </w:r>
      <w:r>
        <w:rPr>
          <w:rFonts w:hint="eastAsia"/>
        </w:rPr>
        <w:t>献</w:t>
      </w:r>
      <w:bookmarkEnd w:id="74"/>
    </w:p>
    <w:p w14:paraId="3437F599">
      <w:pPr>
        <w:pStyle w:val="56"/>
        <w:ind w:firstLine="420"/>
      </w:pPr>
    </w:p>
    <w:p w14:paraId="6ADB1B46">
      <w:pPr>
        <w:pStyle w:val="56"/>
        <w:ind w:firstLine="420"/>
      </w:pPr>
    </w:p>
    <w:p w14:paraId="648D0153">
      <w:pPr>
        <w:pStyle w:val="56"/>
        <w:ind w:firstLine="420"/>
      </w:pPr>
      <w:r>
        <w:rPr>
          <w:rFonts w:hint="eastAsia"/>
        </w:rPr>
        <w:t>[1] 中华人民共和国农业部公告第 2045 号  饲料添加剂品种目录</w:t>
      </w:r>
    </w:p>
    <w:bookmarkEnd w:id="73"/>
    <w:p w14:paraId="33AF4324">
      <w:pPr>
        <w:pStyle w:val="162"/>
        <w:numPr>
          <w:ilvl w:val="0"/>
          <w:numId w:val="0"/>
        </w:numPr>
        <w:jc w:val="center"/>
      </w:pPr>
      <w:bookmarkStart w:id="75" w:name="BookMark8"/>
      <w:r>
        <w:rPr>
          <w:rFonts w:hint="eastAsia"/>
        </w:rPr>
        <w:drawing>
          <wp:inline distT="0" distB="0" distL="0" distR="0">
            <wp:extent cx="1485900" cy="317500"/>
            <wp:effectExtent l="0" t="0" r="0" b="6350"/>
            <wp:docPr id="2087789739" name="图片 3"/>
            <wp:cNvGraphicFramePr/>
            <a:graphic xmlns:a="http://schemas.openxmlformats.org/drawingml/2006/main">
              <a:graphicData uri="http://schemas.openxmlformats.org/drawingml/2006/picture">
                <pic:pic xmlns:pic="http://schemas.openxmlformats.org/drawingml/2006/picture">
                  <pic:nvPicPr>
                    <pic:cNvPr id="2087789739"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0E0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E4B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0D2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1672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C492">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57ED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F07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F63E">
    <w:pPr>
      <w:pStyle w:val="61"/>
      <w:rPr>
        <w:rFonts w:hint="eastAsia"/>
      </w:rPr>
    </w:pPr>
    <w:r>
      <w:fldChar w:fldCharType="begin"/>
    </w:r>
    <w:r>
      <w:instrText xml:space="preserve"> STYLEREF  标准文件_文件编号  \* MERGEFORMAT </w:instrText>
    </w:r>
    <w:r>
      <w:fldChar w:fldCharType="separate"/>
    </w:r>
    <w:r>
      <w:t xml:space="preserve">T/XXX XXXX—    </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EC872">
    <w:pPr>
      <w:pStyle w:val="18"/>
      <w:jc w:val="right"/>
    </w:pPr>
    <w:r>
      <w:fldChar w:fldCharType="begin"/>
    </w:r>
    <w:r>
      <w:instrText xml:space="preserve"> STYLEREF  标准文件_文件编号  \* MERGEFORMAT </w:instrText>
    </w:r>
    <w:r>
      <w:fldChar w:fldCharType="separate"/>
    </w:r>
    <w:r>
      <w:t xml:space="preserve">T/XXX XXXX—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dit="forms" w:enforcement="1" w:cryptProviderType="rsaAES" w:cryptAlgorithmClass="hash" w:cryptAlgorithmType="typeAny" w:cryptAlgorithmSid="14" w:cryptSpinCount="100000" w:hash="IHqWyXZ5Enllzz1/oBrEpHL9k48Plf23hrpLwOdK2TGXxj6IllhsxGeFuJs4PvWPoFoDFBrEo24tvbTm/0fPjg==" w:salt="neN4D7V7d+EY0gfVZ3LX4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7B1"/>
    <w:rsid w:val="0000040A"/>
    <w:rsid w:val="00000A94"/>
    <w:rsid w:val="00000BF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98"/>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DF8"/>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C88"/>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DE2"/>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6D7"/>
    <w:rsid w:val="00257C4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EB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4896"/>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8E3"/>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3A3"/>
    <w:rsid w:val="005B4903"/>
    <w:rsid w:val="005B51CE"/>
    <w:rsid w:val="005B5885"/>
    <w:rsid w:val="005B5CD7"/>
    <w:rsid w:val="005B6C59"/>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3A3"/>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6F74B9"/>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AB8"/>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3E4E"/>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5E24"/>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7B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A7FC5"/>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41B"/>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5153"/>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EC83D6D"/>
    <w:rsid w:val="3FBD22FA"/>
    <w:rsid w:val="451F3BA0"/>
    <w:rsid w:val="45C4070F"/>
    <w:rsid w:val="47A06294"/>
    <w:rsid w:val="4C664408"/>
    <w:rsid w:val="520D2532"/>
    <w:rsid w:val="528E332D"/>
    <w:rsid w:val="557A3D5F"/>
    <w:rsid w:val="63B9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basedOn w:val="105"/>
    <w:next w:val="1"/>
    <w:qFormat/>
    <w:uiPriority w:val="0"/>
    <w:pPr>
      <w:numPr>
        <w:ilvl w:val="0"/>
        <w:numId w:val="0"/>
      </w:numPr>
      <w:tabs>
        <w:tab w:val="left" w:pos="2258"/>
      </w:tabs>
      <w:spacing w:before="0" w:after="0"/>
      <w:ind w:left="2258" w:hanging="420"/>
    </w:pPr>
    <w:rPr>
      <w:rFonts w:ascii="Times New Roman" w:cs="黑体"/>
      <w:szCs w:val="21"/>
    </w:rPr>
  </w:style>
  <w:style w:type="paragraph" w:customStyle="1" w:styleId="231">
    <w:name w:val="二级条标题"/>
    <w:basedOn w:val="65"/>
    <w:next w:val="1"/>
    <w:autoRedefine/>
    <w:qFormat/>
    <w:uiPriority w:val="0"/>
    <w:pPr>
      <w:numPr>
        <w:ilvl w:val="0"/>
        <w:numId w:val="0"/>
      </w:numPr>
      <w:tabs>
        <w:tab w:val="left" w:pos="2150"/>
      </w:tabs>
      <w:spacing w:before="0" w:after="0"/>
      <w:ind w:left="2150" w:hanging="420"/>
    </w:pPr>
    <w:rPr>
      <w:rFonts w:ascii="Times New Roman" w:cs="黑体"/>
      <w:szCs w:val="21"/>
    </w:rPr>
  </w:style>
  <w:style w:type="paragraph" w:customStyle="1" w:styleId="232">
    <w:name w:val="字母编号列项（一级）"/>
    <w:autoRedefine/>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3">
    <w:name w:val="1章标题"/>
    <w:next w:val="56"/>
    <w:qFormat/>
    <w:uiPriority w:val="99"/>
    <w:pPr>
      <w:spacing w:beforeLines="50" w:afterLines="50"/>
      <w:jc w:val="both"/>
      <w:outlineLvl w:val="0"/>
    </w:pPr>
    <w:rPr>
      <w:rFonts w:ascii="黑体" w:hAnsi="Times New Roman" w:eastAsia="黑体" w:cs="黑体"/>
      <w:sz w:val="21"/>
      <w:szCs w:val="21"/>
      <w:lang w:val="en-US" w:eastAsia="zh-CN" w:bidi="ar-SA"/>
    </w:rPr>
  </w:style>
  <w:style w:type="paragraph" w:customStyle="1" w:styleId="234">
    <w:name w:val="章标题"/>
    <w:basedOn w:val="233"/>
    <w:next w:val="1"/>
    <w:qFormat/>
    <w:uiPriority w:val="0"/>
    <w:pPr>
      <w:spacing w:beforeLines="100" w:afterLines="100"/>
    </w:pPr>
    <w:rPr>
      <w:rFonts w:ascii="Times New Roman"/>
    </w:rPr>
  </w:style>
  <w:style w:type="paragraph" w:customStyle="1" w:styleId="235">
    <w:name w:val="段"/>
    <w:basedOn w:val="1"/>
    <w:qFormat/>
    <w:uiPriority w:val="0"/>
    <w:pPr>
      <w:spacing w:line="240" w:lineRule="auto"/>
      <w:ind w:firstLine="420" w:firstLineChars="200"/>
    </w:pPr>
    <w:rPr>
      <w:rFonts w:ascii="Times New Roman" w:hAnsi="Times New Roman"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891A32F2890401F849CDBE7052D0279"/>
        <w:style w:val=""/>
        <w:category>
          <w:name w:val="常规"/>
          <w:gallery w:val="placeholder"/>
        </w:category>
        <w:types>
          <w:type w:val="bbPlcHdr"/>
        </w:types>
        <w:behaviors>
          <w:behavior w:val="content"/>
        </w:behaviors>
        <w:description w:val=""/>
        <w:guid w:val="{2E632E23-C541-4C0A-AFFD-8CFEC8B90C8A}"/>
      </w:docPartPr>
      <w:docPartBody>
        <w:p w14:paraId="31E85985">
          <w:pPr>
            <w:pStyle w:val="5"/>
            <w:rPr>
              <w:rFonts w:hint="eastAsia"/>
            </w:rPr>
          </w:pPr>
          <w:r>
            <w:rPr>
              <w:rStyle w:val="4"/>
              <w:rFonts w:hint="eastAsia"/>
            </w:rPr>
            <w:t>单击或点击此处输入文字。</w:t>
          </w:r>
        </w:p>
      </w:docPartBody>
    </w:docPart>
    <w:docPart>
      <w:docPartPr>
        <w:name w:val="E34F6C7A9D1E4F16A3BC2D9E609FE853"/>
        <w:style w:val=""/>
        <w:category>
          <w:name w:val="常规"/>
          <w:gallery w:val="placeholder"/>
        </w:category>
        <w:types>
          <w:type w:val="bbPlcHdr"/>
        </w:types>
        <w:behaviors>
          <w:behavior w:val="content"/>
        </w:behaviors>
        <w:description w:val=""/>
        <w:guid w:val="{C632EC7E-8F59-403A-B0BC-9A2A3FB25981}"/>
      </w:docPartPr>
      <w:docPartBody>
        <w:p w14:paraId="40C7DB01">
          <w:pPr>
            <w:pStyle w:val="6"/>
            <w:rPr>
              <w:rFonts w:hint="eastAsia"/>
            </w:rPr>
          </w:pPr>
          <w:r>
            <w:rPr>
              <w:rStyle w:val="4"/>
              <w:rFonts w:hint="eastAsia"/>
            </w:rPr>
            <w:t>选择一项。</w:t>
          </w:r>
        </w:p>
      </w:docPartBody>
    </w:docPart>
    <w:docPart>
      <w:docPartPr>
        <w:name w:val="42D41501962E4FFF9FD9F2D2F0817FE6"/>
        <w:style w:val=""/>
        <w:category>
          <w:name w:val="常规"/>
          <w:gallery w:val="placeholder"/>
        </w:category>
        <w:types>
          <w:type w:val="bbPlcHdr"/>
        </w:types>
        <w:behaviors>
          <w:behavior w:val="content"/>
        </w:behaviors>
        <w:description w:val=""/>
        <w:guid w:val="{CFBE3DDB-6322-4CBE-BABE-DFE65D818978}"/>
      </w:docPartPr>
      <w:docPartBody>
        <w:p w14:paraId="38E85C11">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8C"/>
    <w:rsid w:val="00035298"/>
    <w:rsid w:val="00257C40"/>
    <w:rsid w:val="00362F3E"/>
    <w:rsid w:val="0057698C"/>
    <w:rsid w:val="009629D8"/>
    <w:rsid w:val="00A53977"/>
    <w:rsid w:val="00BA5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891A32F2890401F849CDBE7052D027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34F6C7A9D1E4F16A3BC2D9E609FE85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2D41501962E4FFF9FD9F2D2F0817FE6"/>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5850</Words>
  <Characters>6090</Characters>
  <Lines>163</Lines>
  <Paragraphs>199</Paragraphs>
  <TotalTime>0</TotalTime>
  <ScaleCrop>false</ScaleCrop>
  <LinksUpToDate>false</LinksUpToDate>
  <CharactersWithSpaces>6247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2025-10-30T12:56:00Z</dcterms:created>
  <dc:creator>HUAWEI</dc:creator>
  <dc:description>&lt;config cover="true" show_menu="true" version="1.0.0" doctype="SDKXY"&gt;_x000d_
&lt;/config&gt;</dc:description>
  <cp:lastModifiedBy>菲儿</cp:lastModifiedBy>
  <cp:lastPrinted>2021-02-02T08:22:00Z</cp:lastPrinted>
  <dcterms:modified xsi:type="dcterms:W3CDTF">2025-11-10T07:53:49Z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eyJoZGlkIjoiN2E5ZGE4MTMwMzdjOGVkZDZlN2Y5OWNiNTFkZThjNjIiLCJ1c2VySWQiOiI0NjkzMTgyMjcifQ==</vt:lpwstr>
  </property>
  <property fmtid="{D5CDD505-2E9C-101B-9397-08002B2CF9AE}" pid="15" name="KSOProductBuildVer">
    <vt:lpwstr>2052-12.1.0.23125</vt:lpwstr>
  </property>
  <property fmtid="{D5CDD505-2E9C-101B-9397-08002B2CF9AE}" pid="16" name="ICV">
    <vt:lpwstr>C58E1779694D4BFBBA69D592E4C3D758_13</vt:lpwstr>
  </property>
</Properties>
</file>