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3FA64">
      <w:pPr>
        <w:pStyle w:val="8"/>
        <w:spacing w:before="77"/>
        <w:ind w:left="997" w:firstLine="866"/>
        <w:rPr>
          <w:rFonts w:hint="eastAsia" w:ascii="宋体" w:hAnsi="宋体" w:eastAsia="宋体" w:cs="宋体"/>
          <w:spacing w:val="-7"/>
          <w:lang w:val="en-US" w:eastAsia="zh-CN"/>
        </w:rPr>
      </w:pPr>
      <w:r>
        <w:rPr>
          <w:rFonts w:hint="eastAsia" w:ascii="宋体" w:hAnsi="宋体" w:eastAsia="宋体" w:cs="宋体"/>
          <w:spacing w:val="-7"/>
          <w:lang w:val="en-US" w:eastAsia="zh-CN"/>
        </w:rPr>
        <w:t>《海南消费领域区域公共品牌种植技术规范》</w:t>
      </w:r>
    </w:p>
    <w:p w14:paraId="3F2DEC06">
      <w:pPr>
        <w:pStyle w:val="8"/>
        <w:spacing w:before="77"/>
        <w:ind w:left="997" w:firstLine="866"/>
        <w:rPr>
          <w:rFonts w:hint="eastAsia" w:ascii="宋体" w:hAnsi="宋体" w:eastAsia="宋体" w:cs="宋体"/>
          <w:spacing w:val="-7"/>
          <w:lang w:val="en-US" w:eastAsia="zh-CN"/>
        </w:rPr>
      </w:pPr>
      <w:r>
        <w:rPr>
          <w:rFonts w:hint="eastAsia" w:ascii="宋体" w:hAnsi="宋体" w:eastAsia="宋体" w:cs="宋体"/>
          <w:spacing w:val="-7"/>
          <w:lang w:val="en-US" w:eastAsia="zh-CN"/>
        </w:rPr>
        <w:t>团体标准编制说明</w:t>
      </w:r>
    </w:p>
    <w:p w14:paraId="5FC46C6F">
      <w:pPr>
        <w:pStyle w:val="2"/>
        <w:rPr>
          <w:rFonts w:hint="eastAsia" w:ascii="Times New Roman" w:hAnsi="Times New Roman" w:eastAsia="仿宋"/>
          <w:sz w:val="30"/>
        </w:rPr>
      </w:pPr>
    </w:p>
    <w:p w14:paraId="0D80B864">
      <w:pPr>
        <w:pStyle w:val="2"/>
        <w:rPr>
          <w:rFonts w:ascii="Times New Roman" w:hAnsi="Times New Roman" w:eastAsia="仿宋"/>
          <w:sz w:val="30"/>
        </w:rPr>
      </w:pPr>
      <w:r>
        <w:rPr>
          <w:rFonts w:ascii="Times New Roman" w:hAnsi="Times New Roman" w:eastAsia="仿宋"/>
          <w:sz w:val="30"/>
        </w:rPr>
        <w:t>一、项目简况</w:t>
      </w:r>
    </w:p>
    <w:p w14:paraId="1E2E948B">
      <w:pPr>
        <w:pStyle w:val="2"/>
        <w:rPr>
          <w:rFonts w:ascii="Times New Roman" w:hAnsi="Times New Roman" w:eastAsia="仿宋"/>
          <w:sz w:val="30"/>
        </w:rPr>
      </w:pPr>
      <w:r>
        <w:rPr>
          <w:rFonts w:ascii="Times New Roman" w:hAnsi="Times New Roman" w:eastAsia="仿宋"/>
          <w:sz w:val="30"/>
        </w:rPr>
        <w:t>（一）标准名称：</w:t>
      </w:r>
      <w:r>
        <w:rPr>
          <w:rFonts w:ascii="Times New Roman" w:hAnsi="Times New Roman" w:eastAsia="仿宋"/>
          <w:b w:val="0"/>
          <w:bCs w:val="0"/>
          <w:sz w:val="30"/>
        </w:rPr>
        <w:t>《</w:t>
      </w:r>
      <w:r>
        <w:rPr>
          <w:rFonts w:hint="eastAsia" w:ascii="Times New Roman" w:hAnsi="Times New Roman" w:eastAsia="仿宋"/>
          <w:b w:val="0"/>
          <w:bCs w:val="0"/>
          <w:sz w:val="30"/>
        </w:rPr>
        <w:t>海南消费领域区域公共品牌种植技术规范</w:t>
      </w:r>
      <w:r>
        <w:rPr>
          <w:rFonts w:ascii="Times New Roman" w:hAnsi="Times New Roman" w:eastAsia="仿宋"/>
          <w:b w:val="0"/>
          <w:bCs w:val="0"/>
          <w:sz w:val="30"/>
        </w:rPr>
        <w:t>》。</w:t>
      </w:r>
    </w:p>
    <w:p w14:paraId="7C056585">
      <w:pPr>
        <w:pStyle w:val="2"/>
        <w:rPr>
          <w:rFonts w:ascii="Times New Roman" w:hAnsi="Times New Roman" w:eastAsia="仿宋"/>
          <w:sz w:val="30"/>
        </w:rPr>
      </w:pPr>
      <w:r>
        <w:rPr>
          <w:rFonts w:ascii="Times New Roman" w:hAnsi="Times New Roman" w:eastAsia="仿宋"/>
          <w:sz w:val="30"/>
        </w:rPr>
        <w:t>（二）任务来源（项目计划号）：</w:t>
      </w:r>
      <w:r>
        <w:rPr>
          <w:rFonts w:ascii="Times New Roman" w:hAnsi="Times New Roman" w:eastAsia="仿宋"/>
          <w:b w:val="0"/>
          <w:bCs w:val="0"/>
          <w:sz w:val="30"/>
        </w:rPr>
        <w:t>HNQA-2025-T09。</w:t>
      </w:r>
    </w:p>
    <w:p w14:paraId="76149507">
      <w:pPr>
        <w:pStyle w:val="2"/>
        <w:rPr>
          <w:rFonts w:ascii="Times New Roman" w:hAnsi="Times New Roman" w:eastAsia="仿宋"/>
          <w:sz w:val="30"/>
        </w:rPr>
      </w:pPr>
      <w:r>
        <w:rPr>
          <w:rFonts w:ascii="Times New Roman" w:hAnsi="Times New Roman" w:eastAsia="仿宋"/>
          <w:sz w:val="30"/>
        </w:rPr>
        <w:t>（三）起草单位：</w:t>
      </w:r>
      <w:r>
        <w:rPr>
          <w:rFonts w:hint="eastAsia" w:ascii="Times New Roman" w:hAnsi="Times New Roman" w:eastAsia="仿宋"/>
          <w:b w:val="0"/>
          <w:bCs w:val="0"/>
          <w:sz w:val="30"/>
        </w:rPr>
        <w:t>方圆标志认证集团有限公司</w:t>
      </w:r>
      <w:r>
        <w:rPr>
          <w:rFonts w:ascii="Times New Roman" w:hAnsi="Times New Roman" w:eastAsia="仿宋"/>
          <w:b w:val="0"/>
          <w:bCs w:val="0"/>
          <w:sz w:val="30"/>
        </w:rPr>
        <w:t>。</w:t>
      </w:r>
    </w:p>
    <w:p w14:paraId="0EA6152C">
      <w:pPr>
        <w:pStyle w:val="2"/>
        <w:rPr>
          <w:rFonts w:hint="eastAsia" w:ascii="Times New Roman" w:hAnsi="Times New Roman" w:eastAsia="仿宋"/>
          <w:sz w:val="30"/>
          <w:lang w:eastAsia="zh-CN"/>
        </w:rPr>
      </w:pPr>
      <w:r>
        <w:rPr>
          <w:rFonts w:ascii="Times New Roman" w:hAnsi="Times New Roman" w:eastAsia="仿宋"/>
          <w:sz w:val="30"/>
        </w:rPr>
        <w:t>（四）单位地址：</w:t>
      </w:r>
      <w:r>
        <w:rPr>
          <w:rFonts w:hint="eastAsia" w:ascii="Times New Roman" w:hAnsi="Times New Roman" w:eastAsia="仿宋"/>
          <w:b w:val="0"/>
          <w:bCs w:val="0"/>
          <w:sz w:val="30"/>
        </w:rPr>
        <w:t>北京市海淀区增光路33号</w:t>
      </w:r>
      <w:r>
        <w:rPr>
          <w:rFonts w:hint="eastAsia" w:ascii="Times New Roman" w:hAnsi="Times New Roman" w:eastAsia="仿宋"/>
          <w:b w:val="0"/>
          <w:bCs w:val="0"/>
          <w:sz w:val="30"/>
          <w:lang w:eastAsia="zh-CN"/>
        </w:rPr>
        <w:t>。</w:t>
      </w:r>
    </w:p>
    <w:p w14:paraId="1486F48E">
      <w:pPr>
        <w:pStyle w:val="2"/>
        <w:rPr>
          <w:rFonts w:ascii="Times New Roman" w:hAnsi="Times New Roman" w:eastAsia="仿宋"/>
          <w:sz w:val="30"/>
        </w:rPr>
      </w:pPr>
      <w:r>
        <w:rPr>
          <w:rFonts w:ascii="Times New Roman" w:hAnsi="Times New Roman" w:eastAsia="仿宋"/>
          <w:sz w:val="30"/>
        </w:rPr>
        <w:t>（五）参与起草单位：</w:t>
      </w:r>
    </w:p>
    <w:p w14:paraId="1860AE93">
      <w:pPr>
        <w:pStyle w:val="2"/>
        <w:rPr>
          <w:rFonts w:ascii="Times New Roman" w:hAnsi="Times New Roman" w:eastAsia="仿宋"/>
          <w:sz w:val="30"/>
        </w:rPr>
      </w:pPr>
      <w:r>
        <w:rPr>
          <w:rFonts w:ascii="Times New Roman" w:hAnsi="Times New Roman" w:eastAsia="仿宋"/>
          <w:sz w:val="30"/>
        </w:rPr>
        <w:t>（六）标准起草人：</w:t>
      </w:r>
    </w:p>
    <w:p w14:paraId="5015FFB7">
      <w:pPr>
        <w:ind w:firstLine="0" w:firstLineChars="0"/>
        <w:jc w:val="center"/>
        <w:rPr>
          <w:rFonts w:hint="eastAsia" w:ascii="Times New Roman" w:hAnsi="Times New Roman" w:cs="宋体"/>
          <w:sz w:val="28"/>
          <w:szCs w:val="28"/>
        </w:rPr>
      </w:pPr>
      <w:r>
        <w:rPr>
          <w:rFonts w:hint="eastAsia" w:ascii="Times New Roman" w:hAnsi="Times New Roman" w:cs="宋体"/>
          <w:sz w:val="28"/>
          <w:szCs w:val="28"/>
        </w:rPr>
        <w:t>表1标准起草人</w:t>
      </w:r>
    </w:p>
    <w:p w14:paraId="76FFDFCD">
      <w:pPr>
        <w:pStyle w:val="5"/>
        <w:spacing w:before="10"/>
        <w:ind w:left="0" w:firstLine="140"/>
        <w:rPr>
          <w:rFonts w:hint="eastAsia"/>
          <w:sz w:val="7"/>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2"/>
        <w:gridCol w:w="1042"/>
        <w:gridCol w:w="1579"/>
        <w:gridCol w:w="831"/>
        <w:gridCol w:w="803"/>
        <w:gridCol w:w="2699"/>
        <w:gridCol w:w="1212"/>
      </w:tblGrid>
      <w:tr w14:paraId="225D5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91" w:type="pct"/>
            <w:vAlign w:val="center"/>
          </w:tcPr>
          <w:p w14:paraId="5139B0E2">
            <w:pPr>
              <w:pStyle w:val="13"/>
              <w:spacing w:before="75"/>
              <w:ind w:firstLine="0" w:firstLineChars="0"/>
              <w:jc w:val="center"/>
              <w:rPr>
                <w:rFonts w:hint="eastAsia" w:ascii="宋体" w:hAnsi="宋体" w:eastAsia="宋体" w:cs="宋体"/>
                <w:spacing w:val="-5"/>
                <w:sz w:val="24"/>
              </w:rPr>
            </w:pPr>
            <w:r>
              <w:rPr>
                <w:rFonts w:ascii="宋体" w:hAnsi="宋体" w:eastAsia="宋体" w:cs="宋体"/>
                <w:spacing w:val="-5"/>
                <w:sz w:val="24"/>
              </w:rPr>
              <w:t>序号</w:t>
            </w:r>
          </w:p>
        </w:tc>
        <w:tc>
          <w:tcPr>
            <w:tcW w:w="588" w:type="pct"/>
            <w:vAlign w:val="center"/>
          </w:tcPr>
          <w:p w14:paraId="2D43C038">
            <w:pPr>
              <w:pStyle w:val="13"/>
              <w:spacing w:before="75"/>
              <w:ind w:firstLine="0" w:firstLineChars="0"/>
              <w:jc w:val="center"/>
              <w:rPr>
                <w:rFonts w:hint="eastAsia" w:ascii="宋体" w:hAnsi="宋体" w:eastAsia="宋体" w:cs="宋体"/>
                <w:spacing w:val="-5"/>
                <w:sz w:val="24"/>
              </w:rPr>
            </w:pPr>
            <w:r>
              <w:rPr>
                <w:rFonts w:ascii="宋体" w:hAnsi="宋体" w:eastAsia="宋体" w:cs="宋体"/>
                <w:spacing w:val="-5"/>
                <w:sz w:val="24"/>
              </w:rPr>
              <w:t>姓名</w:t>
            </w:r>
          </w:p>
        </w:tc>
        <w:tc>
          <w:tcPr>
            <w:tcW w:w="891" w:type="pct"/>
            <w:vAlign w:val="center"/>
          </w:tcPr>
          <w:p w14:paraId="1B31F053">
            <w:pPr>
              <w:pStyle w:val="13"/>
              <w:spacing w:before="75"/>
              <w:ind w:firstLine="0" w:firstLineChars="0"/>
              <w:jc w:val="center"/>
              <w:rPr>
                <w:rFonts w:hint="eastAsia" w:ascii="宋体" w:hAnsi="宋体" w:eastAsia="宋体" w:cs="宋体"/>
                <w:spacing w:val="-5"/>
                <w:sz w:val="24"/>
              </w:rPr>
            </w:pPr>
            <w:r>
              <w:rPr>
                <w:rFonts w:ascii="宋体" w:hAnsi="宋体" w:eastAsia="宋体" w:cs="宋体"/>
                <w:spacing w:val="-5"/>
                <w:sz w:val="24"/>
              </w:rPr>
              <w:t>单位</w:t>
            </w:r>
          </w:p>
        </w:tc>
        <w:tc>
          <w:tcPr>
            <w:tcW w:w="469" w:type="pct"/>
            <w:vAlign w:val="center"/>
          </w:tcPr>
          <w:p w14:paraId="65DD5AAB">
            <w:pPr>
              <w:pStyle w:val="13"/>
              <w:spacing w:before="75"/>
              <w:ind w:firstLine="0" w:firstLineChars="0"/>
              <w:jc w:val="center"/>
              <w:rPr>
                <w:rFonts w:hint="eastAsia" w:ascii="宋体" w:hAnsi="宋体" w:eastAsia="宋体" w:cs="宋体"/>
                <w:spacing w:val="-5"/>
                <w:sz w:val="24"/>
              </w:rPr>
            </w:pPr>
            <w:r>
              <w:rPr>
                <w:rFonts w:ascii="宋体" w:hAnsi="宋体" w:eastAsia="宋体" w:cs="宋体"/>
                <w:spacing w:val="-5"/>
                <w:sz w:val="24"/>
              </w:rPr>
              <w:t>职务</w:t>
            </w:r>
          </w:p>
        </w:tc>
        <w:tc>
          <w:tcPr>
            <w:tcW w:w="453" w:type="pct"/>
            <w:vAlign w:val="center"/>
          </w:tcPr>
          <w:p w14:paraId="77EC4D00">
            <w:pPr>
              <w:pStyle w:val="13"/>
              <w:spacing w:before="75"/>
              <w:ind w:firstLine="0" w:firstLineChars="0"/>
              <w:jc w:val="center"/>
              <w:rPr>
                <w:rFonts w:hint="eastAsia" w:ascii="宋体" w:hAnsi="宋体" w:eastAsia="宋体" w:cs="宋体"/>
                <w:spacing w:val="-5"/>
                <w:sz w:val="24"/>
              </w:rPr>
            </w:pPr>
            <w:r>
              <w:rPr>
                <w:rFonts w:ascii="宋体" w:hAnsi="宋体" w:eastAsia="宋体" w:cs="宋体"/>
                <w:spacing w:val="-5"/>
                <w:sz w:val="24"/>
              </w:rPr>
              <w:t>职称</w:t>
            </w:r>
          </w:p>
        </w:tc>
        <w:tc>
          <w:tcPr>
            <w:tcW w:w="1523" w:type="pct"/>
            <w:vAlign w:val="center"/>
          </w:tcPr>
          <w:p w14:paraId="3F52F502">
            <w:pPr>
              <w:pStyle w:val="13"/>
              <w:spacing w:before="75"/>
              <w:ind w:firstLine="0" w:firstLineChars="0"/>
              <w:jc w:val="center"/>
              <w:rPr>
                <w:rFonts w:hint="eastAsia" w:ascii="宋体" w:hAnsi="宋体" w:eastAsia="宋体" w:cs="宋体"/>
                <w:spacing w:val="-5"/>
                <w:sz w:val="24"/>
              </w:rPr>
            </w:pPr>
            <w:r>
              <w:rPr>
                <w:rFonts w:ascii="宋体" w:hAnsi="宋体" w:eastAsia="宋体" w:cs="宋体"/>
                <w:spacing w:val="-5"/>
                <w:sz w:val="24"/>
              </w:rPr>
              <w:t>任务分工</w:t>
            </w:r>
          </w:p>
        </w:tc>
        <w:tc>
          <w:tcPr>
            <w:tcW w:w="684" w:type="pct"/>
            <w:vAlign w:val="center"/>
          </w:tcPr>
          <w:p w14:paraId="6C8E18E1">
            <w:pPr>
              <w:pStyle w:val="13"/>
              <w:spacing w:before="75"/>
              <w:ind w:firstLine="0" w:firstLineChars="0"/>
              <w:jc w:val="center"/>
              <w:rPr>
                <w:rFonts w:hint="eastAsia" w:ascii="宋体" w:hAnsi="宋体" w:eastAsia="宋体" w:cs="宋体"/>
                <w:spacing w:val="-5"/>
                <w:sz w:val="24"/>
              </w:rPr>
            </w:pPr>
            <w:r>
              <w:rPr>
                <w:rFonts w:ascii="宋体" w:hAnsi="宋体" w:eastAsia="宋体" w:cs="宋体"/>
                <w:spacing w:val="-5"/>
                <w:sz w:val="24"/>
              </w:rPr>
              <w:t>联系方式</w:t>
            </w:r>
          </w:p>
        </w:tc>
      </w:tr>
      <w:tr w14:paraId="72A41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trPr>
        <w:tc>
          <w:tcPr>
            <w:tcW w:w="391" w:type="pct"/>
            <w:vAlign w:val="center"/>
          </w:tcPr>
          <w:p w14:paraId="70ED984C">
            <w:pPr>
              <w:pStyle w:val="13"/>
              <w:spacing w:before="74"/>
              <w:ind w:firstLine="0" w:firstLineChars="0"/>
              <w:jc w:val="center"/>
              <w:rPr>
                <w:rFonts w:hint="eastAsia" w:ascii="仿宋" w:hAnsi="仿宋" w:eastAsia="仿宋"/>
                <w:sz w:val="24"/>
              </w:rPr>
            </w:pPr>
            <w:r>
              <w:rPr>
                <w:rFonts w:ascii="仿宋" w:hAnsi="仿宋" w:eastAsia="仿宋"/>
                <w:sz w:val="24"/>
              </w:rPr>
              <w:t>1</w:t>
            </w:r>
          </w:p>
        </w:tc>
        <w:tc>
          <w:tcPr>
            <w:tcW w:w="588" w:type="pct"/>
            <w:vAlign w:val="center"/>
          </w:tcPr>
          <w:p w14:paraId="65F8A16E">
            <w:pPr>
              <w:pStyle w:val="13"/>
              <w:spacing w:before="74"/>
              <w:ind w:firstLine="0" w:firstLineChars="0"/>
              <w:jc w:val="center"/>
              <w:rPr>
                <w:rFonts w:hint="eastAsia" w:ascii="仿宋" w:hAnsi="仿宋" w:eastAsia="仿宋"/>
                <w:sz w:val="24"/>
              </w:rPr>
            </w:pPr>
          </w:p>
        </w:tc>
        <w:tc>
          <w:tcPr>
            <w:tcW w:w="891" w:type="pct"/>
            <w:vAlign w:val="center"/>
          </w:tcPr>
          <w:p w14:paraId="0E55E2B0">
            <w:pPr>
              <w:pStyle w:val="13"/>
              <w:spacing w:before="3" w:line="290" w:lineRule="exact"/>
              <w:ind w:firstLine="0" w:firstLineChars="0"/>
              <w:jc w:val="center"/>
              <w:rPr>
                <w:rFonts w:hint="eastAsia" w:ascii="仿宋" w:hAnsi="仿宋" w:eastAsia="仿宋"/>
                <w:sz w:val="24"/>
              </w:rPr>
            </w:pPr>
          </w:p>
        </w:tc>
        <w:tc>
          <w:tcPr>
            <w:tcW w:w="469" w:type="pct"/>
            <w:vAlign w:val="center"/>
          </w:tcPr>
          <w:p w14:paraId="0FE638BB">
            <w:pPr>
              <w:pStyle w:val="13"/>
              <w:spacing w:before="74"/>
              <w:ind w:firstLine="0" w:firstLineChars="0"/>
              <w:jc w:val="center"/>
              <w:rPr>
                <w:rFonts w:hint="eastAsia" w:ascii="仿宋" w:hAnsi="仿宋" w:eastAsia="仿宋"/>
                <w:sz w:val="24"/>
              </w:rPr>
            </w:pPr>
          </w:p>
        </w:tc>
        <w:tc>
          <w:tcPr>
            <w:tcW w:w="453" w:type="pct"/>
            <w:vAlign w:val="center"/>
          </w:tcPr>
          <w:p w14:paraId="0E1B19A8">
            <w:pPr>
              <w:pStyle w:val="13"/>
              <w:ind w:firstLine="0" w:firstLineChars="0"/>
              <w:jc w:val="center"/>
              <w:rPr>
                <w:rFonts w:hint="eastAsia" w:ascii="仿宋" w:hAnsi="仿宋" w:eastAsia="仿宋"/>
                <w:sz w:val="30"/>
              </w:rPr>
            </w:pPr>
          </w:p>
        </w:tc>
        <w:tc>
          <w:tcPr>
            <w:tcW w:w="1523" w:type="pct"/>
            <w:vAlign w:val="center"/>
          </w:tcPr>
          <w:p w14:paraId="40B3EC97">
            <w:pPr>
              <w:pStyle w:val="13"/>
              <w:spacing w:before="74"/>
              <w:ind w:firstLine="0" w:firstLineChars="0"/>
              <w:jc w:val="center"/>
              <w:rPr>
                <w:rFonts w:hint="eastAsia" w:ascii="仿宋" w:hAnsi="仿宋" w:eastAsia="仿宋"/>
                <w:sz w:val="24"/>
              </w:rPr>
            </w:pPr>
          </w:p>
        </w:tc>
        <w:tc>
          <w:tcPr>
            <w:tcW w:w="684" w:type="pct"/>
            <w:vAlign w:val="center"/>
          </w:tcPr>
          <w:p w14:paraId="51883D4A">
            <w:pPr>
              <w:pStyle w:val="13"/>
              <w:ind w:firstLine="0" w:firstLineChars="0"/>
              <w:jc w:val="center"/>
              <w:rPr>
                <w:rFonts w:hint="eastAsia" w:ascii="仿宋" w:hAnsi="仿宋" w:eastAsia="仿宋"/>
                <w:sz w:val="30"/>
              </w:rPr>
            </w:pPr>
          </w:p>
        </w:tc>
      </w:tr>
      <w:tr w14:paraId="2DE3C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391" w:type="pct"/>
            <w:vAlign w:val="center"/>
          </w:tcPr>
          <w:p w14:paraId="1B2B4F03">
            <w:pPr>
              <w:pStyle w:val="13"/>
              <w:spacing w:before="83"/>
              <w:ind w:firstLine="0" w:firstLineChars="0"/>
              <w:jc w:val="center"/>
              <w:rPr>
                <w:rFonts w:hint="eastAsia" w:ascii="仿宋" w:hAnsi="仿宋" w:eastAsia="仿宋"/>
                <w:sz w:val="24"/>
              </w:rPr>
            </w:pPr>
            <w:r>
              <w:rPr>
                <w:rFonts w:ascii="仿宋" w:hAnsi="仿宋" w:eastAsia="仿宋"/>
                <w:sz w:val="24"/>
              </w:rPr>
              <w:t>2</w:t>
            </w:r>
          </w:p>
        </w:tc>
        <w:tc>
          <w:tcPr>
            <w:tcW w:w="588" w:type="pct"/>
            <w:vAlign w:val="center"/>
          </w:tcPr>
          <w:p w14:paraId="6782EEFE">
            <w:pPr>
              <w:pStyle w:val="13"/>
              <w:spacing w:before="83"/>
              <w:ind w:firstLine="0" w:firstLineChars="0"/>
              <w:jc w:val="center"/>
              <w:rPr>
                <w:rFonts w:hint="eastAsia" w:ascii="仿宋" w:hAnsi="仿宋" w:eastAsia="仿宋"/>
                <w:sz w:val="24"/>
              </w:rPr>
            </w:pPr>
          </w:p>
        </w:tc>
        <w:tc>
          <w:tcPr>
            <w:tcW w:w="891" w:type="pct"/>
            <w:vAlign w:val="center"/>
          </w:tcPr>
          <w:p w14:paraId="25177C5D">
            <w:pPr>
              <w:pStyle w:val="13"/>
              <w:spacing w:before="3" w:line="290" w:lineRule="exact"/>
              <w:ind w:firstLine="0" w:firstLineChars="0"/>
              <w:jc w:val="center"/>
              <w:rPr>
                <w:rFonts w:hint="eastAsia" w:ascii="仿宋" w:hAnsi="仿宋" w:eastAsia="仿宋"/>
              </w:rPr>
            </w:pPr>
          </w:p>
        </w:tc>
        <w:tc>
          <w:tcPr>
            <w:tcW w:w="469" w:type="pct"/>
            <w:vAlign w:val="center"/>
          </w:tcPr>
          <w:p w14:paraId="110AB974">
            <w:pPr>
              <w:pStyle w:val="13"/>
              <w:spacing w:before="83"/>
              <w:ind w:firstLine="0" w:firstLineChars="0"/>
              <w:jc w:val="center"/>
              <w:rPr>
                <w:rFonts w:hint="eastAsia" w:ascii="仿宋" w:hAnsi="仿宋" w:eastAsia="仿宋"/>
                <w:sz w:val="24"/>
              </w:rPr>
            </w:pPr>
          </w:p>
        </w:tc>
        <w:tc>
          <w:tcPr>
            <w:tcW w:w="453" w:type="pct"/>
            <w:vAlign w:val="center"/>
          </w:tcPr>
          <w:p w14:paraId="63795D6C">
            <w:pPr>
              <w:pStyle w:val="13"/>
              <w:ind w:firstLine="0" w:firstLineChars="0"/>
              <w:jc w:val="center"/>
              <w:rPr>
                <w:rFonts w:hint="eastAsia" w:ascii="仿宋" w:hAnsi="仿宋" w:eastAsia="仿宋"/>
                <w:sz w:val="30"/>
              </w:rPr>
            </w:pPr>
          </w:p>
        </w:tc>
        <w:tc>
          <w:tcPr>
            <w:tcW w:w="1523" w:type="pct"/>
            <w:vAlign w:val="center"/>
          </w:tcPr>
          <w:p w14:paraId="4201E09C">
            <w:pPr>
              <w:pStyle w:val="13"/>
              <w:spacing w:before="83"/>
              <w:ind w:firstLine="0" w:firstLineChars="0"/>
              <w:jc w:val="center"/>
              <w:rPr>
                <w:rFonts w:hint="eastAsia" w:ascii="仿宋" w:hAnsi="仿宋" w:eastAsia="仿宋"/>
                <w:sz w:val="24"/>
              </w:rPr>
            </w:pPr>
          </w:p>
        </w:tc>
        <w:tc>
          <w:tcPr>
            <w:tcW w:w="684" w:type="pct"/>
            <w:vAlign w:val="center"/>
          </w:tcPr>
          <w:p w14:paraId="5D129B7C">
            <w:pPr>
              <w:pStyle w:val="13"/>
              <w:ind w:firstLine="0" w:firstLineChars="0"/>
              <w:jc w:val="center"/>
              <w:rPr>
                <w:rFonts w:hint="eastAsia" w:ascii="仿宋" w:hAnsi="仿宋" w:eastAsia="仿宋"/>
                <w:sz w:val="30"/>
              </w:rPr>
            </w:pPr>
          </w:p>
        </w:tc>
      </w:tr>
      <w:tr w14:paraId="2EFBF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91" w:type="pct"/>
            <w:vAlign w:val="center"/>
          </w:tcPr>
          <w:p w14:paraId="15D2F550">
            <w:pPr>
              <w:pStyle w:val="13"/>
              <w:spacing w:before="73"/>
              <w:ind w:firstLine="0" w:firstLineChars="0"/>
              <w:jc w:val="center"/>
              <w:rPr>
                <w:rFonts w:hint="eastAsia" w:ascii="仿宋" w:hAnsi="仿宋" w:eastAsia="仿宋"/>
                <w:sz w:val="24"/>
              </w:rPr>
            </w:pPr>
            <w:r>
              <w:rPr>
                <w:rFonts w:ascii="仿宋" w:hAnsi="仿宋" w:eastAsia="仿宋"/>
                <w:sz w:val="24"/>
              </w:rPr>
              <w:t>3</w:t>
            </w:r>
          </w:p>
        </w:tc>
        <w:tc>
          <w:tcPr>
            <w:tcW w:w="588" w:type="pct"/>
            <w:vAlign w:val="center"/>
          </w:tcPr>
          <w:p w14:paraId="5919AACB">
            <w:pPr>
              <w:pStyle w:val="13"/>
              <w:spacing w:before="73"/>
              <w:ind w:firstLine="0" w:firstLineChars="0"/>
              <w:jc w:val="center"/>
              <w:rPr>
                <w:rFonts w:hint="eastAsia" w:ascii="仿宋" w:hAnsi="仿宋" w:eastAsia="仿宋"/>
                <w:sz w:val="24"/>
              </w:rPr>
            </w:pPr>
          </w:p>
        </w:tc>
        <w:tc>
          <w:tcPr>
            <w:tcW w:w="891" w:type="pct"/>
            <w:vAlign w:val="center"/>
          </w:tcPr>
          <w:p w14:paraId="48BA1872">
            <w:pPr>
              <w:pStyle w:val="13"/>
              <w:spacing w:line="242" w:lineRule="auto"/>
              <w:ind w:firstLine="0" w:firstLineChars="0"/>
              <w:jc w:val="center"/>
              <w:rPr>
                <w:rFonts w:hint="eastAsia" w:ascii="仿宋" w:hAnsi="仿宋" w:eastAsia="仿宋"/>
                <w:sz w:val="24"/>
              </w:rPr>
            </w:pPr>
          </w:p>
        </w:tc>
        <w:tc>
          <w:tcPr>
            <w:tcW w:w="469" w:type="pct"/>
            <w:vAlign w:val="center"/>
          </w:tcPr>
          <w:p w14:paraId="26489A11">
            <w:pPr>
              <w:pStyle w:val="13"/>
              <w:ind w:firstLine="0" w:firstLineChars="0"/>
              <w:jc w:val="center"/>
              <w:rPr>
                <w:rFonts w:hint="eastAsia" w:ascii="仿宋" w:hAnsi="仿宋" w:eastAsia="仿宋"/>
                <w:sz w:val="30"/>
              </w:rPr>
            </w:pPr>
          </w:p>
        </w:tc>
        <w:tc>
          <w:tcPr>
            <w:tcW w:w="453" w:type="pct"/>
            <w:vAlign w:val="center"/>
          </w:tcPr>
          <w:p w14:paraId="4A4B510C">
            <w:pPr>
              <w:pStyle w:val="13"/>
              <w:ind w:firstLine="0" w:firstLineChars="0"/>
              <w:jc w:val="center"/>
              <w:rPr>
                <w:rFonts w:hint="eastAsia" w:ascii="仿宋" w:hAnsi="仿宋" w:eastAsia="仿宋"/>
                <w:sz w:val="30"/>
              </w:rPr>
            </w:pPr>
          </w:p>
        </w:tc>
        <w:tc>
          <w:tcPr>
            <w:tcW w:w="1523" w:type="pct"/>
            <w:vAlign w:val="center"/>
          </w:tcPr>
          <w:p w14:paraId="46710F27">
            <w:pPr>
              <w:pStyle w:val="13"/>
              <w:spacing w:line="242" w:lineRule="auto"/>
              <w:ind w:firstLine="0" w:firstLineChars="0"/>
              <w:jc w:val="center"/>
              <w:rPr>
                <w:rFonts w:hint="eastAsia" w:ascii="仿宋" w:hAnsi="仿宋" w:eastAsia="仿宋"/>
                <w:sz w:val="24"/>
              </w:rPr>
            </w:pPr>
          </w:p>
        </w:tc>
        <w:tc>
          <w:tcPr>
            <w:tcW w:w="684" w:type="pct"/>
            <w:vAlign w:val="center"/>
          </w:tcPr>
          <w:p w14:paraId="7A5F242E">
            <w:pPr>
              <w:pStyle w:val="13"/>
              <w:ind w:firstLine="0" w:firstLineChars="0"/>
              <w:jc w:val="center"/>
              <w:rPr>
                <w:rFonts w:hint="eastAsia" w:ascii="仿宋" w:hAnsi="仿宋" w:eastAsia="仿宋"/>
                <w:sz w:val="24"/>
              </w:rPr>
            </w:pPr>
          </w:p>
        </w:tc>
      </w:tr>
      <w:tr w14:paraId="6C478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trPr>
        <w:tc>
          <w:tcPr>
            <w:tcW w:w="391" w:type="pct"/>
            <w:vAlign w:val="center"/>
          </w:tcPr>
          <w:p w14:paraId="125288BA">
            <w:pPr>
              <w:pStyle w:val="13"/>
              <w:spacing w:before="73"/>
              <w:ind w:firstLine="0" w:firstLineChars="0"/>
              <w:jc w:val="center"/>
              <w:rPr>
                <w:rFonts w:hint="eastAsia" w:ascii="仿宋" w:hAnsi="仿宋" w:eastAsia="仿宋"/>
                <w:sz w:val="24"/>
              </w:rPr>
            </w:pPr>
            <w:r>
              <w:rPr>
                <w:rFonts w:ascii="仿宋" w:hAnsi="仿宋" w:eastAsia="仿宋"/>
                <w:sz w:val="24"/>
              </w:rPr>
              <w:t>4</w:t>
            </w:r>
          </w:p>
        </w:tc>
        <w:tc>
          <w:tcPr>
            <w:tcW w:w="588" w:type="pct"/>
            <w:vAlign w:val="center"/>
          </w:tcPr>
          <w:p w14:paraId="0353F249">
            <w:pPr>
              <w:pStyle w:val="13"/>
              <w:spacing w:before="73"/>
              <w:ind w:firstLine="0" w:firstLineChars="0"/>
              <w:jc w:val="center"/>
              <w:rPr>
                <w:rFonts w:hint="eastAsia" w:ascii="仿宋" w:hAnsi="仿宋" w:eastAsia="仿宋"/>
                <w:sz w:val="24"/>
              </w:rPr>
            </w:pPr>
          </w:p>
        </w:tc>
        <w:tc>
          <w:tcPr>
            <w:tcW w:w="891" w:type="pct"/>
            <w:vAlign w:val="center"/>
          </w:tcPr>
          <w:p w14:paraId="46827C2A">
            <w:pPr>
              <w:ind w:firstLine="0" w:firstLineChars="0"/>
              <w:jc w:val="center"/>
              <w:rPr>
                <w:rFonts w:hint="eastAsia" w:ascii="仿宋" w:hAnsi="仿宋"/>
                <w:sz w:val="2"/>
                <w:szCs w:val="2"/>
              </w:rPr>
            </w:pPr>
          </w:p>
        </w:tc>
        <w:tc>
          <w:tcPr>
            <w:tcW w:w="469" w:type="pct"/>
            <w:vAlign w:val="center"/>
          </w:tcPr>
          <w:p w14:paraId="16E22018">
            <w:pPr>
              <w:pStyle w:val="13"/>
              <w:ind w:firstLine="0" w:firstLineChars="0"/>
              <w:jc w:val="center"/>
              <w:rPr>
                <w:rFonts w:hint="eastAsia" w:ascii="仿宋" w:hAnsi="仿宋" w:eastAsia="仿宋"/>
                <w:sz w:val="30"/>
              </w:rPr>
            </w:pPr>
          </w:p>
        </w:tc>
        <w:tc>
          <w:tcPr>
            <w:tcW w:w="453" w:type="pct"/>
            <w:vAlign w:val="center"/>
          </w:tcPr>
          <w:p w14:paraId="7BF5F21C">
            <w:pPr>
              <w:pStyle w:val="13"/>
              <w:ind w:firstLine="0" w:firstLineChars="0"/>
              <w:jc w:val="center"/>
              <w:rPr>
                <w:rFonts w:hint="eastAsia" w:ascii="仿宋" w:hAnsi="仿宋" w:eastAsia="仿宋"/>
                <w:sz w:val="30"/>
              </w:rPr>
            </w:pPr>
          </w:p>
        </w:tc>
        <w:tc>
          <w:tcPr>
            <w:tcW w:w="1523" w:type="pct"/>
            <w:vAlign w:val="center"/>
          </w:tcPr>
          <w:p w14:paraId="2556219F">
            <w:pPr>
              <w:ind w:firstLine="0" w:firstLineChars="0"/>
              <w:jc w:val="center"/>
              <w:rPr>
                <w:rFonts w:hint="eastAsia" w:ascii="仿宋" w:hAnsi="仿宋"/>
                <w:sz w:val="2"/>
                <w:szCs w:val="2"/>
              </w:rPr>
            </w:pPr>
          </w:p>
        </w:tc>
        <w:tc>
          <w:tcPr>
            <w:tcW w:w="684" w:type="pct"/>
            <w:vAlign w:val="center"/>
          </w:tcPr>
          <w:p w14:paraId="74549791">
            <w:pPr>
              <w:ind w:firstLine="0" w:firstLineChars="0"/>
              <w:jc w:val="center"/>
              <w:rPr>
                <w:rFonts w:hint="eastAsia" w:ascii="仿宋" w:hAnsi="仿宋"/>
                <w:sz w:val="2"/>
                <w:szCs w:val="2"/>
              </w:rPr>
            </w:pPr>
          </w:p>
        </w:tc>
      </w:tr>
      <w:tr w14:paraId="39DEF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391" w:type="pct"/>
            <w:vAlign w:val="center"/>
          </w:tcPr>
          <w:p w14:paraId="0F4B2190">
            <w:pPr>
              <w:pStyle w:val="13"/>
              <w:spacing w:before="74"/>
              <w:ind w:firstLine="0" w:firstLineChars="0"/>
              <w:jc w:val="center"/>
              <w:rPr>
                <w:rFonts w:hint="eastAsia" w:ascii="仿宋" w:hAnsi="仿宋" w:eastAsia="仿宋"/>
                <w:sz w:val="24"/>
              </w:rPr>
            </w:pPr>
            <w:r>
              <w:rPr>
                <w:rFonts w:ascii="仿宋" w:hAnsi="仿宋" w:eastAsia="仿宋"/>
                <w:sz w:val="24"/>
              </w:rPr>
              <w:t>5</w:t>
            </w:r>
          </w:p>
        </w:tc>
        <w:tc>
          <w:tcPr>
            <w:tcW w:w="588" w:type="pct"/>
            <w:vAlign w:val="center"/>
          </w:tcPr>
          <w:p w14:paraId="50534D2E">
            <w:pPr>
              <w:pStyle w:val="13"/>
              <w:tabs>
                <w:tab w:val="left" w:pos="487"/>
              </w:tabs>
              <w:spacing w:before="74"/>
              <w:ind w:firstLine="0" w:firstLineChars="0"/>
              <w:jc w:val="center"/>
              <w:rPr>
                <w:rFonts w:hint="eastAsia" w:ascii="仿宋" w:hAnsi="仿宋" w:eastAsia="仿宋"/>
                <w:sz w:val="24"/>
              </w:rPr>
            </w:pPr>
          </w:p>
        </w:tc>
        <w:tc>
          <w:tcPr>
            <w:tcW w:w="891" w:type="pct"/>
            <w:vAlign w:val="center"/>
          </w:tcPr>
          <w:p w14:paraId="26C4BC92">
            <w:pPr>
              <w:ind w:firstLine="0" w:firstLineChars="0"/>
              <w:jc w:val="center"/>
              <w:rPr>
                <w:rFonts w:hint="eastAsia" w:ascii="仿宋" w:hAnsi="仿宋"/>
                <w:sz w:val="2"/>
                <w:szCs w:val="2"/>
              </w:rPr>
            </w:pPr>
          </w:p>
        </w:tc>
        <w:tc>
          <w:tcPr>
            <w:tcW w:w="469" w:type="pct"/>
            <w:vAlign w:val="center"/>
          </w:tcPr>
          <w:p w14:paraId="6483053A">
            <w:pPr>
              <w:pStyle w:val="13"/>
              <w:ind w:firstLine="0" w:firstLineChars="0"/>
              <w:jc w:val="center"/>
              <w:rPr>
                <w:rFonts w:hint="eastAsia" w:ascii="仿宋" w:hAnsi="仿宋" w:eastAsia="仿宋"/>
                <w:sz w:val="30"/>
              </w:rPr>
            </w:pPr>
          </w:p>
        </w:tc>
        <w:tc>
          <w:tcPr>
            <w:tcW w:w="453" w:type="pct"/>
            <w:vAlign w:val="center"/>
          </w:tcPr>
          <w:p w14:paraId="116C7A42">
            <w:pPr>
              <w:pStyle w:val="13"/>
              <w:ind w:firstLine="0" w:firstLineChars="0"/>
              <w:jc w:val="center"/>
              <w:rPr>
                <w:rFonts w:hint="eastAsia" w:ascii="仿宋" w:hAnsi="仿宋" w:eastAsia="仿宋"/>
                <w:sz w:val="30"/>
              </w:rPr>
            </w:pPr>
          </w:p>
        </w:tc>
        <w:tc>
          <w:tcPr>
            <w:tcW w:w="1523" w:type="pct"/>
            <w:vAlign w:val="center"/>
          </w:tcPr>
          <w:p w14:paraId="099AF6F1">
            <w:pPr>
              <w:ind w:firstLine="0" w:firstLineChars="0"/>
              <w:jc w:val="center"/>
              <w:rPr>
                <w:rFonts w:hint="eastAsia" w:ascii="仿宋" w:hAnsi="仿宋"/>
                <w:sz w:val="2"/>
                <w:szCs w:val="2"/>
              </w:rPr>
            </w:pPr>
          </w:p>
        </w:tc>
        <w:tc>
          <w:tcPr>
            <w:tcW w:w="684" w:type="pct"/>
            <w:vAlign w:val="center"/>
          </w:tcPr>
          <w:p w14:paraId="19004189">
            <w:pPr>
              <w:ind w:firstLine="0" w:firstLineChars="0"/>
              <w:jc w:val="center"/>
              <w:rPr>
                <w:rFonts w:hint="eastAsia" w:ascii="仿宋" w:hAnsi="仿宋"/>
                <w:sz w:val="2"/>
                <w:szCs w:val="2"/>
              </w:rPr>
            </w:pPr>
          </w:p>
        </w:tc>
      </w:tr>
    </w:tbl>
    <w:p w14:paraId="38DACF5D">
      <w:pPr>
        <w:ind w:firstLine="640"/>
      </w:pPr>
    </w:p>
    <w:p w14:paraId="3D5200D2">
      <w:pPr>
        <w:pStyle w:val="2"/>
        <w:rPr>
          <w:rFonts w:ascii="Times New Roman" w:hAnsi="Times New Roman" w:eastAsia="仿宋"/>
          <w:sz w:val="30"/>
        </w:rPr>
      </w:pPr>
      <w:r>
        <w:rPr>
          <w:rFonts w:ascii="Times New Roman" w:hAnsi="Times New Roman" w:eastAsia="仿宋"/>
          <w:sz w:val="30"/>
        </w:rPr>
        <w:t>二、编制情况</w:t>
      </w:r>
    </w:p>
    <w:p w14:paraId="0DF6508F">
      <w:pPr>
        <w:pStyle w:val="2"/>
        <w:rPr>
          <w:rFonts w:ascii="Times New Roman" w:hAnsi="Times New Roman" w:eastAsia="仿宋"/>
          <w:sz w:val="30"/>
        </w:rPr>
      </w:pPr>
      <w:r>
        <w:rPr>
          <w:rFonts w:ascii="Times New Roman" w:hAnsi="Times New Roman" w:eastAsia="仿宋"/>
          <w:sz w:val="30"/>
        </w:rPr>
        <w:t>（一）</w:t>
      </w:r>
      <w:r>
        <w:rPr>
          <w:rFonts w:hint="eastAsia" w:ascii="Times New Roman" w:hAnsi="Times New Roman" w:eastAsia="仿宋"/>
          <w:sz w:val="30"/>
        </w:rPr>
        <w:t>编制标准的必要性和意义及背景</w:t>
      </w:r>
    </w:p>
    <w:p w14:paraId="37560DF0">
      <w:pPr>
        <w:ind w:firstLine="560"/>
        <w:rPr>
          <w:rFonts w:hint="eastAsia" w:ascii="Times New Roman" w:hAnsi="Times New Roman" w:cs="宋体"/>
          <w:sz w:val="28"/>
        </w:rPr>
      </w:pPr>
      <w:r>
        <w:rPr>
          <w:rFonts w:hint="eastAsia" w:ascii="Times New Roman" w:hAnsi="Times New Roman" w:cs="宋体"/>
          <w:sz w:val="28"/>
        </w:rPr>
        <w:t>为贯彻《质量强国建设纲要》，落实海南省委省政府《关于以高水平质量建设助力海南自由贸易港高质量发展的意见》（琼发〔2023〕9号）部署要求，为了进一步配合开展海南省“海南消费领域区域公共品牌”建设工作，围绕海南省“特质”、“特色”建设高质量团体标准体系，对符合标准体系、技术规范的特色产品服务和优势产业，通过开展品牌提升和自愿性认证，涵盖各类产业中具有海南省代表性的农业产品、旅游服务、文创产品、工业产品等，围绕热带经济和消费领域，形成一批集质量、标准、服务、信誉、效益为一体，市场和社会公认的海南消费领域区域公共品牌。</w:t>
      </w:r>
    </w:p>
    <w:p w14:paraId="7B617C76">
      <w:pPr>
        <w:ind w:firstLine="560"/>
        <w:rPr>
          <w:rFonts w:hint="eastAsia" w:ascii="Times New Roman" w:hAnsi="Times New Roman" w:cs="宋体"/>
          <w:sz w:val="28"/>
        </w:rPr>
      </w:pPr>
      <w:r>
        <w:rPr>
          <w:rFonts w:hint="eastAsia" w:ascii="Times New Roman" w:hAnsi="Times New Roman" w:cs="宋体"/>
          <w:sz w:val="28"/>
        </w:rPr>
        <w:t>海南消费领域区域公共品牌系列团体标准作为开展“海南消费领域区域公共品牌”自愿性认证的认证依据，以海南省区域特色产品与服务和优势产业为重点，通过管理过程要求和核心技术指标，推动企业提升内部管理水平，实现产品和服务品质提升，提高海南省高品质产品和服务的市场竞争力。</w:t>
      </w:r>
    </w:p>
    <w:p w14:paraId="3D7D3060">
      <w:pPr>
        <w:ind w:firstLine="560"/>
        <w:rPr>
          <w:rFonts w:hint="eastAsia" w:ascii="Times New Roman" w:hAnsi="Times New Roman" w:cs="宋体"/>
          <w:sz w:val="28"/>
        </w:rPr>
      </w:pPr>
      <w:r>
        <w:rPr>
          <w:rFonts w:hint="eastAsia" w:ascii="Times New Roman" w:hAnsi="Times New Roman" w:cs="宋体"/>
          <w:sz w:val="28"/>
        </w:rPr>
        <w:t>海南消费领域区域公共品牌系列团体标准是在对比分析了国内外技术指标参数的基础上，采用过程控制和持续改进的管理理念方法，融合编制的一套包括基于管理要素的通用技术要求及基于行业特点的特色产品和服务技术规范的系列标准。该套系列文件设计如下：第一层级为《海南消费领域区域公共品牌通用要求种植》和《海南消费领域区域公共品牌通用要求服务业》，第二层级为《海南消费领域区域公共品牌种植技术规范》和《海南消费领域区域公共品牌食品加工技术规范》，第三层级为特色产品和服务技术规范。第一层级、第二层级和第三层级文件应配套使用。本文件为第二层级《海南消费领域区域公共品牌种植技术规范》，通过本文件的发布实施，将有助于推进种植业规范化、规模化、标准化、生态化发展，提升种植农产品质量。同时，以本文件作为认证依据，对种植生产经营者进行第三方认证，通过认证在供需两端传递质量信号，提高“海南消费领域区域公共品牌”品牌权威性和公信力，形成有效的市场选择机制，助推特色优势种植产品提档升级、提质增效。</w:t>
      </w:r>
    </w:p>
    <w:p w14:paraId="06B5B615">
      <w:pPr>
        <w:pStyle w:val="3"/>
        <w:rPr>
          <w:rFonts w:ascii="Times New Roman" w:hAnsi="Times New Roman" w:eastAsia="仿宋"/>
          <w:sz w:val="30"/>
        </w:rPr>
      </w:pPr>
      <w:r>
        <w:rPr>
          <w:rFonts w:ascii="Times New Roman" w:hAnsi="Times New Roman" w:eastAsia="仿宋"/>
          <w:sz w:val="30"/>
        </w:rPr>
        <w:t>（二）</w:t>
      </w:r>
      <w:r>
        <w:rPr>
          <w:rFonts w:hint="eastAsia" w:ascii="Times New Roman" w:hAnsi="Times New Roman" w:eastAsia="仿宋"/>
          <w:sz w:val="30"/>
        </w:rPr>
        <w:t>编制过程简介</w:t>
      </w:r>
    </w:p>
    <w:p w14:paraId="2CDBCBDA">
      <w:pPr>
        <w:pStyle w:val="4"/>
        <w:rPr>
          <w:rFonts w:hint="eastAsia" w:ascii="Times New Roman" w:hAnsi="Times New Roman" w:cs="宋体"/>
          <w:b/>
          <w:sz w:val="30"/>
        </w:rPr>
      </w:pPr>
      <w:r>
        <w:rPr>
          <w:rFonts w:hint="eastAsia" w:ascii="Times New Roman" w:hAnsi="Times New Roman" w:cs="宋体"/>
          <w:b/>
          <w:sz w:val="30"/>
        </w:rPr>
        <w:t>1.成立起草组</w:t>
      </w:r>
    </w:p>
    <w:p w14:paraId="4C2379B7">
      <w:pPr>
        <w:ind w:firstLine="560"/>
        <w:rPr>
          <w:rFonts w:hint="eastAsia" w:ascii="Times New Roman" w:hAnsi="Times New Roman" w:cs="宋体"/>
          <w:sz w:val="28"/>
        </w:rPr>
      </w:pPr>
      <w:r>
        <w:rPr>
          <w:rFonts w:hint="eastAsia" w:ascii="Times New Roman" w:hAnsi="Times New Roman" w:cs="宋体"/>
          <w:sz w:val="28"/>
        </w:rPr>
        <w:t>团体标准研制计划下达后，方圆标志认证集团有限公司作为标准研制牵头单位随即组织召开专题会议，充分吸纳行业专家组建标准起草组，对标准编制工作进行总体部署和任务分工，制定标准编制工作方案，明确标准适用范围、主要框架内容、编制时间节点等。</w:t>
      </w:r>
    </w:p>
    <w:p w14:paraId="24C95AE3">
      <w:pPr>
        <w:pStyle w:val="4"/>
        <w:rPr>
          <w:rFonts w:hint="eastAsia" w:ascii="Times New Roman" w:hAnsi="Times New Roman" w:cs="宋体"/>
          <w:b/>
          <w:sz w:val="30"/>
        </w:rPr>
      </w:pPr>
      <w:r>
        <w:rPr>
          <w:rFonts w:hint="eastAsia" w:ascii="Times New Roman" w:hAnsi="Times New Roman" w:cs="宋体"/>
          <w:b/>
          <w:sz w:val="30"/>
        </w:rPr>
        <w:t>2.编制标准草案</w:t>
      </w:r>
    </w:p>
    <w:p w14:paraId="7D08F964">
      <w:pPr>
        <w:ind w:firstLine="560"/>
        <w:rPr>
          <w:rFonts w:hint="eastAsia" w:ascii="Times New Roman" w:hAnsi="Times New Roman" w:cs="宋体"/>
          <w:sz w:val="28"/>
        </w:rPr>
      </w:pPr>
      <w:r>
        <w:rPr>
          <w:rFonts w:hint="eastAsia" w:ascii="Times New Roman" w:hAnsi="Times New Roman" w:cs="宋体"/>
          <w:sz w:val="28"/>
        </w:rPr>
        <w:t>标准起草组广泛查阅种植产业相关法律法规、政策文件和标准，包括国家标准、行业标准、国际标准和国外先进标准，以及外省地方标准和团体标准情况，收集相关论文及研究资料，摸清种植产业现状及标准化相关情况。在文献资料搜集和研读的基础上，深入了解海南省种植产业的典型案例，经过总结、提炼、识别、梳理后，按照既兼顾前瞻性和适用性，又确保科学性和兜底性的原则，搭建标准框架，编制标准草案。</w:t>
      </w:r>
    </w:p>
    <w:p w14:paraId="462BF0AD">
      <w:pPr>
        <w:pStyle w:val="4"/>
        <w:rPr>
          <w:rFonts w:hint="eastAsia" w:ascii="Times New Roman" w:hAnsi="Times New Roman" w:cs="宋体"/>
          <w:b/>
          <w:sz w:val="30"/>
        </w:rPr>
      </w:pPr>
      <w:r>
        <w:rPr>
          <w:rFonts w:hint="eastAsia" w:ascii="Times New Roman" w:hAnsi="Times New Roman" w:cs="宋体"/>
          <w:b/>
          <w:sz w:val="30"/>
        </w:rPr>
        <w:t>3.实地调研</w:t>
      </w:r>
    </w:p>
    <w:p w14:paraId="4CAC7682">
      <w:pPr>
        <w:ind w:firstLine="560"/>
        <w:rPr>
          <w:rFonts w:hint="eastAsia" w:ascii="Times New Roman" w:hAnsi="Times New Roman" w:cs="宋体"/>
          <w:sz w:val="28"/>
        </w:rPr>
      </w:pPr>
      <w:r>
        <w:rPr>
          <w:rFonts w:hint="eastAsia" w:ascii="Times New Roman" w:hAnsi="Times New Roman" w:cs="宋体"/>
          <w:sz w:val="28"/>
        </w:rPr>
        <w:t>标准起草组组织相关人员开展实地调研，通过沟通及实地查看等方式，了解和掌握海南7个市县以及重点园区等种植企业目前行业管理服务存在的问题和基本情况，以及对标准草案的意见和建议。根据调研情况和反馈意见实时修改完善标准草案。</w:t>
      </w:r>
    </w:p>
    <w:p w14:paraId="0EE7BCDB">
      <w:pPr>
        <w:pStyle w:val="4"/>
        <w:rPr>
          <w:rFonts w:hint="eastAsia" w:ascii="Times New Roman" w:hAnsi="Times New Roman" w:cs="宋体"/>
          <w:b/>
          <w:sz w:val="30"/>
        </w:rPr>
      </w:pPr>
      <w:r>
        <w:rPr>
          <w:rFonts w:hint="eastAsia" w:ascii="Times New Roman" w:hAnsi="Times New Roman" w:cs="宋体"/>
          <w:b/>
          <w:sz w:val="30"/>
        </w:rPr>
        <w:t>4.召开标准编制研讨会</w:t>
      </w:r>
    </w:p>
    <w:p w14:paraId="4488B249">
      <w:pPr>
        <w:ind w:firstLine="560"/>
        <w:rPr>
          <w:rFonts w:hint="eastAsia" w:ascii="Times New Roman" w:hAnsi="Times New Roman" w:cs="宋体"/>
          <w:sz w:val="28"/>
        </w:rPr>
      </w:pPr>
      <w:r>
        <w:rPr>
          <w:rFonts w:hint="eastAsia" w:ascii="Times New Roman" w:hAnsi="Times New Roman" w:cs="宋体"/>
          <w:sz w:val="28"/>
        </w:rPr>
        <w:t>在标准草案的基础上，在方圆标志认证集团有限公司的统筹安排下，标准起草组先后组织起草组召开2次标准编制专题研讨会，对标准草案框架及内容进行逐条研讨。会后，起草组对标准进行了深入研究和反复修改。同时，根据最新的标准编写规范GB/T1.1—2020对标准结构和语言表述进行修改完善，形成标准工作组</w:t>
      </w:r>
      <w:r>
        <w:rPr>
          <w:rFonts w:hint="eastAsia" w:cs="宋体"/>
          <w:sz w:val="28"/>
          <w:lang w:val="en-US" w:eastAsia="zh-CN"/>
        </w:rPr>
        <w:t>征求意见稿</w:t>
      </w:r>
      <w:bookmarkStart w:id="0" w:name="_GoBack"/>
      <w:bookmarkEnd w:id="0"/>
      <w:r>
        <w:rPr>
          <w:rFonts w:hint="eastAsia" w:ascii="Times New Roman" w:hAnsi="Times New Roman" w:cs="宋体"/>
          <w:sz w:val="28"/>
        </w:rPr>
        <w:t>（包括标准文本和标准编制说明）。</w:t>
      </w:r>
    </w:p>
    <w:p w14:paraId="07282A09">
      <w:pPr>
        <w:pStyle w:val="3"/>
        <w:rPr>
          <w:rFonts w:ascii="Times New Roman" w:hAnsi="Times New Roman" w:eastAsia="仿宋"/>
          <w:sz w:val="30"/>
        </w:rPr>
      </w:pPr>
      <w:r>
        <w:rPr>
          <w:rFonts w:ascii="Times New Roman" w:hAnsi="Times New Roman" w:eastAsia="仿宋"/>
          <w:sz w:val="30"/>
        </w:rPr>
        <w:t>（三）制定标准的原则和依据，与现行法律法规、标准的关系</w:t>
      </w:r>
    </w:p>
    <w:p w14:paraId="2AE13DD0">
      <w:pPr>
        <w:pStyle w:val="4"/>
        <w:rPr>
          <w:rFonts w:hint="eastAsia" w:ascii="Times New Roman" w:hAnsi="Times New Roman" w:cs="宋体"/>
          <w:b/>
          <w:sz w:val="30"/>
        </w:rPr>
      </w:pPr>
      <w:r>
        <w:rPr>
          <w:rFonts w:hint="eastAsia" w:ascii="Times New Roman" w:hAnsi="Times New Roman" w:cs="宋体"/>
          <w:b/>
          <w:sz w:val="30"/>
        </w:rPr>
        <w:t>1.制定标准的原则</w:t>
      </w:r>
    </w:p>
    <w:p w14:paraId="663880A2">
      <w:pPr>
        <w:ind w:firstLine="560"/>
        <w:rPr>
          <w:rFonts w:hint="eastAsia" w:ascii="Times New Roman" w:hAnsi="Times New Roman" w:cs="宋体"/>
          <w:sz w:val="28"/>
        </w:rPr>
      </w:pPr>
      <w:r>
        <w:rPr>
          <w:rFonts w:hint="eastAsia" w:ascii="Times New Roman" w:hAnsi="Times New Roman" w:cs="宋体"/>
          <w:sz w:val="28"/>
        </w:rPr>
        <w:t>本标准在制定工作中本着先进性、科学性、合理性和可操作性以及标准的目标性、统一性、协调性、适用性、一致性和规范性的原则，符合GB/T1.1—2020《标准化工作导则第1部分：标准化文件的结构和起草规则》的编写要求。</w:t>
      </w:r>
    </w:p>
    <w:p w14:paraId="1EFA8BDC">
      <w:pPr>
        <w:ind w:firstLine="560"/>
        <w:rPr>
          <w:rFonts w:hint="eastAsia" w:ascii="Times New Roman" w:hAnsi="Times New Roman" w:cs="宋体"/>
          <w:sz w:val="28"/>
        </w:rPr>
      </w:pPr>
      <w:r>
        <w:rPr>
          <w:rFonts w:hint="eastAsia" w:ascii="Times New Roman" w:hAnsi="Times New Roman" w:cs="宋体"/>
          <w:sz w:val="28"/>
        </w:rPr>
        <w:t>在确定标准主要内容时，以相关法律法规、政策文件、国家行业标准为主要依据，充分考虑各项内容要求的可行性，同时考虑必要的前瞻性，使标准具有较强的先进性和指导性。</w:t>
      </w:r>
    </w:p>
    <w:p w14:paraId="0CD442FA">
      <w:pPr>
        <w:pStyle w:val="4"/>
        <w:rPr>
          <w:rFonts w:hint="eastAsia" w:ascii="Times New Roman" w:hAnsi="Times New Roman" w:cs="宋体"/>
          <w:b/>
          <w:sz w:val="30"/>
        </w:rPr>
      </w:pPr>
      <w:r>
        <w:rPr>
          <w:rFonts w:hint="eastAsia" w:ascii="Times New Roman" w:hAnsi="Times New Roman" w:cs="宋体"/>
          <w:b/>
          <w:sz w:val="30"/>
        </w:rPr>
        <w:t>2.制定标准的依据</w:t>
      </w:r>
    </w:p>
    <w:p w14:paraId="23A1EB50">
      <w:pPr>
        <w:ind w:firstLine="560"/>
        <w:rPr>
          <w:rFonts w:hint="eastAsia" w:ascii="Times New Roman" w:hAnsi="Times New Roman" w:cs="宋体"/>
          <w:sz w:val="28"/>
        </w:rPr>
      </w:pPr>
      <w:r>
        <w:rPr>
          <w:rFonts w:hint="eastAsia" w:ascii="Times New Roman" w:hAnsi="Times New Roman" w:cs="宋体"/>
          <w:sz w:val="28"/>
        </w:rPr>
        <w:t>本标准在编制过程中，重点引用和参考相关法律法规、中央及国家各部委的政策文件和发展规划、地方政策文件及相关技术性文件等，包括：</w:t>
      </w:r>
    </w:p>
    <w:p w14:paraId="377A6D39">
      <w:pPr>
        <w:ind w:firstLine="560"/>
        <w:rPr>
          <w:rFonts w:hint="eastAsia" w:ascii="Times New Roman" w:hAnsi="Times New Roman" w:cs="宋体"/>
          <w:sz w:val="28"/>
        </w:rPr>
      </w:pPr>
      <w:r>
        <w:rPr>
          <w:rFonts w:hint="eastAsia" w:ascii="Times New Roman" w:hAnsi="Times New Roman" w:cs="宋体"/>
          <w:sz w:val="28"/>
        </w:rPr>
        <w:t>（1）GB2761食品中真菌毒素限量</w:t>
      </w:r>
    </w:p>
    <w:p w14:paraId="6EBD069C">
      <w:pPr>
        <w:ind w:firstLine="560"/>
        <w:rPr>
          <w:rFonts w:hint="eastAsia" w:ascii="Times New Roman" w:hAnsi="Times New Roman" w:cs="宋体"/>
          <w:sz w:val="28"/>
        </w:rPr>
      </w:pPr>
      <w:r>
        <w:rPr>
          <w:rFonts w:hint="eastAsia" w:ascii="Times New Roman" w:hAnsi="Times New Roman" w:cs="宋体"/>
          <w:sz w:val="28"/>
        </w:rPr>
        <w:t>（2）GB2762食品中污染物限量</w:t>
      </w:r>
    </w:p>
    <w:p w14:paraId="64B385E2">
      <w:pPr>
        <w:ind w:firstLine="560"/>
        <w:rPr>
          <w:rFonts w:hint="eastAsia" w:ascii="Times New Roman" w:hAnsi="Times New Roman" w:cs="宋体"/>
          <w:sz w:val="28"/>
        </w:rPr>
      </w:pPr>
      <w:r>
        <w:rPr>
          <w:rFonts w:hint="eastAsia" w:ascii="Times New Roman" w:hAnsi="Times New Roman" w:cs="宋体"/>
          <w:sz w:val="28"/>
        </w:rPr>
        <w:t>（3）GB2763食品中农药最大残留限量</w:t>
      </w:r>
    </w:p>
    <w:p w14:paraId="562408A4">
      <w:pPr>
        <w:ind w:firstLine="560"/>
        <w:rPr>
          <w:rFonts w:hint="eastAsia" w:ascii="Times New Roman" w:hAnsi="Times New Roman" w:cs="宋体"/>
          <w:sz w:val="28"/>
        </w:rPr>
      </w:pPr>
      <w:r>
        <w:rPr>
          <w:rFonts w:hint="eastAsia" w:ascii="Times New Roman" w:hAnsi="Times New Roman" w:cs="宋体"/>
          <w:sz w:val="28"/>
        </w:rPr>
        <w:t>（4）GB3095环境空气质量标准</w:t>
      </w:r>
    </w:p>
    <w:p w14:paraId="3F6C57BE">
      <w:pPr>
        <w:ind w:firstLine="560"/>
        <w:rPr>
          <w:rFonts w:hint="eastAsia" w:ascii="Times New Roman" w:hAnsi="Times New Roman" w:cs="宋体"/>
          <w:sz w:val="28"/>
        </w:rPr>
      </w:pPr>
      <w:r>
        <w:rPr>
          <w:rFonts w:hint="eastAsia" w:ascii="Times New Roman" w:hAnsi="Times New Roman" w:cs="宋体"/>
          <w:sz w:val="28"/>
        </w:rPr>
        <w:t>（5）GB5084农田灌溉水质标准</w:t>
      </w:r>
    </w:p>
    <w:p w14:paraId="3A6ED789">
      <w:pPr>
        <w:ind w:firstLine="560"/>
        <w:rPr>
          <w:rFonts w:hint="eastAsia" w:ascii="Times New Roman" w:hAnsi="Times New Roman" w:cs="宋体"/>
          <w:sz w:val="28"/>
        </w:rPr>
      </w:pPr>
      <w:r>
        <w:rPr>
          <w:rFonts w:hint="eastAsia" w:ascii="Times New Roman" w:hAnsi="Times New Roman" w:cs="宋体"/>
          <w:sz w:val="28"/>
        </w:rPr>
        <w:t>（6）GB/T8321农药合理使用准则</w:t>
      </w:r>
    </w:p>
    <w:p w14:paraId="494F6F7F">
      <w:pPr>
        <w:ind w:firstLine="560"/>
        <w:rPr>
          <w:rFonts w:hint="eastAsia" w:ascii="Times New Roman" w:hAnsi="Times New Roman" w:cs="宋体"/>
          <w:sz w:val="28"/>
        </w:rPr>
      </w:pPr>
      <w:r>
        <w:rPr>
          <w:rFonts w:hint="eastAsia" w:ascii="Times New Roman" w:hAnsi="Times New Roman" w:cs="宋体"/>
          <w:sz w:val="28"/>
        </w:rPr>
        <w:t>（7）GB15618土壤环境质量农用地土壤污染风险管控标准（试行）</w:t>
      </w:r>
    </w:p>
    <w:p w14:paraId="077534FB">
      <w:pPr>
        <w:ind w:firstLine="560"/>
        <w:rPr>
          <w:rFonts w:hint="eastAsia" w:ascii="Times New Roman" w:hAnsi="Times New Roman" w:cs="宋体"/>
          <w:sz w:val="28"/>
        </w:rPr>
      </w:pPr>
      <w:r>
        <w:rPr>
          <w:rFonts w:hint="eastAsia" w:ascii="Times New Roman" w:hAnsi="Times New Roman" w:cs="宋体"/>
          <w:sz w:val="28"/>
        </w:rPr>
        <w:t>（8）GB/T31268限制商品过度包装通则</w:t>
      </w:r>
    </w:p>
    <w:p w14:paraId="367E2C7E">
      <w:pPr>
        <w:ind w:firstLine="560"/>
        <w:rPr>
          <w:rFonts w:hint="eastAsia" w:ascii="Times New Roman" w:hAnsi="Times New Roman" w:cs="宋体"/>
          <w:sz w:val="28"/>
        </w:rPr>
      </w:pPr>
      <w:r>
        <w:rPr>
          <w:rFonts w:hint="eastAsia" w:ascii="Times New Roman" w:hAnsi="Times New Roman" w:cs="宋体"/>
          <w:sz w:val="28"/>
        </w:rPr>
        <w:t>（9）GB/T34343种植农产品物流包装容器通用技术要求</w:t>
      </w:r>
    </w:p>
    <w:p w14:paraId="217DB72A">
      <w:pPr>
        <w:ind w:firstLine="560"/>
        <w:rPr>
          <w:rFonts w:hint="eastAsia" w:ascii="Times New Roman" w:hAnsi="Times New Roman" w:cs="宋体"/>
          <w:sz w:val="28"/>
        </w:rPr>
      </w:pPr>
      <w:r>
        <w:rPr>
          <w:rFonts w:hint="eastAsia" w:ascii="Times New Roman" w:hAnsi="Times New Roman" w:cs="宋体"/>
          <w:sz w:val="28"/>
        </w:rPr>
        <w:t>（10）GB/T34344种植农产品物流包装材料通用技术要求</w:t>
      </w:r>
    </w:p>
    <w:p w14:paraId="763134CB">
      <w:pPr>
        <w:ind w:firstLine="560"/>
        <w:rPr>
          <w:rFonts w:hint="eastAsia" w:ascii="Times New Roman" w:hAnsi="Times New Roman" w:cs="宋体"/>
          <w:sz w:val="28"/>
        </w:rPr>
      </w:pPr>
      <w:r>
        <w:rPr>
          <w:rFonts w:hint="eastAsia" w:ascii="Times New Roman" w:hAnsi="Times New Roman" w:cs="宋体"/>
          <w:sz w:val="28"/>
        </w:rPr>
        <w:t>（11）GB38400肥料中有毒有害物质的限量要求</w:t>
      </w:r>
    </w:p>
    <w:p w14:paraId="7608D118">
      <w:pPr>
        <w:pStyle w:val="4"/>
        <w:rPr>
          <w:rFonts w:hint="eastAsia" w:ascii="Times New Roman" w:hAnsi="Times New Roman" w:cs="宋体"/>
          <w:b/>
          <w:sz w:val="30"/>
        </w:rPr>
      </w:pPr>
      <w:r>
        <w:rPr>
          <w:rFonts w:hint="eastAsia" w:ascii="Times New Roman" w:hAnsi="Times New Roman" w:cs="宋体"/>
          <w:b/>
          <w:sz w:val="30"/>
        </w:rPr>
        <w:t>3.与有关的现行法律法规、标准的关系</w:t>
      </w:r>
    </w:p>
    <w:p w14:paraId="4B4A8219">
      <w:pPr>
        <w:ind w:firstLine="560"/>
        <w:rPr>
          <w:rFonts w:hint="eastAsia" w:ascii="Times New Roman" w:hAnsi="Times New Roman" w:cs="宋体"/>
          <w:sz w:val="28"/>
        </w:rPr>
      </w:pPr>
      <w:r>
        <w:rPr>
          <w:rFonts w:hint="eastAsia" w:ascii="Times New Roman" w:hAnsi="Times New Roman" w:cs="宋体"/>
          <w:sz w:val="28"/>
        </w:rPr>
        <w:t>本标准符合国家现行法律法规和强制性标准的要求，与国家标准、行业标准、地方标准协调一致，结合海南省实际规定，从可操作性、科学性细化标准内容。</w:t>
      </w:r>
    </w:p>
    <w:p w14:paraId="046DE701">
      <w:pPr>
        <w:pStyle w:val="3"/>
        <w:rPr>
          <w:rFonts w:ascii="Times New Roman" w:hAnsi="Times New Roman" w:eastAsia="仿宋"/>
          <w:sz w:val="30"/>
        </w:rPr>
      </w:pPr>
      <w:r>
        <w:rPr>
          <w:rFonts w:ascii="Times New Roman" w:hAnsi="Times New Roman" w:eastAsia="仿宋"/>
          <w:sz w:val="30"/>
        </w:rPr>
        <w:t>（四）主要条款的说明</w:t>
      </w:r>
    </w:p>
    <w:p w14:paraId="0743D6C0">
      <w:pPr>
        <w:pStyle w:val="4"/>
        <w:rPr>
          <w:rFonts w:hint="eastAsia" w:ascii="Times New Roman" w:hAnsi="Times New Roman" w:cs="宋体"/>
          <w:b/>
          <w:sz w:val="30"/>
        </w:rPr>
      </w:pPr>
      <w:r>
        <w:rPr>
          <w:rFonts w:hint="eastAsia" w:ascii="Times New Roman" w:hAnsi="Times New Roman" w:cs="宋体"/>
          <w:b/>
          <w:sz w:val="30"/>
        </w:rPr>
        <w:t>1.主要条款</w:t>
      </w:r>
    </w:p>
    <w:p w14:paraId="7D3915C4">
      <w:pPr>
        <w:ind w:firstLine="560"/>
        <w:rPr>
          <w:rFonts w:hint="eastAsia" w:ascii="Times New Roman" w:hAnsi="Times New Roman" w:cs="宋体"/>
          <w:sz w:val="28"/>
        </w:rPr>
      </w:pPr>
      <w:r>
        <w:rPr>
          <w:rFonts w:hint="eastAsia" w:ascii="Times New Roman" w:hAnsi="Times New Roman" w:cs="宋体"/>
          <w:sz w:val="28"/>
        </w:rPr>
        <w:t>（1）范围</w:t>
      </w:r>
    </w:p>
    <w:p w14:paraId="350EC980">
      <w:pPr>
        <w:ind w:firstLine="560"/>
        <w:rPr>
          <w:rFonts w:hint="eastAsia" w:ascii="Times New Roman" w:hAnsi="Times New Roman" w:cs="宋体"/>
          <w:sz w:val="28"/>
        </w:rPr>
      </w:pPr>
      <w:r>
        <w:rPr>
          <w:rFonts w:hint="eastAsia" w:ascii="Times New Roman" w:hAnsi="Times New Roman" w:cs="宋体"/>
          <w:sz w:val="28"/>
        </w:rPr>
        <w:t>明确文件核心内容：规定该品牌种植农产品在种植环境、种植过程、采收包装贮藏运输、质量、管理保障5个方面的要求。划定适用对象：适用于该品牌种植农产品的生产经营者，供其开展自我评价及第三方评价/认证。。</w:t>
      </w:r>
    </w:p>
    <w:p w14:paraId="47816E43">
      <w:pPr>
        <w:ind w:firstLine="560"/>
        <w:rPr>
          <w:rFonts w:hint="eastAsia" w:ascii="Times New Roman" w:hAnsi="Times New Roman" w:cs="宋体"/>
          <w:sz w:val="28"/>
        </w:rPr>
      </w:pPr>
      <w:r>
        <w:rPr>
          <w:rFonts w:hint="eastAsia" w:ascii="Times New Roman" w:hAnsi="Times New Roman" w:cs="宋体"/>
          <w:sz w:val="28"/>
        </w:rPr>
        <w:t>（2）规范性引用文件</w:t>
      </w:r>
    </w:p>
    <w:p w14:paraId="4B6FCA5E">
      <w:pPr>
        <w:ind w:firstLine="560"/>
        <w:rPr>
          <w:rFonts w:hint="eastAsia" w:ascii="Times New Roman" w:hAnsi="Times New Roman" w:cs="宋体"/>
          <w:sz w:val="28"/>
        </w:rPr>
      </w:pPr>
      <w:r>
        <w:rPr>
          <w:rFonts w:hint="eastAsia" w:ascii="Times New Roman" w:hAnsi="Times New Roman" w:cs="宋体"/>
          <w:sz w:val="28"/>
        </w:rPr>
        <w:t>列出11项核心参考标准，涵盖食品安全、环境质量、种植规范、包装物流、肥料等领域。</w:t>
      </w:r>
    </w:p>
    <w:p w14:paraId="67ED1278">
      <w:pPr>
        <w:ind w:firstLine="560"/>
        <w:rPr>
          <w:rFonts w:hint="eastAsia" w:ascii="Times New Roman" w:hAnsi="Times New Roman" w:cs="宋体"/>
          <w:sz w:val="28"/>
        </w:rPr>
      </w:pPr>
      <w:r>
        <w:rPr>
          <w:rFonts w:hint="eastAsia" w:ascii="Times New Roman" w:hAnsi="Times New Roman" w:cs="宋体"/>
          <w:sz w:val="28"/>
        </w:rPr>
        <w:t>（3）术语和定义</w:t>
      </w:r>
    </w:p>
    <w:p w14:paraId="4C980FDF">
      <w:pPr>
        <w:ind w:firstLine="560"/>
        <w:rPr>
          <w:rFonts w:hint="eastAsia" w:ascii="Times New Roman" w:hAnsi="Times New Roman" w:cs="宋体"/>
          <w:sz w:val="28"/>
        </w:rPr>
      </w:pPr>
      <w:r>
        <w:rPr>
          <w:rFonts w:hint="eastAsia" w:ascii="Times New Roman" w:hAnsi="Times New Roman" w:cs="宋体"/>
          <w:sz w:val="28"/>
        </w:rPr>
        <w:t>本文件未对任何术语或定义进行额外界定。</w:t>
      </w:r>
    </w:p>
    <w:p w14:paraId="200611BF">
      <w:pPr>
        <w:ind w:firstLine="560"/>
        <w:rPr>
          <w:rFonts w:hint="eastAsia" w:ascii="Times New Roman" w:hAnsi="Times New Roman" w:cs="宋体"/>
          <w:sz w:val="28"/>
        </w:rPr>
      </w:pPr>
      <w:r>
        <w:rPr>
          <w:rFonts w:hint="eastAsia" w:ascii="Times New Roman" w:hAnsi="Times New Roman" w:cs="宋体"/>
          <w:sz w:val="28"/>
        </w:rPr>
        <w:t>（4）环境要求</w:t>
      </w:r>
    </w:p>
    <w:p w14:paraId="23E39957">
      <w:pPr>
        <w:ind w:firstLine="560"/>
        <w:rPr>
          <w:rFonts w:hint="eastAsia" w:ascii="Times New Roman" w:hAnsi="Times New Roman" w:cs="宋体"/>
          <w:sz w:val="28"/>
        </w:rPr>
      </w:pPr>
      <w:r>
        <w:rPr>
          <w:rFonts w:hint="eastAsia" w:ascii="Times New Roman" w:hAnsi="Times New Roman" w:cs="宋体"/>
          <w:sz w:val="28"/>
        </w:rPr>
        <w:t>核心原则：种植产地需选择生态良好、无污染风险的区域，远离工矿区、公路铁路干线、生活垃圾场等污染源。</w:t>
      </w:r>
    </w:p>
    <w:p w14:paraId="6D7E66FC">
      <w:pPr>
        <w:ind w:firstLine="560"/>
        <w:rPr>
          <w:rFonts w:hint="eastAsia" w:ascii="Times New Roman" w:hAnsi="Times New Roman" w:cs="宋体"/>
          <w:sz w:val="28"/>
        </w:rPr>
      </w:pPr>
      <w:r>
        <w:rPr>
          <w:rFonts w:hint="eastAsia" w:ascii="Times New Roman" w:hAnsi="Times New Roman" w:cs="宋体"/>
          <w:sz w:val="28"/>
        </w:rPr>
        <w:t>具体指标：分3类明确环境标准，环境空气质量符合GB3095，灌溉水质符合GB5084（禁用生活污水、工业废水等），土壤环境质量符合GB15618。</w:t>
      </w:r>
    </w:p>
    <w:p w14:paraId="35355A8A">
      <w:pPr>
        <w:ind w:firstLine="560"/>
        <w:rPr>
          <w:rFonts w:hint="eastAsia" w:ascii="Times New Roman" w:hAnsi="Times New Roman" w:cs="宋体"/>
          <w:sz w:val="28"/>
        </w:rPr>
      </w:pPr>
      <w:r>
        <w:rPr>
          <w:rFonts w:hint="eastAsia" w:ascii="Times New Roman" w:hAnsi="Times New Roman" w:cs="宋体"/>
          <w:sz w:val="28"/>
        </w:rPr>
        <w:t>防护措施：需设置有效缓冲带或物理屏障，防止种植区域受外部污染。</w:t>
      </w:r>
    </w:p>
    <w:p w14:paraId="01DA0A41">
      <w:pPr>
        <w:ind w:firstLine="560"/>
        <w:rPr>
          <w:rFonts w:hint="eastAsia" w:ascii="Times New Roman" w:hAnsi="Times New Roman" w:cs="宋体"/>
          <w:sz w:val="28"/>
        </w:rPr>
      </w:pPr>
      <w:r>
        <w:rPr>
          <w:rFonts w:hint="eastAsia" w:ascii="Times New Roman" w:hAnsi="Times New Roman" w:cs="宋体"/>
          <w:sz w:val="28"/>
        </w:rPr>
        <w:t>（5）种植过程</w:t>
      </w:r>
    </w:p>
    <w:p w14:paraId="24C8151D">
      <w:pPr>
        <w:ind w:firstLine="560"/>
        <w:rPr>
          <w:rFonts w:hint="eastAsia" w:ascii="Times New Roman" w:hAnsi="Times New Roman" w:cs="宋体"/>
          <w:sz w:val="28"/>
        </w:rPr>
      </w:pPr>
      <w:r>
        <w:rPr>
          <w:rFonts w:hint="eastAsia" w:ascii="Times New Roman" w:hAnsi="Times New Roman" w:cs="宋体"/>
          <w:sz w:val="28"/>
        </w:rPr>
        <w:t>这是文件的核心操作规范部分，从4个关键环节明确要求：</w:t>
      </w:r>
    </w:p>
    <w:p w14:paraId="2ADEC78A">
      <w:pPr>
        <w:ind w:firstLine="560"/>
        <w:rPr>
          <w:rFonts w:hint="eastAsia" w:ascii="Times New Roman" w:hAnsi="Times New Roman" w:cs="宋体"/>
          <w:sz w:val="28"/>
        </w:rPr>
      </w:pPr>
      <w:r>
        <w:rPr>
          <w:rFonts w:hint="eastAsia" w:ascii="Times New Roman" w:hAnsi="Times New Roman" w:cs="宋体"/>
          <w:sz w:val="28"/>
        </w:rPr>
        <w:t>1）农作物品种选择</w:t>
      </w:r>
    </w:p>
    <w:p w14:paraId="3F99C6FC">
      <w:pPr>
        <w:ind w:firstLine="560"/>
        <w:rPr>
          <w:rFonts w:hint="eastAsia" w:ascii="Times New Roman" w:hAnsi="Times New Roman" w:cs="宋体"/>
          <w:sz w:val="28"/>
        </w:rPr>
      </w:pPr>
      <w:r>
        <w:rPr>
          <w:rFonts w:hint="eastAsia" w:ascii="Times New Roman" w:hAnsi="Times New Roman" w:cs="宋体"/>
          <w:sz w:val="28"/>
        </w:rPr>
        <w:t>合规性要求：引进品种需符合检验检疫规定，选择经国家或海南相关部门审（鉴、认）定/登记的品种。</w:t>
      </w:r>
    </w:p>
    <w:p w14:paraId="097380D3">
      <w:pPr>
        <w:ind w:firstLine="560"/>
        <w:rPr>
          <w:rFonts w:hint="eastAsia" w:ascii="Times New Roman" w:hAnsi="Times New Roman" w:cs="宋体"/>
          <w:sz w:val="28"/>
        </w:rPr>
      </w:pPr>
      <w:r>
        <w:rPr>
          <w:rFonts w:hint="eastAsia" w:ascii="Times New Roman" w:hAnsi="Times New Roman" w:cs="宋体"/>
          <w:sz w:val="28"/>
        </w:rPr>
        <w:t>适应性要求：品种需适应当地气候、地势、土壤肥力，具备病虫害抗性/耐性，且品质优良。</w:t>
      </w:r>
    </w:p>
    <w:p w14:paraId="2F21D8DF">
      <w:pPr>
        <w:ind w:firstLine="560"/>
        <w:rPr>
          <w:rFonts w:hint="eastAsia" w:ascii="Times New Roman" w:hAnsi="Times New Roman" w:cs="宋体"/>
          <w:sz w:val="28"/>
        </w:rPr>
      </w:pPr>
      <w:r>
        <w:rPr>
          <w:rFonts w:hint="eastAsia" w:ascii="Times New Roman" w:hAnsi="Times New Roman" w:cs="宋体"/>
          <w:sz w:val="28"/>
        </w:rPr>
        <w:t>2）土壤培肥</w:t>
      </w:r>
    </w:p>
    <w:p w14:paraId="4089C205">
      <w:pPr>
        <w:ind w:firstLine="560"/>
        <w:rPr>
          <w:rFonts w:hint="eastAsia" w:ascii="Times New Roman" w:hAnsi="Times New Roman" w:cs="宋体"/>
          <w:sz w:val="28"/>
        </w:rPr>
      </w:pPr>
      <w:r>
        <w:rPr>
          <w:rFonts w:hint="eastAsia" w:ascii="Times New Roman" w:hAnsi="Times New Roman" w:cs="宋体"/>
          <w:sz w:val="28"/>
        </w:rPr>
        <w:t>施肥原则：以测土配方施肥为指导，坚持“有机肥为主、化肥为辅”。</w:t>
      </w:r>
    </w:p>
    <w:p w14:paraId="7FE51FF1">
      <w:pPr>
        <w:ind w:firstLine="560"/>
        <w:rPr>
          <w:rFonts w:hint="eastAsia" w:ascii="Times New Roman" w:hAnsi="Times New Roman" w:cs="宋体"/>
          <w:sz w:val="28"/>
        </w:rPr>
      </w:pPr>
      <w:r>
        <w:rPr>
          <w:rFonts w:hint="eastAsia" w:ascii="Times New Roman" w:hAnsi="Times New Roman" w:cs="宋体"/>
          <w:sz w:val="28"/>
        </w:rPr>
        <w:t>肥料标准：使用的肥料需安全优质，有毒有害物质含量符合GB38400。</w:t>
      </w:r>
    </w:p>
    <w:p w14:paraId="1407507F">
      <w:pPr>
        <w:ind w:firstLine="560"/>
        <w:rPr>
          <w:rFonts w:hint="eastAsia" w:ascii="Times New Roman" w:hAnsi="Times New Roman" w:cs="宋体"/>
          <w:sz w:val="28"/>
        </w:rPr>
      </w:pPr>
      <w:r>
        <w:rPr>
          <w:rFonts w:hint="eastAsia" w:ascii="Times New Roman" w:hAnsi="Times New Roman" w:cs="宋体"/>
          <w:sz w:val="28"/>
        </w:rPr>
        <w:t>肥力维持：通过休耕、轮作、施有机肥、种绿肥、秸秆还田等方式保持土壤肥力。</w:t>
      </w:r>
    </w:p>
    <w:p w14:paraId="77A7D9FF">
      <w:pPr>
        <w:ind w:firstLine="560"/>
        <w:rPr>
          <w:rFonts w:hint="eastAsia" w:ascii="Times New Roman" w:hAnsi="Times New Roman" w:cs="宋体"/>
          <w:sz w:val="28"/>
        </w:rPr>
      </w:pPr>
      <w:r>
        <w:rPr>
          <w:rFonts w:hint="eastAsia" w:ascii="Times New Roman" w:hAnsi="Times New Roman" w:cs="宋体"/>
          <w:sz w:val="28"/>
        </w:rPr>
        <w:t>3）有害生物防治</w:t>
      </w:r>
    </w:p>
    <w:p w14:paraId="7D62FEDF">
      <w:pPr>
        <w:ind w:firstLine="560"/>
        <w:rPr>
          <w:rFonts w:hint="eastAsia" w:ascii="Times New Roman" w:hAnsi="Times New Roman" w:cs="宋体"/>
          <w:sz w:val="28"/>
        </w:rPr>
      </w:pPr>
      <w:r>
        <w:rPr>
          <w:rFonts w:hint="eastAsia" w:ascii="Times New Roman" w:hAnsi="Times New Roman" w:cs="宋体"/>
          <w:sz w:val="28"/>
        </w:rPr>
        <w:t>防治原则：遵循“预防为主，综合防治”。</w:t>
      </w:r>
    </w:p>
    <w:p w14:paraId="59D8BF4D">
      <w:pPr>
        <w:ind w:firstLine="560"/>
        <w:rPr>
          <w:rFonts w:hint="eastAsia" w:ascii="Times New Roman" w:hAnsi="Times New Roman" w:cs="宋体"/>
          <w:sz w:val="28"/>
        </w:rPr>
      </w:pPr>
      <w:r>
        <w:rPr>
          <w:rFonts w:hint="eastAsia" w:ascii="Times New Roman" w:hAnsi="Times New Roman" w:cs="宋体"/>
          <w:sz w:val="28"/>
        </w:rPr>
        <w:t>生态调控：创造利于天敌繁衍、不利于病虫害发生的环境，维护农业生态平衡。</w:t>
      </w:r>
    </w:p>
    <w:p w14:paraId="6B2FC469">
      <w:pPr>
        <w:ind w:firstLine="560"/>
        <w:rPr>
          <w:rFonts w:hint="eastAsia" w:ascii="Times New Roman" w:hAnsi="Times New Roman" w:cs="宋体"/>
          <w:sz w:val="28"/>
        </w:rPr>
      </w:pPr>
      <w:r>
        <w:rPr>
          <w:rFonts w:hint="eastAsia" w:ascii="Times New Roman" w:hAnsi="Times New Roman" w:cs="宋体"/>
          <w:sz w:val="28"/>
        </w:rPr>
        <w:t>科学施药：由资质植保人员监测抗药性，使用获登记许可、高效低风险的农药，按GB/T8321或说明书施用。</w:t>
      </w:r>
    </w:p>
    <w:p w14:paraId="228EEF60">
      <w:pPr>
        <w:ind w:firstLine="560"/>
        <w:rPr>
          <w:rFonts w:hint="eastAsia" w:ascii="Times New Roman" w:hAnsi="Times New Roman" w:cs="宋体"/>
          <w:sz w:val="28"/>
        </w:rPr>
      </w:pPr>
      <w:r>
        <w:rPr>
          <w:rFonts w:hint="eastAsia" w:ascii="Times New Roman" w:hAnsi="Times New Roman" w:cs="宋体"/>
          <w:sz w:val="28"/>
        </w:rPr>
        <w:t>绿色防治：优先采用物理防治（灯光/色板诱杀、机械捕捉）、生物防治（释放天敌）、人工除草等措施，减少农药使用。</w:t>
      </w:r>
    </w:p>
    <w:p w14:paraId="6081F9D5">
      <w:pPr>
        <w:ind w:firstLine="560"/>
        <w:rPr>
          <w:rFonts w:hint="eastAsia" w:ascii="Times New Roman" w:hAnsi="Times New Roman" w:cs="宋体"/>
          <w:sz w:val="28"/>
        </w:rPr>
      </w:pPr>
      <w:r>
        <w:rPr>
          <w:rFonts w:hint="eastAsia" w:ascii="Times New Roman" w:hAnsi="Times New Roman" w:cs="宋体"/>
          <w:sz w:val="28"/>
        </w:rPr>
        <w:t>4）灌溉</w:t>
      </w:r>
    </w:p>
    <w:p w14:paraId="295AE049">
      <w:pPr>
        <w:ind w:firstLine="560"/>
        <w:rPr>
          <w:rFonts w:hint="eastAsia" w:ascii="Times New Roman" w:hAnsi="Times New Roman" w:cs="宋体"/>
          <w:sz w:val="28"/>
        </w:rPr>
      </w:pPr>
      <w:r>
        <w:rPr>
          <w:rFonts w:hint="eastAsia" w:ascii="Times New Roman" w:hAnsi="Times New Roman" w:cs="宋体"/>
          <w:sz w:val="28"/>
        </w:rPr>
        <w:t>节水要求：合理利用水资源，优先采用滴灌、喷灌等节水灌溉技术，提升用水效率。。</w:t>
      </w:r>
    </w:p>
    <w:p w14:paraId="676E8F88">
      <w:pPr>
        <w:ind w:firstLine="560"/>
        <w:rPr>
          <w:rFonts w:hint="eastAsia" w:ascii="Times New Roman" w:hAnsi="Times New Roman" w:cs="宋体"/>
          <w:sz w:val="28"/>
        </w:rPr>
      </w:pPr>
      <w:r>
        <w:rPr>
          <w:rFonts w:hint="eastAsia" w:ascii="Times New Roman" w:hAnsi="Times New Roman" w:cs="宋体"/>
          <w:sz w:val="28"/>
        </w:rPr>
        <w:t>（6）采收</w:t>
      </w:r>
    </w:p>
    <w:p w14:paraId="17854D58">
      <w:pPr>
        <w:ind w:firstLine="560"/>
        <w:rPr>
          <w:rFonts w:hint="eastAsia" w:ascii="Times New Roman" w:hAnsi="Times New Roman" w:cs="宋体"/>
          <w:sz w:val="28"/>
        </w:rPr>
      </w:pPr>
      <w:r>
        <w:rPr>
          <w:rFonts w:hint="eastAsia" w:ascii="Times New Roman" w:hAnsi="Times New Roman" w:cs="宋体"/>
          <w:sz w:val="28"/>
        </w:rPr>
        <w:t>时间要求：严格遵守农药使用安全间隔期，在合理时间采收。</w:t>
      </w:r>
    </w:p>
    <w:p w14:paraId="76367E1B">
      <w:pPr>
        <w:ind w:firstLine="560"/>
        <w:rPr>
          <w:rFonts w:hint="eastAsia" w:ascii="Times New Roman" w:hAnsi="Times New Roman" w:cs="宋体"/>
          <w:sz w:val="28"/>
        </w:rPr>
      </w:pPr>
      <w:r>
        <w:rPr>
          <w:rFonts w:hint="eastAsia" w:ascii="Times New Roman" w:hAnsi="Times New Roman" w:cs="宋体"/>
          <w:sz w:val="28"/>
        </w:rPr>
        <w:t>产后处理：采收后必要时需进行分拣等处理，保障产品初始品质。</w:t>
      </w:r>
    </w:p>
    <w:p w14:paraId="67A7535E">
      <w:pPr>
        <w:ind w:firstLine="560"/>
        <w:rPr>
          <w:rFonts w:hint="eastAsia" w:ascii="Times New Roman" w:hAnsi="Times New Roman" w:cs="宋体"/>
          <w:sz w:val="28"/>
        </w:rPr>
      </w:pPr>
      <w:r>
        <w:rPr>
          <w:rFonts w:hint="eastAsia" w:ascii="Times New Roman" w:hAnsi="Times New Roman" w:cs="宋体"/>
          <w:sz w:val="28"/>
        </w:rPr>
        <w:t>（7）包装</w:t>
      </w:r>
    </w:p>
    <w:p w14:paraId="60235FEA">
      <w:pPr>
        <w:ind w:firstLine="560"/>
        <w:rPr>
          <w:rFonts w:hint="eastAsia" w:ascii="Times New Roman" w:hAnsi="Times New Roman" w:cs="宋体"/>
          <w:sz w:val="28"/>
        </w:rPr>
      </w:pPr>
      <w:r>
        <w:rPr>
          <w:rFonts w:hint="eastAsia" w:ascii="Times New Roman" w:hAnsi="Times New Roman" w:cs="宋体"/>
          <w:sz w:val="28"/>
        </w:rPr>
        <w:t>核心标准：包装材料和容器需符合GB/T34343、GB/T34344、GB/T31268的规定，兼顾安全与环保。</w:t>
      </w:r>
    </w:p>
    <w:p w14:paraId="3C2927DE">
      <w:pPr>
        <w:ind w:firstLine="560"/>
        <w:rPr>
          <w:rFonts w:hint="eastAsia" w:ascii="Times New Roman" w:hAnsi="Times New Roman" w:cs="宋体"/>
          <w:sz w:val="28"/>
        </w:rPr>
      </w:pPr>
      <w:r>
        <w:rPr>
          <w:rFonts w:hint="eastAsia" w:ascii="Times New Roman" w:hAnsi="Times New Roman" w:cs="宋体"/>
          <w:sz w:val="28"/>
        </w:rPr>
        <w:t>（8）贮藏</w:t>
      </w:r>
    </w:p>
    <w:p w14:paraId="11EB3496">
      <w:pPr>
        <w:ind w:firstLine="560"/>
        <w:rPr>
          <w:rFonts w:hint="eastAsia" w:ascii="Times New Roman" w:hAnsi="Times New Roman" w:cs="宋体"/>
          <w:sz w:val="28"/>
        </w:rPr>
      </w:pPr>
      <w:r>
        <w:rPr>
          <w:rFonts w:hint="eastAsia" w:ascii="Times New Roman" w:hAnsi="Times New Roman" w:cs="宋体"/>
          <w:sz w:val="28"/>
        </w:rPr>
        <w:t>条件要求：根据农产品特点和卫生要求，选择适宜贮藏条件并确定贮藏期限。</w:t>
      </w:r>
    </w:p>
    <w:p w14:paraId="06EBDF85">
      <w:pPr>
        <w:ind w:firstLine="560"/>
        <w:rPr>
          <w:rFonts w:hint="eastAsia" w:ascii="Times New Roman" w:hAnsi="Times New Roman" w:cs="宋体"/>
          <w:sz w:val="28"/>
        </w:rPr>
      </w:pPr>
      <w:r>
        <w:rPr>
          <w:rFonts w:hint="eastAsia" w:ascii="Times New Roman" w:hAnsi="Times New Roman" w:cs="宋体"/>
          <w:sz w:val="28"/>
        </w:rPr>
        <w:t>污染防控：贮藏期间需避免产品接触有毒、有害、有异味物质，发现异常及时处理，确保品质。</w:t>
      </w:r>
    </w:p>
    <w:p w14:paraId="47486404">
      <w:pPr>
        <w:ind w:firstLine="560"/>
        <w:rPr>
          <w:rFonts w:hint="eastAsia" w:ascii="Times New Roman" w:hAnsi="Times New Roman" w:cs="宋体"/>
          <w:sz w:val="28"/>
        </w:rPr>
      </w:pPr>
      <w:r>
        <w:rPr>
          <w:rFonts w:hint="eastAsia" w:ascii="Times New Roman" w:hAnsi="Times New Roman" w:cs="宋体"/>
          <w:sz w:val="28"/>
        </w:rPr>
        <w:t>（9）运输</w:t>
      </w:r>
    </w:p>
    <w:p w14:paraId="3F31D71A">
      <w:pPr>
        <w:ind w:firstLine="560"/>
        <w:rPr>
          <w:rFonts w:hint="eastAsia" w:ascii="Times New Roman" w:hAnsi="Times New Roman" w:cs="宋体"/>
          <w:sz w:val="28"/>
        </w:rPr>
      </w:pPr>
      <w:r>
        <w:rPr>
          <w:rFonts w:hint="eastAsia" w:ascii="Times New Roman" w:hAnsi="Times New Roman" w:cs="宋体"/>
          <w:sz w:val="28"/>
        </w:rPr>
        <w:t>工具与设施：根据产品特点选择运输工具，必要时配备保温、冷藏、保鲜设施以满足温湿度要求，禁止与有毒、有害、有异味物品混运。</w:t>
      </w:r>
    </w:p>
    <w:p w14:paraId="0478D067">
      <w:pPr>
        <w:ind w:firstLine="560"/>
        <w:rPr>
          <w:rFonts w:hint="eastAsia" w:ascii="Times New Roman" w:hAnsi="Times New Roman" w:cs="宋体"/>
          <w:sz w:val="28"/>
        </w:rPr>
      </w:pPr>
      <w:r>
        <w:rPr>
          <w:rFonts w:hint="eastAsia" w:ascii="Times New Roman" w:hAnsi="Times New Roman" w:cs="宋体"/>
          <w:sz w:val="28"/>
        </w:rPr>
        <w:t>过程防护：采取措施避免日光直射、雨雪浇淋、温湿度剧烈变化、剧烈撞击等，保护产品不受损。</w:t>
      </w:r>
    </w:p>
    <w:p w14:paraId="2676303C">
      <w:pPr>
        <w:ind w:firstLine="560"/>
        <w:rPr>
          <w:rFonts w:hint="eastAsia" w:ascii="Times New Roman" w:hAnsi="Times New Roman" w:cs="宋体"/>
          <w:sz w:val="28"/>
        </w:rPr>
      </w:pPr>
      <w:r>
        <w:rPr>
          <w:rFonts w:hint="eastAsia" w:ascii="Times New Roman" w:hAnsi="Times New Roman" w:cs="宋体"/>
          <w:sz w:val="28"/>
        </w:rPr>
        <w:t>（10）质量要求</w:t>
      </w:r>
    </w:p>
    <w:p w14:paraId="1F253D99">
      <w:pPr>
        <w:ind w:firstLine="560"/>
        <w:rPr>
          <w:rFonts w:hint="eastAsia" w:ascii="Times New Roman" w:hAnsi="Times New Roman" w:cs="宋体"/>
          <w:sz w:val="28"/>
        </w:rPr>
      </w:pPr>
      <w:r>
        <w:rPr>
          <w:rFonts w:hint="eastAsia" w:ascii="Times New Roman" w:hAnsi="Times New Roman" w:cs="宋体"/>
          <w:sz w:val="28"/>
        </w:rPr>
        <w:t>1）食品安全</w:t>
      </w:r>
    </w:p>
    <w:p w14:paraId="72B8DB37">
      <w:pPr>
        <w:ind w:firstLine="560"/>
        <w:rPr>
          <w:rFonts w:hint="eastAsia" w:ascii="Times New Roman" w:hAnsi="Times New Roman" w:cs="宋体"/>
          <w:sz w:val="28"/>
        </w:rPr>
      </w:pPr>
      <w:r>
        <w:rPr>
          <w:rFonts w:hint="eastAsia" w:ascii="Times New Roman" w:hAnsi="Times New Roman" w:cs="宋体"/>
          <w:sz w:val="28"/>
        </w:rPr>
        <w:t>指标标准：种植农产品的安全指标（如真菌毒素、污染物、农药残留）和品质指标，需符合GB2761、GB2762、GB2763的规定；若为特色产品，还需符合该品牌特色种植农产品技术规范。</w:t>
      </w:r>
    </w:p>
    <w:p w14:paraId="38BEB582">
      <w:pPr>
        <w:ind w:firstLine="560"/>
        <w:rPr>
          <w:rFonts w:hint="eastAsia" w:ascii="Times New Roman" w:hAnsi="Times New Roman" w:cs="宋体"/>
          <w:sz w:val="28"/>
        </w:rPr>
      </w:pPr>
      <w:r>
        <w:rPr>
          <w:rFonts w:hint="eastAsia" w:ascii="Times New Roman" w:hAnsi="Times New Roman" w:cs="宋体"/>
          <w:sz w:val="28"/>
        </w:rPr>
        <w:t>2）产品检验</w:t>
      </w:r>
    </w:p>
    <w:p w14:paraId="0745FEB1">
      <w:pPr>
        <w:ind w:firstLine="560"/>
        <w:rPr>
          <w:rFonts w:hint="eastAsia" w:ascii="Times New Roman" w:hAnsi="Times New Roman" w:cs="宋体"/>
          <w:sz w:val="28"/>
        </w:rPr>
      </w:pPr>
      <w:r>
        <w:rPr>
          <w:rFonts w:hint="eastAsia" w:ascii="Times New Roman" w:hAnsi="Times New Roman" w:cs="宋体"/>
          <w:sz w:val="28"/>
        </w:rPr>
        <w:t>检验方式：可自行检验或委托有资质的机构检验。</w:t>
      </w:r>
    </w:p>
    <w:p w14:paraId="32CA32AC">
      <w:pPr>
        <w:ind w:firstLine="560"/>
        <w:rPr>
          <w:rFonts w:hint="eastAsia" w:ascii="Times New Roman" w:hAnsi="Times New Roman" w:cs="宋体"/>
          <w:sz w:val="28"/>
        </w:rPr>
      </w:pPr>
      <w:r>
        <w:rPr>
          <w:rFonts w:hint="eastAsia" w:ascii="Times New Roman" w:hAnsi="Times New Roman" w:cs="宋体"/>
          <w:sz w:val="28"/>
        </w:rPr>
        <w:t>检验要求：一是自行检验，需具备适配的检验室与能力，检验人员有资质，仪器定期检定校准，建立并执行检验室管理、检验、记录、留样制度；二是委托检验，每年至少1次委托有资质的机构进行检验。</w:t>
      </w:r>
    </w:p>
    <w:p w14:paraId="748FD2D9">
      <w:pPr>
        <w:ind w:firstLine="560"/>
        <w:rPr>
          <w:rFonts w:hint="eastAsia" w:ascii="Times New Roman" w:hAnsi="Times New Roman" w:cs="宋体"/>
          <w:sz w:val="28"/>
        </w:rPr>
      </w:pPr>
      <w:r>
        <w:rPr>
          <w:rFonts w:hint="eastAsia" w:ascii="Times New Roman" w:hAnsi="Times New Roman" w:cs="宋体"/>
          <w:sz w:val="28"/>
        </w:rPr>
        <w:t>检验计划：结合产品特性、种植投入品、周边环境，合理确定检验项目、频次和方法。</w:t>
      </w:r>
    </w:p>
    <w:p w14:paraId="3864BCF0">
      <w:pPr>
        <w:ind w:firstLine="560"/>
        <w:rPr>
          <w:rFonts w:hint="eastAsia" w:ascii="Times New Roman" w:hAnsi="Times New Roman" w:cs="宋体"/>
          <w:sz w:val="28"/>
        </w:rPr>
      </w:pPr>
      <w:r>
        <w:rPr>
          <w:rFonts w:hint="eastAsia" w:ascii="Times New Roman" w:hAnsi="Times New Roman" w:cs="宋体"/>
          <w:sz w:val="28"/>
        </w:rPr>
        <w:t>（11）管理保障</w:t>
      </w:r>
    </w:p>
    <w:p w14:paraId="0BB11E9B">
      <w:pPr>
        <w:ind w:firstLine="560"/>
        <w:rPr>
          <w:rFonts w:hint="eastAsia" w:ascii="Times New Roman" w:hAnsi="Times New Roman" w:cs="宋体"/>
          <w:sz w:val="28"/>
        </w:rPr>
      </w:pPr>
      <w:r>
        <w:rPr>
          <w:rFonts w:hint="eastAsia" w:ascii="Times New Roman" w:hAnsi="Times New Roman" w:cs="宋体"/>
          <w:sz w:val="28"/>
        </w:rPr>
        <w:t>从3个方面构建管理支撑体系，确保规范落地：</w:t>
      </w:r>
    </w:p>
    <w:p w14:paraId="24EFC480">
      <w:pPr>
        <w:ind w:firstLine="560"/>
        <w:rPr>
          <w:rFonts w:hint="eastAsia" w:ascii="Times New Roman" w:hAnsi="Times New Roman" w:cs="宋体"/>
          <w:sz w:val="28"/>
        </w:rPr>
      </w:pPr>
      <w:r>
        <w:rPr>
          <w:rFonts w:hint="eastAsia" w:ascii="Times New Roman" w:hAnsi="Times New Roman" w:cs="宋体"/>
          <w:sz w:val="28"/>
        </w:rPr>
        <w:t>1）设备设施管理</w:t>
      </w:r>
    </w:p>
    <w:p w14:paraId="1D523214">
      <w:pPr>
        <w:ind w:firstLine="560"/>
        <w:rPr>
          <w:rFonts w:hint="eastAsia" w:ascii="Times New Roman" w:hAnsi="Times New Roman" w:cs="宋体"/>
          <w:sz w:val="28"/>
        </w:rPr>
      </w:pPr>
      <w:r>
        <w:rPr>
          <w:rFonts w:hint="eastAsia" w:ascii="Times New Roman" w:hAnsi="Times New Roman" w:cs="宋体"/>
          <w:sz w:val="28"/>
        </w:rPr>
        <w:t>状态维护：生产用设备设施需保持良好状态，定期校验。</w:t>
      </w:r>
    </w:p>
    <w:p w14:paraId="7557D8FE">
      <w:pPr>
        <w:ind w:firstLine="560"/>
        <w:rPr>
          <w:rFonts w:hint="eastAsia" w:ascii="Times New Roman" w:hAnsi="Times New Roman" w:cs="宋体"/>
          <w:sz w:val="28"/>
        </w:rPr>
      </w:pPr>
      <w:r>
        <w:rPr>
          <w:rFonts w:hint="eastAsia" w:ascii="Times New Roman" w:hAnsi="Times New Roman" w:cs="宋体"/>
          <w:sz w:val="28"/>
        </w:rPr>
        <w:t>清洁要求：采收用设备设施在使用前需彻底清洁，避免污染产品。</w:t>
      </w:r>
    </w:p>
    <w:p w14:paraId="462C7D29">
      <w:pPr>
        <w:ind w:firstLine="560"/>
        <w:rPr>
          <w:rFonts w:hint="eastAsia" w:ascii="Times New Roman" w:hAnsi="Times New Roman" w:cs="宋体"/>
          <w:sz w:val="28"/>
        </w:rPr>
      </w:pPr>
      <w:r>
        <w:rPr>
          <w:rFonts w:hint="eastAsia" w:ascii="Times New Roman" w:hAnsi="Times New Roman" w:cs="宋体"/>
          <w:sz w:val="28"/>
        </w:rPr>
        <w:t>2）人员安全和卫生管理</w:t>
      </w:r>
    </w:p>
    <w:p w14:paraId="33CA7585">
      <w:pPr>
        <w:ind w:firstLine="560"/>
        <w:rPr>
          <w:rFonts w:hint="eastAsia" w:ascii="Times New Roman" w:hAnsi="Times New Roman" w:cs="宋体"/>
          <w:sz w:val="28"/>
        </w:rPr>
      </w:pPr>
      <w:r>
        <w:rPr>
          <w:rFonts w:hint="eastAsia" w:ascii="Times New Roman" w:hAnsi="Times New Roman" w:cs="宋体"/>
          <w:sz w:val="28"/>
        </w:rPr>
        <w:t>安全防护：需为人员提供防护设备，采取防护措施。</w:t>
      </w:r>
    </w:p>
    <w:p w14:paraId="790B512B">
      <w:pPr>
        <w:ind w:firstLine="560"/>
        <w:rPr>
          <w:rFonts w:hint="eastAsia" w:ascii="Times New Roman" w:hAnsi="Times New Roman" w:cs="宋体"/>
          <w:sz w:val="28"/>
        </w:rPr>
      </w:pPr>
      <w:r>
        <w:rPr>
          <w:rFonts w:hint="eastAsia" w:ascii="Times New Roman" w:hAnsi="Times New Roman" w:cs="宋体"/>
          <w:sz w:val="28"/>
        </w:rPr>
        <w:t>卫生规范：建立并执行卫生规范，对所有进入生产场所的人员开展相关知识培训。</w:t>
      </w:r>
    </w:p>
    <w:p w14:paraId="4235E75E">
      <w:pPr>
        <w:ind w:firstLine="560"/>
        <w:rPr>
          <w:rFonts w:hint="eastAsia" w:ascii="Times New Roman" w:hAnsi="Times New Roman" w:cs="宋体"/>
          <w:sz w:val="28"/>
        </w:rPr>
      </w:pPr>
      <w:r>
        <w:rPr>
          <w:rFonts w:hint="eastAsia" w:ascii="Times New Roman" w:hAnsi="Times New Roman" w:cs="宋体"/>
          <w:sz w:val="28"/>
        </w:rPr>
        <w:t>3）记录管理</w:t>
      </w:r>
    </w:p>
    <w:p w14:paraId="28F9C7A8">
      <w:pPr>
        <w:ind w:firstLine="560"/>
        <w:rPr>
          <w:rFonts w:hint="eastAsia" w:ascii="Times New Roman" w:hAnsi="Times New Roman" w:cs="宋体"/>
          <w:sz w:val="28"/>
        </w:rPr>
      </w:pPr>
      <w:r>
        <w:rPr>
          <w:rFonts w:hint="eastAsia" w:ascii="Times New Roman" w:hAnsi="Times New Roman" w:cs="宋体"/>
          <w:sz w:val="28"/>
        </w:rPr>
        <w:t>记录范围：覆盖种植全流程，包括品种选择、施肥、施药、灌溉、采收、包装、贮藏、运输、销售，以及设备设施、人员安全卫生、废弃物污染物管理等。</w:t>
      </w:r>
    </w:p>
    <w:p w14:paraId="56806B34">
      <w:pPr>
        <w:ind w:firstLine="560"/>
        <w:rPr>
          <w:rFonts w:hint="eastAsia" w:ascii="Times New Roman" w:hAnsi="Times New Roman" w:cs="宋体"/>
          <w:sz w:val="28"/>
        </w:rPr>
      </w:pPr>
      <w:r>
        <w:rPr>
          <w:rFonts w:hint="eastAsia" w:ascii="Times New Roman" w:hAnsi="Times New Roman" w:cs="宋体"/>
          <w:sz w:val="28"/>
        </w:rPr>
        <w:t>记录要求：内容和数据需完整、真实有效，确保产品从种植到销售的全环节可有效追溯。</w:t>
      </w:r>
    </w:p>
    <w:p w14:paraId="66C8DF26">
      <w:pPr>
        <w:pStyle w:val="3"/>
        <w:rPr>
          <w:rFonts w:ascii="Times New Roman" w:hAnsi="Times New Roman" w:eastAsia="仿宋"/>
          <w:sz w:val="30"/>
        </w:rPr>
      </w:pPr>
      <w:r>
        <w:rPr>
          <w:rFonts w:ascii="Times New Roman" w:hAnsi="Times New Roman" w:eastAsia="仿宋"/>
          <w:sz w:val="30"/>
        </w:rPr>
        <w:t>（五）</w:t>
      </w:r>
      <w:r>
        <w:rPr>
          <w:rFonts w:hint="eastAsia" w:ascii="Times New Roman" w:hAnsi="Times New Roman" w:eastAsia="仿宋"/>
          <w:sz w:val="30"/>
        </w:rPr>
        <w:t>涉及专利的有关说明</w:t>
      </w:r>
    </w:p>
    <w:p w14:paraId="43259E61">
      <w:pPr>
        <w:ind w:firstLine="560"/>
        <w:rPr>
          <w:rFonts w:hint="eastAsia" w:ascii="Times New Roman" w:hAnsi="Times New Roman" w:cs="宋体"/>
          <w:sz w:val="28"/>
        </w:rPr>
      </w:pPr>
      <w:r>
        <w:rPr>
          <w:rFonts w:hint="eastAsia" w:ascii="Times New Roman" w:hAnsi="Times New Roman" w:cs="宋体"/>
          <w:sz w:val="28"/>
        </w:rPr>
        <w:t>无。</w:t>
      </w:r>
    </w:p>
    <w:p w14:paraId="1539C675">
      <w:pPr>
        <w:pStyle w:val="3"/>
        <w:rPr>
          <w:rFonts w:ascii="Times New Roman" w:hAnsi="Times New Roman" w:eastAsia="仿宋"/>
          <w:sz w:val="30"/>
        </w:rPr>
      </w:pPr>
      <w:r>
        <w:rPr>
          <w:rFonts w:ascii="Times New Roman" w:hAnsi="Times New Roman" w:eastAsia="仿宋"/>
          <w:sz w:val="30"/>
        </w:rPr>
        <w:t>（六）</w:t>
      </w:r>
      <w:r>
        <w:rPr>
          <w:rFonts w:hint="eastAsia" w:ascii="Times New Roman" w:hAnsi="Times New Roman" w:eastAsia="仿宋"/>
          <w:sz w:val="30"/>
        </w:rPr>
        <w:t>与现行法律法规、标准的关系</w:t>
      </w:r>
    </w:p>
    <w:p w14:paraId="58EB122F">
      <w:pPr>
        <w:ind w:firstLine="560"/>
        <w:rPr>
          <w:rFonts w:hint="eastAsia" w:ascii="Times New Roman" w:hAnsi="Times New Roman" w:cs="宋体"/>
          <w:sz w:val="28"/>
        </w:rPr>
      </w:pPr>
      <w:r>
        <w:rPr>
          <w:rFonts w:hint="eastAsia" w:ascii="Times New Roman" w:hAnsi="Times New Roman" w:cs="宋体"/>
          <w:sz w:val="28"/>
        </w:rPr>
        <w:t>拟制定的《海南消费领域区域公共品牌种植技术规范》为首次制定，符合我国目前法律、法规和强制性国家标准的规定，与有关法律、法规和国家标准、行业标准相协调，没有矛盾。</w:t>
      </w:r>
    </w:p>
    <w:p w14:paraId="4D2586AA">
      <w:pPr>
        <w:pStyle w:val="3"/>
        <w:rPr>
          <w:rFonts w:ascii="Times New Roman" w:hAnsi="Times New Roman" w:eastAsia="仿宋"/>
          <w:sz w:val="30"/>
        </w:rPr>
      </w:pPr>
      <w:r>
        <w:rPr>
          <w:rFonts w:ascii="Times New Roman" w:hAnsi="Times New Roman" w:eastAsia="仿宋"/>
          <w:sz w:val="30"/>
        </w:rPr>
        <w:t>（七）重大分歧意见的处理依据和结果</w:t>
      </w:r>
    </w:p>
    <w:p w14:paraId="33AC0FAF">
      <w:pPr>
        <w:ind w:firstLine="560"/>
        <w:rPr>
          <w:rFonts w:hint="eastAsia" w:ascii="Times New Roman" w:hAnsi="Times New Roman" w:cs="宋体"/>
          <w:sz w:val="28"/>
        </w:rPr>
      </w:pPr>
      <w:r>
        <w:rPr>
          <w:rFonts w:hint="eastAsia" w:ascii="Times New Roman" w:hAnsi="Times New Roman" w:cs="宋体"/>
          <w:sz w:val="28"/>
        </w:rPr>
        <w:t>无。</w:t>
      </w:r>
    </w:p>
    <w:p w14:paraId="6AE283F0">
      <w:pPr>
        <w:pStyle w:val="3"/>
        <w:rPr>
          <w:rFonts w:ascii="Times New Roman" w:hAnsi="Times New Roman" w:eastAsia="仿宋"/>
          <w:sz w:val="30"/>
        </w:rPr>
      </w:pPr>
      <w:r>
        <w:rPr>
          <w:rFonts w:ascii="Times New Roman" w:hAnsi="Times New Roman" w:eastAsia="仿宋"/>
          <w:sz w:val="30"/>
        </w:rPr>
        <w:t>（八）贯彻标准的要求和措施建议（包括组织措施、技术措施、过渡办法、实施日期等）</w:t>
      </w:r>
    </w:p>
    <w:p w14:paraId="48827D83">
      <w:pPr>
        <w:pStyle w:val="4"/>
        <w:rPr>
          <w:rFonts w:hint="eastAsia" w:ascii="Times New Roman" w:hAnsi="Times New Roman" w:cs="宋体"/>
          <w:b/>
          <w:sz w:val="30"/>
        </w:rPr>
      </w:pPr>
      <w:r>
        <w:rPr>
          <w:rFonts w:hint="eastAsia" w:ascii="Times New Roman" w:hAnsi="Times New Roman" w:cs="宋体"/>
          <w:b/>
          <w:sz w:val="30"/>
        </w:rPr>
        <w:t>1.贯彻标准的要求</w:t>
      </w:r>
    </w:p>
    <w:p w14:paraId="5115F669">
      <w:pPr>
        <w:ind w:firstLine="560"/>
        <w:rPr>
          <w:rFonts w:hint="eastAsia" w:ascii="Times New Roman" w:hAnsi="Times New Roman" w:cs="宋体"/>
          <w:sz w:val="28"/>
        </w:rPr>
      </w:pPr>
      <w:r>
        <w:rPr>
          <w:rFonts w:hint="eastAsia" w:ascii="Times New Roman" w:hAnsi="Times New Roman" w:cs="宋体"/>
          <w:sz w:val="28"/>
        </w:rPr>
        <w:t>加强宣传培训：相关部门应组织开展本规范的宣传培训工作，通过举办培训班、研讨会、发放宣传资料等形式，向海南区域内的种植企业、监管部门和消费者宣传本规范的内容和要求。提高企业和监管人员对规范的认识和理解，增强企业执行规范的自觉性和主动性，引导消费者正确选择海南消费领域区域公共品牌。</w:t>
      </w:r>
    </w:p>
    <w:p w14:paraId="529B0298">
      <w:pPr>
        <w:pStyle w:val="4"/>
        <w:rPr>
          <w:rFonts w:hint="eastAsia" w:ascii="Times New Roman" w:hAnsi="Times New Roman" w:cs="宋体"/>
          <w:b/>
          <w:sz w:val="30"/>
        </w:rPr>
      </w:pPr>
      <w:r>
        <w:rPr>
          <w:rFonts w:hint="eastAsia" w:ascii="Times New Roman" w:hAnsi="Times New Roman" w:cs="宋体"/>
          <w:b/>
          <w:sz w:val="30"/>
        </w:rPr>
        <w:t>2.措施建议</w:t>
      </w:r>
    </w:p>
    <w:p w14:paraId="1FBF6301">
      <w:pPr>
        <w:ind w:firstLine="560"/>
        <w:rPr>
          <w:rFonts w:hint="eastAsia" w:ascii="Times New Roman" w:hAnsi="Times New Roman" w:cs="宋体"/>
          <w:sz w:val="28"/>
        </w:rPr>
      </w:pPr>
      <w:r>
        <w:rPr>
          <w:rFonts w:hint="eastAsia" w:ascii="Times New Roman" w:hAnsi="Times New Roman" w:cs="宋体"/>
          <w:sz w:val="28"/>
        </w:rPr>
        <w:t>强化监督管理：监管部门应加强对海南消费领域区域公共品牌种植企业的监督管理，将本规范的执行情况纳入日常监管范围。定期对企业进行检查和抽检，对违反规范要求的企业依法进行处理，确保规范的有效实施。同时，建立健全投诉举报机制，鼓励消费者对不符合规范要求的种植和企业进行举报。</w:t>
      </w:r>
    </w:p>
    <w:p w14:paraId="0EEC8673">
      <w:pPr>
        <w:ind w:firstLine="560"/>
        <w:rPr>
          <w:rFonts w:hint="eastAsia" w:ascii="Times New Roman" w:hAnsi="Times New Roman" w:cs="宋体"/>
          <w:sz w:val="28"/>
        </w:rPr>
      </w:pPr>
      <w:r>
        <w:rPr>
          <w:rFonts w:hint="eastAsia" w:ascii="Times New Roman" w:hAnsi="Times New Roman" w:cs="宋体"/>
          <w:sz w:val="28"/>
        </w:rPr>
        <w:t>政策支持：政府应出台相关政策，对积极执行本规范的企业给予支持和鼓励。例如，给予财政补贴、税收优惠、项目扶持等，引导企业加大在技术创新、设备更新、质量控制等方面的投入，提高企业的生产水平和竞争力。同时，支持企业开展品牌建设和市场推广活动，提高海南消费领域区域公共品牌种植的市场知名度和美誉度。</w:t>
      </w:r>
    </w:p>
    <w:p w14:paraId="22EEB1C9">
      <w:pPr>
        <w:pStyle w:val="3"/>
        <w:rPr>
          <w:rFonts w:ascii="Times New Roman" w:hAnsi="Times New Roman" w:eastAsia="仿宋"/>
          <w:sz w:val="30"/>
        </w:rPr>
      </w:pPr>
      <w:r>
        <w:rPr>
          <w:rFonts w:ascii="Times New Roman" w:hAnsi="Times New Roman" w:eastAsia="仿宋"/>
          <w:sz w:val="30"/>
        </w:rPr>
        <w:t>（九）预期效果</w:t>
      </w:r>
    </w:p>
    <w:p w14:paraId="13C655BE">
      <w:pPr>
        <w:pStyle w:val="4"/>
        <w:rPr>
          <w:rFonts w:hint="eastAsia" w:ascii="Times New Roman" w:hAnsi="Times New Roman" w:cs="宋体"/>
          <w:b/>
          <w:sz w:val="30"/>
        </w:rPr>
      </w:pPr>
      <w:r>
        <w:rPr>
          <w:rFonts w:hint="eastAsia" w:ascii="Times New Roman" w:hAnsi="Times New Roman" w:cs="宋体"/>
          <w:b/>
          <w:sz w:val="30"/>
        </w:rPr>
        <w:t>1.经济效益：提升产品附加值，激活产业竞争力</w:t>
      </w:r>
    </w:p>
    <w:p w14:paraId="3AD40568">
      <w:pPr>
        <w:ind w:firstLine="560"/>
        <w:rPr>
          <w:rFonts w:hint="eastAsia" w:ascii="Times New Roman" w:hAnsi="Times New Roman" w:cs="宋体"/>
          <w:sz w:val="28"/>
        </w:rPr>
      </w:pPr>
      <w:r>
        <w:rPr>
          <w:rFonts w:hint="eastAsia" w:ascii="Times New Roman" w:hAnsi="Times New Roman" w:cs="宋体"/>
          <w:sz w:val="28"/>
        </w:rPr>
        <w:t>对种植主体：统一的品牌标准为产品赋予“高品质、安全可靠”的标签，帮助产品突破低端市场壁垒，进入中高端消费场景（如商超、高端电商、礼品市场），直接提高产品售价与利润率；同时，标准化的土壤培肥、节水灌溉、绿色防控流程，能减少肥料农药浪费、降低病虫害损失、节约水资源成本，进一步压缩生产开支，提升种植主体盈利空间。</w:t>
      </w:r>
    </w:p>
    <w:p w14:paraId="72E04723">
      <w:pPr>
        <w:ind w:firstLine="560"/>
        <w:rPr>
          <w:rFonts w:hint="eastAsia" w:ascii="Times New Roman" w:hAnsi="Times New Roman" w:cs="宋体"/>
          <w:sz w:val="28"/>
        </w:rPr>
      </w:pPr>
      <w:r>
        <w:rPr>
          <w:rFonts w:hint="eastAsia" w:ascii="Times New Roman" w:hAnsi="Times New Roman" w:cs="宋体"/>
          <w:sz w:val="28"/>
        </w:rPr>
        <w:t>对区域产业：“海南消费领域区域公共品牌”的规范化整合，可将分散的中小种植户、合作社聚合为“统一标准、统一品牌”的产业集群，吸引深加工、物流、文旅等产业链资源入驻，延长价值链（如发展果蔬加工、观光农业）；此外，严格的质量管控与可追溯体系能增强产品对外输出的可信度，助力海南热带特色种植产品（如芒果、凤梨、咖啡）拓展省外乃至国际市场，带动区域种植产业整体产值增长。</w:t>
      </w:r>
    </w:p>
    <w:p w14:paraId="3A2734DA">
      <w:pPr>
        <w:ind w:firstLine="560"/>
        <w:rPr>
          <w:rFonts w:hint="eastAsia" w:ascii="Times New Roman" w:hAnsi="Times New Roman" w:cs="宋体"/>
          <w:sz w:val="28"/>
        </w:rPr>
      </w:pPr>
      <w:r>
        <w:rPr>
          <w:rFonts w:hint="eastAsia" w:ascii="Times New Roman" w:hAnsi="Times New Roman" w:cs="宋体"/>
          <w:sz w:val="28"/>
        </w:rPr>
        <w:t>对市场流通：清晰的质量标准与检验要求，能降低采购商的筛选成本与质量风险，减少因品质参差不齐导致的退货、滞销问题；同时，标准化包装与运输规范可降低流通环节的损耗率（如减少果蔬挤压、腐坏），提高供应链效率，推动市场良性循环。</w:t>
      </w:r>
    </w:p>
    <w:p w14:paraId="5F1EF7E1">
      <w:pPr>
        <w:pStyle w:val="4"/>
        <w:rPr>
          <w:rFonts w:hint="eastAsia" w:ascii="Times New Roman" w:hAnsi="Times New Roman" w:cs="宋体"/>
          <w:b/>
          <w:sz w:val="30"/>
        </w:rPr>
      </w:pPr>
      <w:r>
        <w:rPr>
          <w:rFonts w:hint="eastAsia" w:ascii="Times New Roman" w:hAnsi="Times New Roman" w:cs="宋体"/>
          <w:b/>
          <w:sz w:val="30"/>
        </w:rPr>
        <w:t>2.社会效益：保障公众健康，稳定产业就业</w:t>
      </w:r>
    </w:p>
    <w:p w14:paraId="42185724">
      <w:pPr>
        <w:ind w:firstLine="560"/>
        <w:rPr>
          <w:rFonts w:hint="eastAsia" w:ascii="Times New Roman" w:hAnsi="Times New Roman" w:cs="宋体"/>
          <w:sz w:val="28"/>
        </w:rPr>
      </w:pPr>
      <w:r>
        <w:rPr>
          <w:rFonts w:hint="eastAsia" w:ascii="Times New Roman" w:hAnsi="Times New Roman" w:cs="宋体"/>
          <w:sz w:val="28"/>
        </w:rPr>
        <w:t>守护消费者餐桌安全：严格的环境要求（如远离污染源、土壤水质达标）、投入品管控（如化肥农药合规使用、遵守安全间隔期）及第三方检验要求，能从源头阻断污染物、农兽药残留超标的风险，确保种植农产品符合食品安全标准，直接保障公众饮食健康；统一的品牌标识也让消费者无需复杂辨别，即可快速选择优质产品，降低消费决策成本。</w:t>
      </w:r>
    </w:p>
    <w:p w14:paraId="3AD3E934">
      <w:pPr>
        <w:ind w:firstLine="560"/>
        <w:rPr>
          <w:rFonts w:hint="eastAsia" w:ascii="Times New Roman" w:hAnsi="Times New Roman" w:cs="宋体"/>
          <w:sz w:val="28"/>
        </w:rPr>
      </w:pPr>
      <w:r>
        <w:rPr>
          <w:rFonts w:hint="eastAsia" w:ascii="Times New Roman" w:hAnsi="Times New Roman" w:cs="宋体"/>
          <w:sz w:val="28"/>
        </w:rPr>
        <w:t>提升从业者素质与就业稳定性：标准对种植技术（如测土配方施肥、绿色防控）、人员卫生、记录管理的要求，会倒逼种植从业者学习专业技能，推动传统种植户向“懂技术、会管理”的新型职业农民转型；同时，标准化种植模式能提升产业抗风险能力（如减少病虫害爆发），保障种植产业就业岗位稳定，甚至吸引返乡青年、专业人才加入，优化从业者结构。</w:t>
      </w:r>
    </w:p>
    <w:p w14:paraId="4857E012">
      <w:pPr>
        <w:ind w:firstLine="560"/>
        <w:rPr>
          <w:rFonts w:hint="eastAsia" w:ascii="Times New Roman" w:hAnsi="Times New Roman" w:cs="宋体"/>
          <w:sz w:val="28"/>
        </w:rPr>
      </w:pPr>
      <w:r>
        <w:rPr>
          <w:rFonts w:hint="eastAsia" w:ascii="Times New Roman" w:hAnsi="Times New Roman" w:cs="宋体"/>
          <w:sz w:val="28"/>
        </w:rPr>
        <w:t>增强社会信任与品牌认同：“品牌认证+全流程追溯”的双重保障，能减少市场信息不对称，让消费者、采购方对海南种植产品形成“安全、优质”的稳定预期，逐步建立社会对海南本土种植品牌的信任度，进而提升区域品牌的知名度与美誉度。</w:t>
      </w:r>
    </w:p>
    <w:p w14:paraId="01E226A4">
      <w:pPr>
        <w:pStyle w:val="4"/>
        <w:rPr>
          <w:rFonts w:hint="eastAsia" w:ascii="Times New Roman" w:hAnsi="Times New Roman" w:cs="宋体"/>
          <w:b/>
          <w:sz w:val="30"/>
        </w:rPr>
      </w:pPr>
      <w:r>
        <w:rPr>
          <w:rFonts w:hint="eastAsia" w:ascii="Times New Roman" w:hAnsi="Times New Roman" w:cs="宋体"/>
          <w:b/>
          <w:sz w:val="30"/>
        </w:rPr>
        <w:t>3.生态效益：推动绿色种植，守护区域生态</w:t>
      </w:r>
    </w:p>
    <w:p w14:paraId="5BF10624">
      <w:pPr>
        <w:ind w:firstLine="560"/>
        <w:rPr>
          <w:rFonts w:hint="eastAsia" w:ascii="Times New Roman" w:hAnsi="Times New Roman" w:cs="宋体"/>
          <w:sz w:val="28"/>
        </w:rPr>
      </w:pPr>
      <w:r>
        <w:rPr>
          <w:rFonts w:hint="eastAsia" w:ascii="Times New Roman" w:hAnsi="Times New Roman" w:cs="宋体"/>
          <w:sz w:val="28"/>
        </w:rPr>
        <w:t>减少农业面源污染：标准要求“有机肥为主、化肥为辅”“优先绿色防控”“禁用高风险农药”，能大幅降低化肥农药过量使用导致的土壤板结、水体富营养化（如农田退水污染）；同时，严格的灌溉规范（如推广滴灌喷灌）可减少水资源浪费，缓解海南部分区域的水资源压力，降低农业生产对生态环境的破坏。</w:t>
      </w:r>
    </w:p>
    <w:p w14:paraId="4885857F">
      <w:pPr>
        <w:ind w:firstLine="560"/>
        <w:rPr>
          <w:rFonts w:hint="eastAsia" w:ascii="Times New Roman" w:hAnsi="Times New Roman" w:cs="宋体"/>
          <w:sz w:val="28"/>
        </w:rPr>
      </w:pPr>
      <w:r>
        <w:rPr>
          <w:rFonts w:hint="eastAsia" w:ascii="Times New Roman" w:hAnsi="Times New Roman" w:cs="宋体"/>
          <w:sz w:val="28"/>
        </w:rPr>
        <w:t>维护土壤与生态系统健康：通过休耕、轮作、秸秆还田、种植绿肥等标准化土壤培肥措施，能提升土壤有机质含量，改善土壤结构，避免长期连作导致的土壤退化；此外，“创造利于天敌繁衍的环境”“维护农业生态平衡”的要求，能保护田间生物多样性（如害虫天敌、传粉昆虫），维持区域生态系统的稳定性。</w:t>
      </w:r>
    </w:p>
    <w:p w14:paraId="6DB44763">
      <w:pPr>
        <w:ind w:firstLine="560"/>
        <w:rPr>
          <w:rFonts w:hint="eastAsia" w:ascii="Times New Roman" w:hAnsi="Times New Roman" w:cs="宋体"/>
          <w:sz w:val="28"/>
        </w:rPr>
      </w:pPr>
      <w:r>
        <w:rPr>
          <w:rFonts w:hint="eastAsia" w:ascii="Times New Roman" w:hAnsi="Times New Roman" w:cs="宋体"/>
          <w:sz w:val="28"/>
        </w:rPr>
        <w:t>助力“低碳农业”发展：标准倡导的节水灌溉、有机肥替代化肥、绿色防控等措施，能减少农业生产过程中的能源消耗（如化肥生产能耗）与碳排放；同时，标准化的废弃物管理（如秸秆还田、农药包装回收）可降低农业垃圾污染，推动种植产业向“低碳、循环”模式转型，契合海南省生态建设目标。</w:t>
      </w:r>
    </w:p>
    <w:p w14:paraId="0D2357F4">
      <w:pPr>
        <w:pStyle w:val="3"/>
        <w:rPr>
          <w:rFonts w:ascii="Times New Roman" w:hAnsi="Times New Roman" w:eastAsia="仿宋"/>
          <w:sz w:val="30"/>
        </w:rPr>
      </w:pPr>
      <w:r>
        <w:rPr>
          <w:rFonts w:ascii="Times New Roman" w:hAnsi="Times New Roman" w:eastAsia="仿宋"/>
          <w:sz w:val="30"/>
        </w:rPr>
        <w:t>（十）其他应予说明的事项</w:t>
      </w:r>
    </w:p>
    <w:p w14:paraId="347A4DC7">
      <w:pPr>
        <w:ind w:firstLine="560"/>
        <w:rPr>
          <w:rFonts w:hint="eastAsia" w:ascii="Times New Roman" w:hAnsi="Times New Roman" w:cs="宋体"/>
          <w:sz w:val="28"/>
        </w:rPr>
      </w:pPr>
      <w:r>
        <w:rPr>
          <w:rFonts w:hint="eastAsia" w:ascii="Times New Roman" w:hAnsi="Times New Roman" w:cs="宋体"/>
          <w:sz w:val="28"/>
        </w:rPr>
        <w:t>无。</w:t>
      </w:r>
    </w:p>
    <w:sectPr>
      <w:headerReference r:id="rId7" w:type="first"/>
      <w:footerReference r:id="rId10" w:type="first"/>
      <w:headerReference r:id="rId5" w:type="default"/>
      <w:footerReference r:id="rId8" w:type="default"/>
      <w:headerReference r:id="rId6" w:type="even"/>
      <w:footerReference r:id="rId9" w:type="even"/>
      <w:pgSz w:w="11910" w:h="16840"/>
      <w:pgMar w:top="1440" w:right="1531" w:bottom="1440" w:left="1531" w:header="0" w:footer="0" w:gutter="0"/>
      <w:cols w:space="720" w:num="1"/>
      <w:docGrid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AE149">
    <w:pPr>
      <w:pStyle w:val="5"/>
      <w:spacing w:line="14" w:lineRule="auto"/>
      <w:ind w:left="0" w:firstLine="40"/>
      <w:rPr>
        <w:rFonts w:hint="eastAsia"/>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3AE5">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C000E">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DABE8">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24D72">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65D1D">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720"/>
  <w:evenAndOddHeaders w:val="1"/>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A5E"/>
    <w:rsid w:val="00031498"/>
    <w:rsid w:val="00094349"/>
    <w:rsid w:val="001104D7"/>
    <w:rsid w:val="00124118"/>
    <w:rsid w:val="001F611D"/>
    <w:rsid w:val="00210530"/>
    <w:rsid w:val="0029007F"/>
    <w:rsid w:val="00291AC7"/>
    <w:rsid w:val="002B310A"/>
    <w:rsid w:val="003D6817"/>
    <w:rsid w:val="004D6ACF"/>
    <w:rsid w:val="005A27BA"/>
    <w:rsid w:val="006413FB"/>
    <w:rsid w:val="007A4DD8"/>
    <w:rsid w:val="00847CE6"/>
    <w:rsid w:val="00877A06"/>
    <w:rsid w:val="008925E3"/>
    <w:rsid w:val="008F186C"/>
    <w:rsid w:val="0097706D"/>
    <w:rsid w:val="00A63B9B"/>
    <w:rsid w:val="00AD0DDB"/>
    <w:rsid w:val="00AE3526"/>
    <w:rsid w:val="00B120B8"/>
    <w:rsid w:val="00B8624E"/>
    <w:rsid w:val="00BF1A69"/>
    <w:rsid w:val="00C32551"/>
    <w:rsid w:val="00C53A5E"/>
    <w:rsid w:val="00CF5BFC"/>
    <w:rsid w:val="00D00B9E"/>
    <w:rsid w:val="00DF3D9D"/>
    <w:rsid w:val="00EA63B4"/>
    <w:rsid w:val="00FD3BF3"/>
    <w:rsid w:val="00FF203B"/>
    <w:rsid w:val="099157DA"/>
    <w:rsid w:val="1DE234DF"/>
    <w:rsid w:val="317D4740"/>
    <w:rsid w:val="390C1970"/>
    <w:rsid w:val="4B391307"/>
    <w:rsid w:val="5EC22A68"/>
    <w:rsid w:val="792F6C5F"/>
    <w:rsid w:val="7F4F5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ind w:firstLine="200" w:firstLineChars="200"/>
    </w:pPr>
    <w:rPr>
      <w:rFonts w:ascii="Times New Roman" w:hAnsi="Times New Roman" w:eastAsia="仿宋" w:cs="宋体"/>
      <w:sz w:val="32"/>
      <w:szCs w:val="22"/>
      <w:lang w:val="en-US" w:eastAsia="zh-CN" w:bidi="ar-SA"/>
    </w:rPr>
  </w:style>
  <w:style w:type="paragraph" w:styleId="2">
    <w:name w:val="heading 1"/>
    <w:basedOn w:val="1"/>
    <w:qFormat/>
    <w:uiPriority w:val="1"/>
    <w:pPr>
      <w:ind w:firstLine="0" w:firstLineChars="0"/>
      <w:outlineLvl w:val="0"/>
    </w:pPr>
    <w:rPr>
      <w:rFonts w:eastAsia="黑体" w:cs="Microsoft JhengHei"/>
      <w:b/>
      <w:bCs/>
      <w:szCs w:val="32"/>
    </w:rPr>
  </w:style>
  <w:style w:type="paragraph" w:styleId="3">
    <w:name w:val="heading 2"/>
    <w:basedOn w:val="1"/>
    <w:next w:val="1"/>
    <w:link w:val="14"/>
    <w:unhideWhenUsed/>
    <w:qFormat/>
    <w:uiPriority w:val="9"/>
    <w:pPr>
      <w:keepNext/>
      <w:keepLines/>
      <w:ind w:firstLine="0" w:firstLineChars="0"/>
      <w:outlineLvl w:val="1"/>
    </w:pPr>
    <w:rPr>
      <w:rFonts w:eastAsia="楷体" w:cstheme="majorBidi"/>
      <w:b/>
      <w:bCs/>
      <w:szCs w:val="32"/>
    </w:rPr>
  </w:style>
  <w:style w:type="paragraph" w:styleId="4">
    <w:name w:val="heading 3"/>
    <w:basedOn w:val="1"/>
    <w:next w:val="1"/>
    <w:link w:val="15"/>
    <w:unhideWhenUsed/>
    <w:qFormat/>
    <w:uiPriority w:val="9"/>
    <w:pPr>
      <w:keepNext/>
      <w:keepLines/>
      <w:ind w:firstLine="0" w:firstLineChars="0"/>
      <w:outlineLvl w:val="2"/>
    </w:pPr>
    <w:rPr>
      <w:bCs/>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pPr>
      <w:ind w:left="406"/>
    </w:pPr>
    <w:rPr>
      <w:rFonts w:ascii="宋体" w:hAnsi="宋体" w:eastAsia="宋体"/>
      <w:szCs w:val="32"/>
    </w:rPr>
  </w:style>
  <w:style w:type="paragraph" w:styleId="6">
    <w:name w:val="footer"/>
    <w:basedOn w:val="1"/>
    <w:link w:val="17"/>
    <w:unhideWhenUsed/>
    <w:qFormat/>
    <w:uiPriority w:val="99"/>
    <w:pPr>
      <w:tabs>
        <w:tab w:val="center" w:pos="4153"/>
        <w:tab w:val="right" w:pos="8306"/>
      </w:tabs>
      <w:snapToGrid w:val="0"/>
    </w:pPr>
    <w:rPr>
      <w:sz w:val="18"/>
      <w:szCs w:val="18"/>
    </w:rPr>
  </w:style>
  <w:style w:type="paragraph" w:styleId="7">
    <w:name w:val="header"/>
    <w:basedOn w:val="1"/>
    <w:link w:val="16"/>
    <w:unhideWhenUsed/>
    <w:qFormat/>
    <w:uiPriority w:val="99"/>
    <w:pPr>
      <w:tabs>
        <w:tab w:val="center" w:pos="4153"/>
        <w:tab w:val="right" w:pos="8306"/>
      </w:tabs>
      <w:snapToGrid w:val="0"/>
      <w:jc w:val="center"/>
    </w:pPr>
    <w:rPr>
      <w:sz w:val="18"/>
      <w:szCs w:val="18"/>
    </w:rPr>
  </w:style>
  <w:style w:type="paragraph" w:styleId="8">
    <w:name w:val="Title"/>
    <w:basedOn w:val="1"/>
    <w:qFormat/>
    <w:uiPriority w:val="1"/>
    <w:pPr>
      <w:ind w:left="994" w:right="1019"/>
      <w:jc w:val="center"/>
    </w:pPr>
    <w:rPr>
      <w:rFonts w:ascii="宋体" w:hAnsi="宋体" w:eastAsia="宋体"/>
      <w:sz w:val="44"/>
      <w:szCs w:val="44"/>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spacing w:before="161"/>
      <w:ind w:left="1527" w:hanging="481"/>
    </w:pPr>
    <w:rPr>
      <w:rFonts w:ascii="宋体" w:hAnsi="宋体" w:eastAsia="宋体"/>
    </w:rPr>
  </w:style>
  <w:style w:type="paragraph" w:customStyle="1" w:styleId="13">
    <w:name w:val="Table Paragraph"/>
    <w:basedOn w:val="1"/>
    <w:qFormat/>
    <w:uiPriority w:val="1"/>
    <w:rPr>
      <w:rFonts w:ascii="宋体" w:hAnsi="宋体" w:eastAsia="宋体"/>
    </w:rPr>
  </w:style>
  <w:style w:type="character" w:customStyle="1" w:styleId="14">
    <w:name w:val="标题 2 字符"/>
    <w:basedOn w:val="10"/>
    <w:link w:val="3"/>
    <w:qFormat/>
    <w:uiPriority w:val="9"/>
    <w:rPr>
      <w:rFonts w:ascii="Times New Roman" w:hAnsi="Times New Roman" w:eastAsia="楷体" w:cstheme="majorBidi"/>
      <w:b/>
      <w:bCs/>
      <w:sz w:val="32"/>
      <w:szCs w:val="32"/>
      <w:lang w:eastAsia="zh-CN"/>
    </w:rPr>
  </w:style>
  <w:style w:type="character" w:customStyle="1" w:styleId="15">
    <w:name w:val="标题 3 字符"/>
    <w:basedOn w:val="10"/>
    <w:link w:val="4"/>
    <w:qFormat/>
    <w:uiPriority w:val="9"/>
    <w:rPr>
      <w:rFonts w:ascii="Times New Roman" w:hAnsi="Times New Roman" w:eastAsia="仿宋" w:cs="宋体"/>
      <w:bCs/>
      <w:sz w:val="32"/>
      <w:szCs w:val="32"/>
      <w:lang w:eastAsia="zh-CN"/>
    </w:rPr>
  </w:style>
  <w:style w:type="character" w:customStyle="1" w:styleId="16">
    <w:name w:val="页眉 字符"/>
    <w:basedOn w:val="10"/>
    <w:link w:val="7"/>
    <w:qFormat/>
    <w:uiPriority w:val="99"/>
    <w:rPr>
      <w:rFonts w:ascii="Times New Roman" w:hAnsi="Times New Roman" w:eastAsia="仿宋" w:cs="宋体"/>
      <w:sz w:val="18"/>
      <w:szCs w:val="18"/>
      <w:lang w:eastAsia="zh-CN"/>
    </w:rPr>
  </w:style>
  <w:style w:type="character" w:customStyle="1" w:styleId="17">
    <w:name w:val="页脚 字符"/>
    <w:basedOn w:val="10"/>
    <w:link w:val="6"/>
    <w:qFormat/>
    <w:uiPriority w:val="99"/>
    <w:rPr>
      <w:rFonts w:ascii="Times New Roman" w:hAnsi="Times New Roman" w:eastAsia="仿宋" w:cs="宋体"/>
      <w:sz w:val="18"/>
      <w:szCs w:val="18"/>
      <w:lang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611E6-568C-4392-983C-A3076CE532A0}">
  <ds:schemaRefs/>
</ds:datastoreItem>
</file>

<file path=docProps/app.xml><?xml version="1.0" encoding="utf-8"?>
<Properties xmlns="http://schemas.openxmlformats.org/officeDocument/2006/extended-properties" xmlns:vt="http://schemas.openxmlformats.org/officeDocument/2006/docPropsVTypes">
  <Template>Normal</Template>
  <Pages>8</Pages>
  <Words>5680</Words>
  <Characters>5868</Characters>
  <Lines>153</Lines>
  <Paragraphs>190</Paragraphs>
  <TotalTime>54</TotalTime>
  <ScaleCrop>false</ScaleCrop>
  <LinksUpToDate>false</LinksUpToDate>
  <CharactersWithSpaces>5868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2023-11-13T06:43:00Z</dcterms:created>
  <dc:creator>Microsoft</dc:creator>
  <cp:lastModifiedBy>菲儿</cp:lastModifiedBy>
  <dcterms:modified xsi:type="dcterms:W3CDTF">2025-11-10T09:13:13Z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2023-09-05T00:00:00Z</vt:filetime>
  </property>
  <property fmtid="{D5CDD505-2E9C-101B-9397-08002B2CF9AE}" pid="3" name="Creator">
    <vt:lpwstr>WPS 文字</vt:lpwstr>
  </property>
  <property fmtid="{D5CDD505-2E9C-101B-9397-08002B2CF9AE}" pid="4" name="LastSaved">
    <vt:filetime>2023-09-12T00:00:00Z</vt:filetime>
  </property>
  <property fmtid="{D5CDD505-2E9C-101B-9397-08002B2CF9AE}" pid="5" name="SourceModified">
    <vt:lpwstr>D:20230905162248+08'22'</vt:lpwstr>
  </property>
  <property fmtid="{D5CDD505-2E9C-101B-9397-08002B2CF9AE}" pid="6" name="KSOTemplateDocerSaveRecord">
    <vt:lpwstr>eyJoZGlkIjoiN2E5ZGE4MTMwMzdjOGVkZDZlN2Y5OWNiNTFkZThjNjIiLCJ1c2VySWQiOiI0NjkzMTgyMjcifQ==</vt:lpwstr>
  </property>
  <property fmtid="{D5CDD505-2E9C-101B-9397-08002B2CF9AE}" pid="7" name="KSOProductBuildVer">
    <vt:lpwstr>2052-12.1.0.23125</vt:lpwstr>
  </property>
  <property fmtid="{D5CDD505-2E9C-101B-9397-08002B2CF9AE}" pid="8" name="ICV">
    <vt:lpwstr>FB05C60291414F6D9DF95E5341D0CBC0_12</vt:lpwstr>
  </property>
</Properties>
</file>