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D1FF1">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《海南消费领域区域公共品牌通用要求 农食产品》</w:t>
      </w:r>
    </w:p>
    <w:p w14:paraId="3F2DEC06">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rFonts w:hint="eastAsia"/>
          <w:sz w:val="62"/>
        </w:rPr>
      </w:pPr>
    </w:p>
    <w:p w14:paraId="0D80B864">
      <w:pPr>
        <w:pStyle w:val="2"/>
        <w:rPr>
          <w:rFonts w:ascii="Times New Roman" w:hAnsi="Times New Roman" w:eastAsia="仿宋"/>
          <w:sz w:val="30"/>
        </w:rPr>
      </w:pPr>
      <w:r>
        <w:rPr>
          <w:rFonts w:ascii="Times New Roman" w:hAnsi="Times New Roman" w:eastAsia="仿宋"/>
          <w:sz w:val="30"/>
        </w:rPr>
        <w:t>一、项目简况</w:t>
      </w:r>
    </w:p>
    <w:p w14:paraId="1E2E948B">
      <w:pPr>
        <w:pStyle w:val="2"/>
        <w:rPr>
          <w:rFonts w:ascii="Times New Roman" w:hAnsi="Times New Roman" w:eastAsia="仿宋"/>
          <w:sz w:val="30"/>
        </w:rPr>
      </w:pPr>
      <w:r>
        <w:rPr>
          <w:rFonts w:ascii="Times New Roman" w:hAnsi="Times New Roman" w:eastAsia="仿宋"/>
          <w:sz w:val="30"/>
        </w:rPr>
        <w:t>（一）标准名称：</w:t>
      </w:r>
      <w:r>
        <w:rPr>
          <w:rFonts w:ascii="Times New Roman" w:hAnsi="Times New Roman" w:eastAsia="仿宋"/>
          <w:b w:val="0"/>
          <w:bCs w:val="0"/>
          <w:sz w:val="30"/>
        </w:rPr>
        <w:t>《</w:t>
      </w:r>
      <w:r>
        <w:rPr>
          <w:rFonts w:hint="eastAsia" w:ascii="Times New Roman" w:hAnsi="Times New Roman" w:eastAsia="仿宋"/>
          <w:b w:val="0"/>
          <w:bCs w:val="0"/>
          <w:sz w:val="30"/>
        </w:rPr>
        <w:t>海南消费领域区域公共品牌通用要求农食产品</w:t>
      </w:r>
      <w:r>
        <w:rPr>
          <w:rFonts w:ascii="Times New Roman" w:hAnsi="Times New Roman" w:eastAsia="仿宋"/>
          <w:b w:val="0"/>
          <w:bCs w:val="0"/>
          <w:sz w:val="30"/>
        </w:rPr>
        <w:t>》</w:t>
      </w:r>
    </w:p>
    <w:p w14:paraId="7C056585">
      <w:pPr>
        <w:pStyle w:val="2"/>
        <w:rPr>
          <w:rFonts w:ascii="Times New Roman" w:hAnsi="Times New Roman" w:eastAsia="仿宋"/>
          <w:b w:val="0"/>
          <w:bCs w:val="0"/>
          <w:sz w:val="30"/>
        </w:rPr>
      </w:pPr>
      <w:r>
        <w:rPr>
          <w:rFonts w:ascii="Times New Roman" w:hAnsi="Times New Roman" w:eastAsia="仿宋"/>
          <w:sz w:val="30"/>
        </w:rPr>
        <w:t>（二）任务来源（项目计划号）：</w:t>
      </w:r>
      <w:r>
        <w:rPr>
          <w:rFonts w:ascii="Times New Roman" w:hAnsi="Times New Roman" w:eastAsia="仿宋"/>
          <w:b w:val="0"/>
          <w:bCs w:val="0"/>
          <w:sz w:val="30"/>
        </w:rPr>
        <w:t>HNQA-2025-T08</w:t>
      </w:r>
    </w:p>
    <w:p w14:paraId="76149507">
      <w:pPr>
        <w:pStyle w:val="2"/>
        <w:rPr>
          <w:rFonts w:hint="eastAsia" w:ascii="Times New Roman" w:hAnsi="Times New Roman" w:eastAsia="仿宋"/>
          <w:sz w:val="30"/>
          <w:lang w:eastAsia="zh-CN"/>
        </w:rPr>
      </w:pPr>
      <w:r>
        <w:rPr>
          <w:rFonts w:ascii="Times New Roman" w:hAnsi="Times New Roman" w:eastAsia="仿宋"/>
          <w:sz w:val="30"/>
        </w:rPr>
        <w:t>（三）起草单位：</w:t>
      </w:r>
      <w:r>
        <w:rPr>
          <w:rFonts w:hint="eastAsia" w:ascii="Times New Roman" w:hAnsi="Times New Roman" w:eastAsia="仿宋"/>
          <w:b w:val="0"/>
          <w:bCs w:val="0"/>
          <w:sz w:val="30"/>
        </w:rPr>
        <w:t>方圆标志认证集团有限公司</w:t>
      </w:r>
      <w:r>
        <w:rPr>
          <w:rFonts w:hint="eastAsia" w:ascii="Times New Roman" w:hAnsi="Times New Roman" w:eastAsia="仿宋"/>
          <w:b w:val="0"/>
          <w:bCs w:val="0"/>
          <w:sz w:val="30"/>
          <w:lang w:eastAsia="zh-CN"/>
        </w:rPr>
        <w:t>。</w:t>
      </w:r>
    </w:p>
    <w:p w14:paraId="7F153634">
      <w:pPr>
        <w:pStyle w:val="2"/>
        <w:rPr>
          <w:rFonts w:ascii="Times New Roman" w:hAnsi="Times New Roman" w:eastAsia="仿宋"/>
          <w:sz w:val="30"/>
        </w:rPr>
      </w:pPr>
      <w:r>
        <w:rPr>
          <w:rFonts w:ascii="Times New Roman" w:hAnsi="Times New Roman" w:eastAsia="仿宋"/>
          <w:sz w:val="30"/>
        </w:rPr>
        <w:t>（四）单位地址：</w:t>
      </w:r>
      <w:r>
        <w:rPr>
          <w:rFonts w:hint="eastAsia" w:ascii="Times New Roman" w:hAnsi="Times New Roman" w:eastAsia="仿宋"/>
          <w:b w:val="0"/>
          <w:bCs w:val="0"/>
          <w:sz w:val="30"/>
        </w:rPr>
        <w:t>北京市海淀区增光路33号</w:t>
      </w:r>
      <w:r>
        <w:rPr>
          <w:rFonts w:hint="eastAsia" w:ascii="Times New Roman" w:hAnsi="Times New Roman" w:eastAsia="仿宋"/>
          <w:b w:val="0"/>
          <w:bCs w:val="0"/>
          <w:sz w:val="30"/>
          <w:lang w:eastAsia="zh-CN"/>
        </w:rPr>
        <w:t>。</w:t>
      </w:r>
    </w:p>
    <w:p w14:paraId="37CBE43B">
      <w:pPr>
        <w:pStyle w:val="2"/>
        <w:rPr>
          <w:rFonts w:hint="eastAsia" w:ascii="Times New Roman" w:hAnsi="Times New Roman" w:eastAsia="仿宋"/>
          <w:sz w:val="30"/>
          <w:lang w:val="en-US" w:eastAsia="zh-CN"/>
        </w:rPr>
      </w:pPr>
      <w:r>
        <w:rPr>
          <w:rFonts w:ascii="Times New Roman" w:hAnsi="Times New Roman" w:eastAsia="仿宋"/>
          <w:sz w:val="30"/>
        </w:rPr>
        <w:t>（五）参与起草单位：</w:t>
      </w:r>
    </w:p>
    <w:p w14:paraId="1860AE93">
      <w:pPr>
        <w:pStyle w:val="2"/>
        <w:rPr>
          <w:rFonts w:ascii="Times New Roman" w:hAnsi="Times New Roman" w:eastAsia="仿宋"/>
          <w:sz w:val="30"/>
        </w:rPr>
      </w:pPr>
      <w:r>
        <w:rPr>
          <w:rFonts w:ascii="Times New Roman" w:hAnsi="Times New Roman" w:eastAsia="仿宋"/>
          <w:sz w:val="30"/>
        </w:rPr>
        <w:t>（六）标准起草人：</w:t>
      </w:r>
    </w:p>
    <w:p w14:paraId="5015FFB7">
      <w:pPr>
        <w:ind w:firstLine="0" w:firstLineChars="0"/>
        <w:jc w:val="center"/>
        <w:rPr>
          <w:rFonts w:hint="eastAsia" w:ascii="Times New Roman" w:hAnsi="Times New Roman" w:cs="宋体"/>
          <w:sz w:val="28"/>
          <w:szCs w:val="28"/>
        </w:rPr>
      </w:pPr>
      <w:r>
        <w:rPr>
          <w:rFonts w:hint="eastAsia" w:ascii="Times New Roman" w:hAnsi="Times New Roman" w:cs="宋体"/>
          <w:sz w:val="28"/>
          <w:szCs w:val="28"/>
        </w:rPr>
        <w:t>表1</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标准起草人</w:t>
      </w:r>
    </w:p>
    <w:p w14:paraId="76FFDFCD">
      <w:pPr>
        <w:pStyle w:val="5"/>
        <w:spacing w:before="10"/>
        <w:ind w:left="0" w:firstLine="140"/>
        <w:rPr>
          <w:rFonts w:hint="eastAsia"/>
          <w:sz w:val="7"/>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4"/>
        <w:gridCol w:w="1133"/>
        <w:gridCol w:w="1717"/>
        <w:gridCol w:w="904"/>
        <w:gridCol w:w="873"/>
        <w:gridCol w:w="2935"/>
        <w:gridCol w:w="1319"/>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5139B0E2">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序号</w:t>
            </w:r>
          </w:p>
        </w:tc>
        <w:tc>
          <w:tcPr>
            <w:tcW w:w="588" w:type="pct"/>
            <w:vAlign w:val="center"/>
          </w:tcPr>
          <w:p w14:paraId="2D43C038">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姓名</w:t>
            </w:r>
          </w:p>
        </w:tc>
        <w:tc>
          <w:tcPr>
            <w:tcW w:w="891" w:type="pct"/>
            <w:vAlign w:val="center"/>
          </w:tcPr>
          <w:p w14:paraId="1B31F053">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单位</w:t>
            </w:r>
          </w:p>
        </w:tc>
        <w:tc>
          <w:tcPr>
            <w:tcW w:w="469" w:type="pct"/>
            <w:vAlign w:val="center"/>
          </w:tcPr>
          <w:p w14:paraId="65DD5AAB">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职务</w:t>
            </w:r>
          </w:p>
        </w:tc>
        <w:tc>
          <w:tcPr>
            <w:tcW w:w="453" w:type="pct"/>
            <w:vAlign w:val="center"/>
          </w:tcPr>
          <w:p w14:paraId="77EC4D00">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职称</w:t>
            </w:r>
          </w:p>
        </w:tc>
        <w:tc>
          <w:tcPr>
            <w:tcW w:w="1523" w:type="pct"/>
            <w:vAlign w:val="center"/>
          </w:tcPr>
          <w:p w14:paraId="3F52F502">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任务分工</w:t>
            </w:r>
          </w:p>
        </w:tc>
        <w:tc>
          <w:tcPr>
            <w:tcW w:w="684" w:type="pct"/>
            <w:vAlign w:val="center"/>
          </w:tcPr>
          <w:p w14:paraId="6C8E18E1">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70ED984C">
            <w:pPr>
              <w:pStyle w:val="13"/>
              <w:spacing w:before="74"/>
              <w:ind w:firstLine="0" w:firstLineChars="0"/>
              <w:jc w:val="center"/>
              <w:rPr>
                <w:rFonts w:hint="eastAsia" w:ascii="仿宋" w:hAnsi="仿宋" w:eastAsia="仿宋"/>
                <w:sz w:val="24"/>
              </w:rPr>
            </w:pPr>
            <w:r>
              <w:rPr>
                <w:rFonts w:ascii="仿宋" w:hAnsi="仿宋" w:eastAsia="仿宋"/>
                <w:sz w:val="24"/>
              </w:rPr>
              <w:t>1</w:t>
            </w:r>
          </w:p>
        </w:tc>
        <w:tc>
          <w:tcPr>
            <w:tcW w:w="588" w:type="pct"/>
            <w:vAlign w:val="center"/>
          </w:tcPr>
          <w:p w14:paraId="65F8A16E">
            <w:pPr>
              <w:pStyle w:val="13"/>
              <w:spacing w:before="74"/>
              <w:ind w:firstLine="0" w:firstLineChars="0"/>
              <w:jc w:val="center"/>
              <w:rPr>
                <w:rFonts w:hint="eastAsia" w:ascii="仿宋" w:hAnsi="仿宋" w:eastAsia="仿宋"/>
                <w:sz w:val="24"/>
              </w:rPr>
            </w:pPr>
          </w:p>
        </w:tc>
        <w:tc>
          <w:tcPr>
            <w:tcW w:w="891" w:type="pct"/>
            <w:vAlign w:val="center"/>
          </w:tcPr>
          <w:p w14:paraId="0E55E2B0">
            <w:pPr>
              <w:pStyle w:val="13"/>
              <w:spacing w:before="3" w:line="290" w:lineRule="exact"/>
              <w:ind w:firstLine="0" w:firstLineChars="0"/>
              <w:jc w:val="center"/>
              <w:rPr>
                <w:rFonts w:hint="eastAsia" w:ascii="仿宋" w:hAnsi="仿宋" w:eastAsia="仿宋"/>
                <w:sz w:val="24"/>
              </w:rPr>
            </w:pPr>
          </w:p>
        </w:tc>
        <w:tc>
          <w:tcPr>
            <w:tcW w:w="469" w:type="pct"/>
            <w:vAlign w:val="center"/>
          </w:tcPr>
          <w:p w14:paraId="0FE638BB">
            <w:pPr>
              <w:pStyle w:val="13"/>
              <w:spacing w:before="74"/>
              <w:ind w:firstLine="0" w:firstLineChars="0"/>
              <w:jc w:val="center"/>
              <w:rPr>
                <w:rFonts w:hint="eastAsia" w:ascii="仿宋" w:hAnsi="仿宋" w:eastAsia="仿宋"/>
                <w:sz w:val="24"/>
              </w:rPr>
            </w:pPr>
          </w:p>
        </w:tc>
        <w:tc>
          <w:tcPr>
            <w:tcW w:w="453" w:type="pct"/>
            <w:vAlign w:val="center"/>
          </w:tcPr>
          <w:p w14:paraId="0E1B19A8">
            <w:pPr>
              <w:pStyle w:val="13"/>
              <w:ind w:firstLine="0" w:firstLineChars="0"/>
              <w:jc w:val="center"/>
              <w:rPr>
                <w:rFonts w:hint="eastAsia" w:ascii="仿宋" w:hAnsi="仿宋" w:eastAsia="仿宋"/>
                <w:sz w:val="30"/>
              </w:rPr>
            </w:pPr>
          </w:p>
        </w:tc>
        <w:tc>
          <w:tcPr>
            <w:tcW w:w="1523" w:type="pct"/>
            <w:vAlign w:val="center"/>
          </w:tcPr>
          <w:p w14:paraId="40B3EC97">
            <w:pPr>
              <w:pStyle w:val="13"/>
              <w:spacing w:before="74"/>
              <w:ind w:firstLine="0" w:firstLineChars="0"/>
              <w:jc w:val="center"/>
              <w:rPr>
                <w:rFonts w:hint="eastAsia" w:ascii="仿宋" w:hAnsi="仿宋" w:eastAsia="仿宋"/>
                <w:sz w:val="24"/>
              </w:rPr>
            </w:pPr>
          </w:p>
        </w:tc>
        <w:tc>
          <w:tcPr>
            <w:tcW w:w="684" w:type="pct"/>
            <w:vAlign w:val="center"/>
          </w:tcPr>
          <w:p w14:paraId="51883D4A">
            <w:pPr>
              <w:pStyle w:val="13"/>
              <w:ind w:firstLine="0" w:firstLineChars="0"/>
              <w:jc w:val="center"/>
              <w:rPr>
                <w:rFonts w:hint="eastAsia" w:ascii="仿宋" w:hAnsi="仿宋" w:eastAsia="仿宋"/>
                <w:sz w:val="30"/>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391" w:type="pct"/>
            <w:vAlign w:val="center"/>
          </w:tcPr>
          <w:p w14:paraId="1B2B4F03">
            <w:pPr>
              <w:pStyle w:val="13"/>
              <w:spacing w:before="83"/>
              <w:ind w:firstLine="0" w:firstLineChars="0"/>
              <w:jc w:val="center"/>
              <w:rPr>
                <w:rFonts w:hint="eastAsia" w:ascii="仿宋" w:hAnsi="仿宋" w:eastAsia="仿宋"/>
                <w:sz w:val="24"/>
              </w:rPr>
            </w:pPr>
            <w:r>
              <w:rPr>
                <w:rFonts w:ascii="仿宋" w:hAnsi="仿宋" w:eastAsia="仿宋"/>
                <w:sz w:val="24"/>
              </w:rPr>
              <w:t>2</w:t>
            </w:r>
          </w:p>
        </w:tc>
        <w:tc>
          <w:tcPr>
            <w:tcW w:w="588" w:type="pct"/>
            <w:vAlign w:val="center"/>
          </w:tcPr>
          <w:p w14:paraId="6782EEFE">
            <w:pPr>
              <w:pStyle w:val="13"/>
              <w:spacing w:before="83"/>
              <w:ind w:firstLine="0" w:firstLineChars="0"/>
              <w:jc w:val="center"/>
              <w:rPr>
                <w:rFonts w:hint="eastAsia" w:ascii="仿宋" w:hAnsi="仿宋" w:eastAsia="仿宋"/>
                <w:sz w:val="24"/>
              </w:rPr>
            </w:pPr>
          </w:p>
        </w:tc>
        <w:tc>
          <w:tcPr>
            <w:tcW w:w="891" w:type="pct"/>
            <w:vAlign w:val="center"/>
          </w:tcPr>
          <w:p w14:paraId="25177C5D">
            <w:pPr>
              <w:pStyle w:val="13"/>
              <w:spacing w:before="3" w:line="290" w:lineRule="exact"/>
              <w:ind w:firstLine="0" w:firstLineChars="0"/>
              <w:jc w:val="center"/>
              <w:rPr>
                <w:rFonts w:ascii="仿宋" w:hAnsi="仿宋" w:eastAsia="仿宋"/>
              </w:rPr>
            </w:pPr>
          </w:p>
        </w:tc>
        <w:tc>
          <w:tcPr>
            <w:tcW w:w="469" w:type="pct"/>
            <w:vAlign w:val="center"/>
          </w:tcPr>
          <w:p w14:paraId="110AB974">
            <w:pPr>
              <w:pStyle w:val="13"/>
              <w:spacing w:before="83"/>
              <w:ind w:firstLine="0" w:firstLineChars="0"/>
              <w:jc w:val="center"/>
              <w:rPr>
                <w:rFonts w:hint="eastAsia" w:ascii="仿宋" w:hAnsi="仿宋" w:eastAsia="仿宋"/>
                <w:sz w:val="24"/>
              </w:rPr>
            </w:pPr>
          </w:p>
        </w:tc>
        <w:tc>
          <w:tcPr>
            <w:tcW w:w="453" w:type="pct"/>
            <w:vAlign w:val="center"/>
          </w:tcPr>
          <w:p w14:paraId="63795D6C">
            <w:pPr>
              <w:pStyle w:val="13"/>
              <w:ind w:firstLine="0" w:firstLineChars="0"/>
              <w:jc w:val="center"/>
              <w:rPr>
                <w:rFonts w:hint="eastAsia" w:ascii="仿宋" w:hAnsi="仿宋" w:eastAsia="仿宋"/>
                <w:sz w:val="30"/>
              </w:rPr>
            </w:pPr>
          </w:p>
        </w:tc>
        <w:tc>
          <w:tcPr>
            <w:tcW w:w="1523" w:type="pct"/>
            <w:vAlign w:val="center"/>
          </w:tcPr>
          <w:p w14:paraId="4201E09C">
            <w:pPr>
              <w:pStyle w:val="13"/>
              <w:spacing w:before="83"/>
              <w:ind w:firstLine="0" w:firstLineChars="0"/>
              <w:jc w:val="center"/>
              <w:rPr>
                <w:rFonts w:hint="eastAsia" w:ascii="仿宋" w:hAnsi="仿宋" w:eastAsia="仿宋"/>
                <w:sz w:val="24"/>
              </w:rPr>
            </w:pPr>
          </w:p>
        </w:tc>
        <w:tc>
          <w:tcPr>
            <w:tcW w:w="684" w:type="pct"/>
            <w:vAlign w:val="center"/>
          </w:tcPr>
          <w:p w14:paraId="5D129B7C">
            <w:pPr>
              <w:pStyle w:val="13"/>
              <w:ind w:firstLine="0" w:firstLineChars="0"/>
              <w:jc w:val="center"/>
              <w:rPr>
                <w:rFonts w:hint="eastAsia" w:ascii="仿宋" w:hAnsi="仿宋" w:eastAsia="仿宋"/>
                <w:sz w:val="30"/>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15D2F550">
            <w:pPr>
              <w:pStyle w:val="13"/>
              <w:spacing w:before="73"/>
              <w:ind w:firstLine="0" w:firstLineChars="0"/>
              <w:jc w:val="center"/>
              <w:rPr>
                <w:rFonts w:hint="eastAsia" w:ascii="仿宋" w:hAnsi="仿宋" w:eastAsia="仿宋"/>
                <w:sz w:val="24"/>
              </w:rPr>
            </w:pPr>
            <w:r>
              <w:rPr>
                <w:rFonts w:ascii="仿宋" w:hAnsi="仿宋" w:eastAsia="仿宋"/>
                <w:sz w:val="24"/>
              </w:rPr>
              <w:t>3</w:t>
            </w:r>
          </w:p>
        </w:tc>
        <w:tc>
          <w:tcPr>
            <w:tcW w:w="588" w:type="pct"/>
            <w:vAlign w:val="center"/>
          </w:tcPr>
          <w:p w14:paraId="5919AACB">
            <w:pPr>
              <w:pStyle w:val="13"/>
              <w:spacing w:before="73"/>
              <w:ind w:firstLine="0" w:firstLineChars="0"/>
              <w:jc w:val="center"/>
              <w:rPr>
                <w:rFonts w:hint="eastAsia" w:ascii="仿宋" w:hAnsi="仿宋" w:eastAsia="仿宋"/>
                <w:sz w:val="24"/>
              </w:rPr>
            </w:pPr>
          </w:p>
        </w:tc>
        <w:tc>
          <w:tcPr>
            <w:tcW w:w="891" w:type="pct"/>
            <w:vAlign w:val="center"/>
          </w:tcPr>
          <w:p w14:paraId="48BA1872">
            <w:pPr>
              <w:pStyle w:val="13"/>
              <w:spacing w:line="242" w:lineRule="auto"/>
              <w:ind w:firstLine="0" w:firstLineChars="0"/>
              <w:jc w:val="center"/>
              <w:rPr>
                <w:rFonts w:hint="eastAsia" w:ascii="仿宋" w:hAnsi="仿宋" w:eastAsia="仿宋"/>
                <w:sz w:val="24"/>
              </w:rPr>
            </w:pPr>
          </w:p>
        </w:tc>
        <w:tc>
          <w:tcPr>
            <w:tcW w:w="469" w:type="pct"/>
            <w:vAlign w:val="center"/>
          </w:tcPr>
          <w:p w14:paraId="26489A11">
            <w:pPr>
              <w:pStyle w:val="13"/>
              <w:ind w:firstLine="0" w:firstLineChars="0"/>
              <w:jc w:val="center"/>
              <w:rPr>
                <w:rFonts w:hint="eastAsia" w:ascii="仿宋" w:hAnsi="仿宋" w:eastAsia="仿宋"/>
                <w:sz w:val="30"/>
              </w:rPr>
            </w:pPr>
          </w:p>
        </w:tc>
        <w:tc>
          <w:tcPr>
            <w:tcW w:w="453" w:type="pct"/>
            <w:vAlign w:val="center"/>
          </w:tcPr>
          <w:p w14:paraId="4A4B510C">
            <w:pPr>
              <w:pStyle w:val="13"/>
              <w:ind w:firstLine="0" w:firstLineChars="0"/>
              <w:jc w:val="center"/>
              <w:rPr>
                <w:rFonts w:hint="eastAsia" w:ascii="仿宋" w:hAnsi="仿宋" w:eastAsia="仿宋"/>
                <w:sz w:val="30"/>
              </w:rPr>
            </w:pPr>
          </w:p>
        </w:tc>
        <w:tc>
          <w:tcPr>
            <w:tcW w:w="1523" w:type="pct"/>
            <w:vAlign w:val="center"/>
          </w:tcPr>
          <w:p w14:paraId="46710F27">
            <w:pPr>
              <w:pStyle w:val="13"/>
              <w:spacing w:line="242" w:lineRule="auto"/>
              <w:ind w:firstLine="0" w:firstLineChars="0"/>
              <w:jc w:val="center"/>
              <w:rPr>
                <w:rFonts w:hint="eastAsia" w:ascii="仿宋" w:hAnsi="仿宋" w:eastAsia="仿宋"/>
                <w:sz w:val="24"/>
              </w:rPr>
            </w:pPr>
          </w:p>
        </w:tc>
        <w:tc>
          <w:tcPr>
            <w:tcW w:w="684" w:type="pct"/>
            <w:vAlign w:val="center"/>
          </w:tcPr>
          <w:p w14:paraId="7A5F242E">
            <w:pPr>
              <w:pStyle w:val="13"/>
              <w:ind w:firstLine="0" w:firstLineChars="0"/>
              <w:jc w:val="center"/>
              <w:rPr>
                <w:rFonts w:hint="eastAsia" w:ascii="仿宋" w:hAnsi="仿宋" w:eastAsia="仿宋"/>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125288BA">
            <w:pPr>
              <w:pStyle w:val="13"/>
              <w:spacing w:before="73"/>
              <w:ind w:firstLine="0" w:firstLineChars="0"/>
              <w:jc w:val="center"/>
              <w:rPr>
                <w:rFonts w:hint="eastAsia" w:ascii="仿宋" w:hAnsi="仿宋" w:eastAsia="仿宋"/>
                <w:sz w:val="24"/>
              </w:rPr>
            </w:pPr>
            <w:r>
              <w:rPr>
                <w:rFonts w:ascii="仿宋" w:hAnsi="仿宋" w:eastAsia="仿宋"/>
                <w:sz w:val="24"/>
              </w:rPr>
              <w:t>4</w:t>
            </w:r>
          </w:p>
        </w:tc>
        <w:tc>
          <w:tcPr>
            <w:tcW w:w="588" w:type="pct"/>
            <w:vAlign w:val="center"/>
          </w:tcPr>
          <w:p w14:paraId="0353F249">
            <w:pPr>
              <w:pStyle w:val="13"/>
              <w:spacing w:before="73"/>
              <w:ind w:firstLine="0" w:firstLineChars="0"/>
              <w:jc w:val="center"/>
              <w:rPr>
                <w:rFonts w:hint="eastAsia" w:ascii="仿宋" w:hAnsi="仿宋" w:eastAsia="仿宋"/>
                <w:sz w:val="24"/>
              </w:rPr>
            </w:pPr>
          </w:p>
        </w:tc>
        <w:tc>
          <w:tcPr>
            <w:tcW w:w="891" w:type="pct"/>
            <w:vAlign w:val="center"/>
          </w:tcPr>
          <w:p w14:paraId="46827C2A">
            <w:pPr>
              <w:ind w:firstLine="0" w:firstLineChars="0"/>
              <w:jc w:val="center"/>
              <w:rPr>
                <w:rFonts w:ascii="仿宋" w:hAnsi="仿宋"/>
                <w:sz w:val="2"/>
                <w:szCs w:val="2"/>
              </w:rPr>
            </w:pPr>
          </w:p>
        </w:tc>
        <w:tc>
          <w:tcPr>
            <w:tcW w:w="469" w:type="pct"/>
            <w:vAlign w:val="center"/>
          </w:tcPr>
          <w:p w14:paraId="16E22018">
            <w:pPr>
              <w:pStyle w:val="13"/>
              <w:ind w:firstLine="0" w:firstLineChars="0"/>
              <w:jc w:val="center"/>
              <w:rPr>
                <w:rFonts w:hint="eastAsia" w:ascii="仿宋" w:hAnsi="仿宋" w:eastAsia="仿宋"/>
                <w:sz w:val="30"/>
              </w:rPr>
            </w:pPr>
          </w:p>
        </w:tc>
        <w:tc>
          <w:tcPr>
            <w:tcW w:w="453" w:type="pct"/>
            <w:vAlign w:val="center"/>
          </w:tcPr>
          <w:p w14:paraId="7BF5F21C">
            <w:pPr>
              <w:pStyle w:val="13"/>
              <w:ind w:firstLine="0" w:firstLineChars="0"/>
              <w:jc w:val="center"/>
              <w:rPr>
                <w:rFonts w:hint="eastAsia" w:ascii="仿宋" w:hAnsi="仿宋" w:eastAsia="仿宋"/>
                <w:sz w:val="30"/>
              </w:rPr>
            </w:pPr>
          </w:p>
        </w:tc>
        <w:tc>
          <w:tcPr>
            <w:tcW w:w="1523" w:type="pct"/>
            <w:vAlign w:val="center"/>
          </w:tcPr>
          <w:p w14:paraId="2556219F">
            <w:pPr>
              <w:ind w:firstLine="0" w:firstLineChars="0"/>
              <w:jc w:val="center"/>
              <w:rPr>
                <w:rFonts w:ascii="仿宋" w:hAnsi="仿宋"/>
                <w:sz w:val="2"/>
                <w:szCs w:val="2"/>
              </w:rPr>
            </w:pPr>
          </w:p>
        </w:tc>
        <w:tc>
          <w:tcPr>
            <w:tcW w:w="684" w:type="pct"/>
            <w:vAlign w:val="center"/>
          </w:tcPr>
          <w:p w14:paraId="74549791">
            <w:pPr>
              <w:ind w:firstLine="0" w:firstLineChars="0"/>
              <w:jc w:val="center"/>
              <w:rPr>
                <w:rFonts w:ascii="仿宋" w:hAnsi="仿宋"/>
                <w:sz w:val="2"/>
                <w:szCs w:val="2"/>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91" w:type="pct"/>
            <w:vAlign w:val="center"/>
          </w:tcPr>
          <w:p w14:paraId="0F4B2190">
            <w:pPr>
              <w:pStyle w:val="13"/>
              <w:spacing w:before="74"/>
              <w:ind w:firstLine="0" w:firstLineChars="0"/>
              <w:jc w:val="center"/>
              <w:rPr>
                <w:rFonts w:hint="eastAsia" w:ascii="仿宋" w:hAnsi="仿宋" w:eastAsia="仿宋"/>
                <w:sz w:val="24"/>
              </w:rPr>
            </w:pPr>
            <w:r>
              <w:rPr>
                <w:rFonts w:ascii="仿宋" w:hAnsi="仿宋" w:eastAsia="仿宋"/>
                <w:sz w:val="24"/>
              </w:rPr>
              <w:t>5</w:t>
            </w:r>
          </w:p>
        </w:tc>
        <w:tc>
          <w:tcPr>
            <w:tcW w:w="588" w:type="pct"/>
            <w:vAlign w:val="center"/>
          </w:tcPr>
          <w:p w14:paraId="50534D2E">
            <w:pPr>
              <w:pStyle w:val="13"/>
              <w:tabs>
                <w:tab w:val="left" w:pos="487"/>
              </w:tabs>
              <w:spacing w:before="74"/>
              <w:ind w:firstLine="0" w:firstLineChars="0"/>
              <w:jc w:val="center"/>
              <w:rPr>
                <w:rFonts w:hint="eastAsia" w:ascii="仿宋" w:hAnsi="仿宋" w:eastAsia="仿宋"/>
                <w:sz w:val="24"/>
              </w:rPr>
            </w:pPr>
          </w:p>
        </w:tc>
        <w:tc>
          <w:tcPr>
            <w:tcW w:w="891" w:type="pct"/>
            <w:vAlign w:val="center"/>
          </w:tcPr>
          <w:p w14:paraId="26C4BC92">
            <w:pPr>
              <w:ind w:firstLine="0" w:firstLineChars="0"/>
              <w:jc w:val="center"/>
              <w:rPr>
                <w:rFonts w:ascii="仿宋" w:hAnsi="仿宋"/>
                <w:sz w:val="2"/>
                <w:szCs w:val="2"/>
              </w:rPr>
            </w:pPr>
          </w:p>
        </w:tc>
        <w:tc>
          <w:tcPr>
            <w:tcW w:w="469" w:type="pct"/>
            <w:vAlign w:val="center"/>
          </w:tcPr>
          <w:p w14:paraId="6483053A">
            <w:pPr>
              <w:pStyle w:val="13"/>
              <w:ind w:firstLine="0" w:firstLineChars="0"/>
              <w:jc w:val="center"/>
              <w:rPr>
                <w:rFonts w:hint="eastAsia" w:ascii="仿宋" w:hAnsi="仿宋" w:eastAsia="仿宋"/>
                <w:sz w:val="30"/>
              </w:rPr>
            </w:pPr>
          </w:p>
        </w:tc>
        <w:tc>
          <w:tcPr>
            <w:tcW w:w="453" w:type="pct"/>
            <w:vAlign w:val="center"/>
          </w:tcPr>
          <w:p w14:paraId="116C7A42">
            <w:pPr>
              <w:pStyle w:val="13"/>
              <w:ind w:firstLine="0" w:firstLineChars="0"/>
              <w:jc w:val="center"/>
              <w:rPr>
                <w:rFonts w:hint="eastAsia" w:ascii="仿宋" w:hAnsi="仿宋" w:eastAsia="仿宋"/>
                <w:sz w:val="30"/>
              </w:rPr>
            </w:pPr>
          </w:p>
        </w:tc>
        <w:tc>
          <w:tcPr>
            <w:tcW w:w="1523" w:type="pct"/>
            <w:vAlign w:val="center"/>
          </w:tcPr>
          <w:p w14:paraId="099AF6F1">
            <w:pPr>
              <w:ind w:firstLine="0" w:firstLineChars="0"/>
              <w:jc w:val="center"/>
              <w:rPr>
                <w:rFonts w:ascii="仿宋" w:hAnsi="仿宋"/>
                <w:sz w:val="2"/>
                <w:szCs w:val="2"/>
              </w:rPr>
            </w:pPr>
          </w:p>
        </w:tc>
        <w:tc>
          <w:tcPr>
            <w:tcW w:w="684" w:type="pct"/>
            <w:vAlign w:val="center"/>
          </w:tcPr>
          <w:p w14:paraId="19004189">
            <w:pPr>
              <w:ind w:firstLine="0" w:firstLineChars="0"/>
              <w:jc w:val="center"/>
              <w:rPr>
                <w:rFonts w:ascii="仿宋" w:hAnsi="仿宋"/>
                <w:sz w:val="2"/>
                <w:szCs w:val="2"/>
              </w:rPr>
            </w:pPr>
          </w:p>
        </w:tc>
      </w:tr>
    </w:tbl>
    <w:p w14:paraId="38DACF5D">
      <w:pPr>
        <w:ind w:firstLine="640"/>
      </w:pPr>
    </w:p>
    <w:p w14:paraId="3D5200D2">
      <w:pPr>
        <w:pStyle w:val="2"/>
        <w:rPr>
          <w:rFonts w:ascii="Times New Roman" w:hAnsi="Times New Roman" w:eastAsia="仿宋"/>
          <w:sz w:val="30"/>
        </w:rPr>
      </w:pPr>
      <w:r>
        <w:rPr>
          <w:rFonts w:ascii="Times New Roman" w:hAnsi="Times New Roman" w:eastAsia="仿宋"/>
          <w:sz w:val="30"/>
        </w:rPr>
        <w:t>二、编制情况</w:t>
      </w:r>
    </w:p>
    <w:p w14:paraId="0DF6508F">
      <w:pPr>
        <w:pStyle w:val="2"/>
        <w:rPr>
          <w:rFonts w:ascii="Times New Roman" w:hAnsi="Times New Roman" w:eastAsia="仿宋"/>
          <w:sz w:val="30"/>
        </w:rPr>
      </w:pPr>
      <w:r>
        <w:rPr>
          <w:rFonts w:ascii="Times New Roman" w:hAnsi="Times New Roman" w:eastAsia="仿宋"/>
          <w:sz w:val="30"/>
        </w:rPr>
        <w:t>（一）</w:t>
      </w:r>
      <w:r>
        <w:rPr>
          <w:rFonts w:hint="eastAsia" w:ascii="Times New Roman" w:hAnsi="Times New Roman" w:eastAsia="仿宋"/>
          <w:sz w:val="30"/>
        </w:rPr>
        <w:t>编制标准的必要性和意义及背景</w:t>
      </w:r>
    </w:p>
    <w:p w14:paraId="3AF71962">
      <w:pPr>
        <w:ind w:firstLine="640"/>
        <w:rPr>
          <w:rFonts w:hint="eastAsia"/>
        </w:rPr>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3495A449">
      <w:pPr>
        <w:ind w:firstLine="640"/>
        <w:rPr>
          <w:rFonts w:hint="eastAsia"/>
        </w:rPr>
      </w:pPr>
      <w:r>
        <w:rPr>
          <w:rFonts w:hint="eastAsia"/>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3D7D3060">
      <w:pPr>
        <w:ind w:firstLine="640"/>
      </w:pPr>
      <w:r>
        <w:rPr>
          <w:rFonts w:hint="eastAsia"/>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农食产品》和《海南消费领域区域公共品牌通用要求服务业》，第二层级为《海南消费领域区域公共品牌种植技术规范》和《海南消费领域区域公共品牌食品加工技术规范》，第三层级为特色产品和服务技术规范。第一层级、第二层级和第三层级文件应配套使用。本文件为第一层级《海南消费领域区域公共品牌通用要求农食产品》，通过本文件的发布实施，将有助于推进农食产品规范化、规模化、标准化、生态化发展，提升农食产品质量。同时，以本文件作为认证依据，对农食产品生产经营者进行第三方认证，通过认证在供需两端传递质量信号，提高“海南消费领域区域公共品牌”品牌权威性和公信力，形成有效的市场选择机制，助推特色优势农食产品提档升级、提质增效。</w:t>
      </w:r>
    </w:p>
    <w:p w14:paraId="06B5B615">
      <w:pPr>
        <w:pStyle w:val="2"/>
        <w:rPr>
          <w:rFonts w:ascii="Times New Roman" w:hAnsi="Times New Roman" w:eastAsia="仿宋"/>
          <w:sz w:val="30"/>
        </w:rPr>
      </w:pPr>
      <w:r>
        <w:rPr>
          <w:rFonts w:ascii="Times New Roman" w:hAnsi="Times New Roman" w:eastAsia="仿宋"/>
          <w:sz w:val="30"/>
        </w:rPr>
        <w:t>（二）</w:t>
      </w:r>
      <w:r>
        <w:rPr>
          <w:rFonts w:hint="eastAsia" w:ascii="Times New Roman" w:hAnsi="Times New Roman" w:eastAsia="仿宋"/>
          <w:sz w:val="30"/>
        </w:rPr>
        <w:t>编制过程简介</w:t>
      </w:r>
    </w:p>
    <w:p w14:paraId="2CDBCBDA">
      <w:pPr>
        <w:pStyle w:val="4"/>
        <w:rPr>
          <w:rFonts w:hint="eastAsia" w:ascii="Times New Roman" w:hAnsi="Times New Roman" w:cs="宋体"/>
          <w:b/>
          <w:sz w:val="30"/>
        </w:rPr>
      </w:pPr>
      <w:r>
        <w:rPr>
          <w:rFonts w:hint="eastAsia" w:ascii="Times New Roman" w:hAnsi="Times New Roman" w:cs="宋体"/>
          <w:b/>
          <w:sz w:val="30"/>
        </w:rPr>
        <w:t>1.成立起草组</w:t>
      </w:r>
    </w:p>
    <w:p w14:paraId="4C2379B7">
      <w:pPr>
        <w:ind w:firstLine="560"/>
        <w:rPr>
          <w:rFonts w:ascii="Times New Roman" w:hAnsi="Times New Roman" w:cs="宋体"/>
          <w:sz w:val="28"/>
        </w:rPr>
      </w:pPr>
      <w:r>
        <w:rPr>
          <w:rFonts w:hint="eastAsia" w:ascii="Times New Roman" w:hAnsi="Times New Roman" w:cs="宋体"/>
          <w:sz w:val="28"/>
        </w:rPr>
        <w:t>团体标准研制计划下达后，方圆标志认证集团有限公司作为标准研制牵头单位随即组织召开专题会议，充分吸纳行业专家组建标准起草组，对标准编制工作进行总体部署和任务分工，制定标准编制工作方案，明确标准适用范围、主要框架内容、编制时间节点等。</w:t>
      </w:r>
    </w:p>
    <w:p w14:paraId="24C95AE3">
      <w:pPr>
        <w:pStyle w:val="4"/>
        <w:rPr>
          <w:rFonts w:hint="eastAsia" w:ascii="Times New Roman" w:hAnsi="Times New Roman" w:cs="宋体"/>
          <w:b/>
          <w:sz w:val="30"/>
        </w:rPr>
      </w:pPr>
      <w:r>
        <w:rPr>
          <w:rFonts w:hint="eastAsia" w:ascii="Times New Roman" w:hAnsi="Times New Roman" w:cs="宋体"/>
          <w:b/>
          <w:sz w:val="30"/>
        </w:rPr>
        <w:t>2.编制标准草案</w:t>
      </w:r>
    </w:p>
    <w:p w14:paraId="7D08F964">
      <w:pPr>
        <w:ind w:firstLine="560"/>
      </w:pPr>
      <w:r>
        <w:rPr>
          <w:rFonts w:hint="eastAsia" w:ascii="Times New Roman" w:hAnsi="Times New Roman" w:cs="宋体"/>
          <w:sz w:val="28"/>
        </w:rPr>
        <w:t>标准起草组广泛查阅农食产品相关法律法规、政策文件和标准，包括国家标准、行业标准、国际标准和国外先进标准，以及外省地方标准和团体标准情况，收集相关论文及研究资料，摸清农食产品通用要求现状及标准化相关情况。在文献资料搜集和研读的基础上，深入了解海南省农食产品的典型案例，经过总结、提炼、识别、梳理后，按照既兼顾前瞻性和适用性，又确保科学性和兜底性的原则，搭建标准框架，编制标准草案。</w:t>
      </w:r>
    </w:p>
    <w:p w14:paraId="462BF0AD">
      <w:pPr>
        <w:pStyle w:val="4"/>
        <w:rPr>
          <w:rFonts w:hint="eastAsia" w:ascii="Times New Roman" w:hAnsi="Times New Roman" w:cs="宋体"/>
          <w:b/>
          <w:sz w:val="30"/>
        </w:rPr>
      </w:pPr>
      <w:r>
        <w:rPr>
          <w:rFonts w:hint="eastAsia" w:ascii="Times New Roman" w:hAnsi="Times New Roman" w:cs="宋体"/>
          <w:b/>
          <w:sz w:val="30"/>
        </w:rPr>
        <w:t>3.实地调研</w:t>
      </w:r>
    </w:p>
    <w:p w14:paraId="4CAC7682">
      <w:pPr>
        <w:ind w:firstLine="560"/>
        <w:rPr>
          <w:rFonts w:hint="eastAsia" w:ascii="Times New Roman" w:hAnsi="Times New Roman" w:cs="宋体"/>
          <w:sz w:val="28"/>
        </w:rPr>
      </w:pPr>
      <w:r>
        <w:rPr>
          <w:rFonts w:hint="eastAsia" w:ascii="Times New Roman" w:hAnsi="Times New Roman" w:cs="宋体"/>
          <w:sz w:val="28"/>
        </w:rPr>
        <w:t>标准起草组组织相关人员开展实地调研，通过沟通及实地查看等方式，了解和掌握海南7个市县以及重点园区等农食产品企业目前行业管理服务存在的问题和基本情况，以及对标准草案的意见和建议。根据调研情况和反馈意见实时修改完善标准草案。</w:t>
      </w:r>
    </w:p>
    <w:p w14:paraId="0EE7BCDB">
      <w:pPr>
        <w:pStyle w:val="4"/>
        <w:rPr>
          <w:rFonts w:hint="eastAsia" w:ascii="Times New Roman" w:hAnsi="Times New Roman" w:cs="宋体"/>
          <w:b/>
          <w:sz w:val="30"/>
        </w:rPr>
      </w:pPr>
      <w:r>
        <w:rPr>
          <w:rFonts w:hint="eastAsia" w:ascii="Times New Roman" w:hAnsi="Times New Roman" w:cs="宋体"/>
          <w:b/>
          <w:sz w:val="30"/>
        </w:rPr>
        <w:t>4.召开标准编制研讨会</w:t>
      </w:r>
    </w:p>
    <w:p w14:paraId="4488B249">
      <w:pPr>
        <w:ind w:firstLine="560"/>
        <w:rPr>
          <w:rFonts w:hint="eastAsia" w:ascii="Times New Roman" w:hAnsi="Times New Roman" w:cs="宋体"/>
          <w:sz w:val="28"/>
        </w:rPr>
      </w:pPr>
      <w:r>
        <w:rPr>
          <w:rFonts w:hint="eastAsia" w:ascii="Times New Roman" w:hAnsi="Times New Roman" w:cs="宋体"/>
          <w:sz w:val="28"/>
        </w:rPr>
        <w:t>在标准草案的基础上，在方圆标志认证集团有限公司的统筹安排下，标准起草组先后组织起草组召开2次标准编制专题研讨会，对标准草案框架及内容进行逐条研讨。会后，起草组对标准进行了深入研究和反复修改。同时，根据最新的标准编写规范GB/T1.1—2020对标准结构和语言表述进行修改完善，形成标准工作组</w:t>
      </w:r>
      <w:r>
        <w:rPr>
          <w:rFonts w:hint="eastAsia" w:cs="宋体"/>
          <w:sz w:val="28"/>
          <w:lang w:val="en-US" w:eastAsia="zh-CN"/>
        </w:rPr>
        <w:t>征求意见稿</w:t>
      </w:r>
      <w:bookmarkStart w:id="0" w:name="_GoBack"/>
      <w:bookmarkEnd w:id="0"/>
      <w:r>
        <w:rPr>
          <w:rFonts w:hint="eastAsia" w:ascii="Times New Roman" w:hAnsi="Times New Roman" w:cs="宋体"/>
          <w:sz w:val="28"/>
        </w:rPr>
        <w:t>（包括标准文本和标准编制说明）。</w:t>
      </w:r>
    </w:p>
    <w:p w14:paraId="07282A09">
      <w:pPr>
        <w:pStyle w:val="2"/>
        <w:rPr>
          <w:rFonts w:ascii="Times New Roman" w:hAnsi="Times New Roman" w:eastAsia="仿宋"/>
          <w:sz w:val="30"/>
        </w:rPr>
      </w:pPr>
      <w:r>
        <w:rPr>
          <w:rFonts w:ascii="Times New Roman" w:hAnsi="Times New Roman" w:eastAsia="仿宋"/>
          <w:sz w:val="30"/>
        </w:rPr>
        <w:t>（三）制定标准的原则和依据，与现行法律法规、标准的关系</w:t>
      </w:r>
    </w:p>
    <w:p w14:paraId="2AE13DD0">
      <w:pPr>
        <w:pStyle w:val="4"/>
        <w:rPr>
          <w:rFonts w:hint="eastAsia" w:ascii="Times New Roman" w:hAnsi="Times New Roman" w:cs="宋体"/>
          <w:b/>
          <w:sz w:val="30"/>
        </w:rPr>
      </w:pPr>
      <w:r>
        <w:rPr>
          <w:rFonts w:hint="eastAsia" w:ascii="Times New Roman" w:hAnsi="Times New Roman" w:cs="宋体"/>
          <w:b/>
          <w:sz w:val="30"/>
        </w:rPr>
        <w:t>1.制定标准的原则</w:t>
      </w:r>
    </w:p>
    <w:p w14:paraId="663880A2">
      <w:pPr>
        <w:ind w:firstLine="560"/>
        <w:rPr>
          <w:rFonts w:hint="eastAsia" w:ascii="Times New Roman" w:hAnsi="Times New Roman" w:cs="宋体"/>
          <w:sz w:val="28"/>
        </w:rPr>
      </w:pPr>
      <w:r>
        <w:rPr>
          <w:rFonts w:hint="eastAsia" w:ascii="Times New Roman" w:hAnsi="Times New Roman" w:cs="宋体"/>
          <w:sz w:val="28"/>
        </w:rPr>
        <w:t>本标准在制定工作中本着先进性、科学性、合理性和可操作性以及标准的目标性、统一性、协调性、适用性、一致性和规范性的原则，符合GB/T1.1—2020《标准化工作导则第1部分：标准化文件的结构和起草规则》的编写要求。</w:t>
      </w:r>
    </w:p>
    <w:p w14:paraId="1EFA8BDC">
      <w:pPr>
        <w:ind w:firstLine="560"/>
        <w:rPr>
          <w:rFonts w:hint="eastAsia" w:ascii="Times New Roman" w:hAnsi="Times New Roman" w:cs="宋体"/>
          <w:sz w:val="28"/>
        </w:rPr>
      </w:pPr>
      <w:r>
        <w:rPr>
          <w:rFonts w:hint="eastAsia" w:ascii="Times New Roman" w:hAnsi="Times New Roman" w:cs="宋体"/>
          <w:sz w:val="28"/>
        </w:rPr>
        <w:t>在确定标准主要内容时，以相关法律法规、政策文件、国家行业标准为主要依据，充分考虑各项内容要求的可行性，同时考虑必要的前瞻性，使标准具有较强的先进性和指导性。</w:t>
      </w:r>
    </w:p>
    <w:p w14:paraId="0CD442FA">
      <w:pPr>
        <w:pStyle w:val="4"/>
        <w:rPr>
          <w:rFonts w:hint="eastAsia" w:ascii="Times New Roman" w:hAnsi="Times New Roman" w:cs="宋体"/>
          <w:b/>
          <w:sz w:val="30"/>
        </w:rPr>
      </w:pPr>
      <w:r>
        <w:rPr>
          <w:rFonts w:hint="eastAsia" w:ascii="Times New Roman" w:hAnsi="Times New Roman" w:cs="宋体"/>
          <w:b/>
          <w:sz w:val="30"/>
        </w:rPr>
        <w:t>2.制定标准的依据</w:t>
      </w:r>
    </w:p>
    <w:p w14:paraId="23A1EB50">
      <w:pPr>
        <w:ind w:firstLine="560"/>
        <w:rPr>
          <w:rFonts w:hint="eastAsia" w:ascii="Times New Roman" w:hAnsi="Times New Roman" w:cs="宋体"/>
          <w:sz w:val="28"/>
        </w:rPr>
      </w:pPr>
      <w:r>
        <w:rPr>
          <w:rFonts w:hint="eastAsia" w:ascii="Times New Roman" w:hAnsi="Times New Roman" w:cs="宋体"/>
          <w:sz w:val="28"/>
        </w:rPr>
        <w:t>本标准在编制过程中，重点引用和参考相关法律法规、中央及国家各部委的政策文件和发展规划、地方政策文件及相关技术性文件等，包括：</w:t>
      </w:r>
    </w:p>
    <w:p w14:paraId="6939EBEE">
      <w:pPr>
        <w:ind w:firstLine="560"/>
        <w:rPr>
          <w:rFonts w:hint="eastAsia" w:ascii="Times New Roman" w:hAnsi="Times New Roman" w:cs="宋体"/>
          <w:sz w:val="28"/>
        </w:rPr>
      </w:pPr>
      <w:r>
        <w:rPr>
          <w:rFonts w:hint="eastAsia" w:ascii="Times New Roman" w:hAnsi="Times New Roman" w:cs="宋体"/>
          <w:sz w:val="28"/>
        </w:rPr>
        <w:t>（1）GB7718食品安全国家标准预包装食品标签通则</w:t>
      </w:r>
    </w:p>
    <w:p w14:paraId="12EF527B">
      <w:pPr>
        <w:ind w:firstLine="560"/>
        <w:rPr>
          <w:rFonts w:hint="eastAsia" w:ascii="Times New Roman" w:hAnsi="Times New Roman" w:cs="宋体"/>
          <w:sz w:val="28"/>
        </w:rPr>
      </w:pPr>
      <w:r>
        <w:rPr>
          <w:rFonts w:hint="eastAsia" w:ascii="Times New Roman" w:hAnsi="Times New Roman" w:cs="宋体"/>
          <w:sz w:val="28"/>
        </w:rPr>
        <w:t>（2）GB/T19001质量管理体系要求</w:t>
      </w:r>
    </w:p>
    <w:p w14:paraId="7530221E">
      <w:pPr>
        <w:ind w:firstLine="560"/>
        <w:rPr>
          <w:rFonts w:hint="eastAsia" w:ascii="Times New Roman" w:hAnsi="Times New Roman" w:cs="宋体"/>
          <w:sz w:val="28"/>
        </w:rPr>
      </w:pPr>
      <w:r>
        <w:rPr>
          <w:rFonts w:hint="eastAsia" w:ascii="Times New Roman" w:hAnsi="Times New Roman" w:cs="宋体"/>
          <w:sz w:val="28"/>
        </w:rPr>
        <w:t>（3）GB/T22000食品安全管理体系食品链中各类组织的要求</w:t>
      </w:r>
    </w:p>
    <w:p w14:paraId="6E1CFF05">
      <w:pPr>
        <w:ind w:firstLine="560"/>
        <w:rPr>
          <w:rFonts w:hint="eastAsia" w:ascii="Times New Roman" w:hAnsi="Times New Roman" w:cs="宋体"/>
          <w:sz w:val="28"/>
        </w:rPr>
      </w:pPr>
      <w:r>
        <w:rPr>
          <w:rFonts w:hint="eastAsia" w:ascii="Times New Roman" w:hAnsi="Times New Roman" w:cs="宋体"/>
          <w:sz w:val="28"/>
        </w:rPr>
        <w:t>（4）GB23350限制商品过度包装要求食品和化妆品</w:t>
      </w:r>
    </w:p>
    <w:p w14:paraId="146A7D0A">
      <w:pPr>
        <w:ind w:firstLine="560"/>
        <w:rPr>
          <w:rFonts w:hint="eastAsia" w:ascii="Times New Roman" w:hAnsi="Times New Roman" w:cs="宋体"/>
          <w:sz w:val="28"/>
        </w:rPr>
      </w:pPr>
      <w:r>
        <w:rPr>
          <w:rFonts w:hint="eastAsia" w:ascii="Times New Roman" w:hAnsi="Times New Roman" w:cs="宋体"/>
          <w:sz w:val="28"/>
        </w:rPr>
        <w:t>（5）GB28050食品安全国家标准预包装食品营养标签通则</w:t>
      </w:r>
    </w:p>
    <w:p w14:paraId="7608D118">
      <w:pPr>
        <w:pStyle w:val="4"/>
        <w:rPr>
          <w:rFonts w:hint="eastAsia" w:ascii="Times New Roman" w:hAnsi="Times New Roman" w:cs="宋体"/>
          <w:b/>
          <w:sz w:val="30"/>
        </w:rPr>
      </w:pPr>
      <w:r>
        <w:rPr>
          <w:rFonts w:hint="eastAsia" w:ascii="Times New Roman" w:hAnsi="Times New Roman" w:cs="宋体"/>
          <w:b/>
          <w:sz w:val="30"/>
        </w:rPr>
        <w:t>3.与有关的现行法律法规、标准的关系</w:t>
      </w:r>
    </w:p>
    <w:p w14:paraId="4B4A8219">
      <w:pPr>
        <w:ind w:firstLine="560"/>
        <w:rPr>
          <w:rFonts w:hint="eastAsia" w:ascii="Times New Roman" w:hAnsi="Times New Roman" w:cs="宋体"/>
          <w:sz w:val="28"/>
        </w:rPr>
      </w:pPr>
      <w:r>
        <w:rPr>
          <w:rFonts w:hint="eastAsia" w:ascii="Times New Roman" w:hAnsi="Times New Roman" w:cs="宋体"/>
          <w:sz w:val="28"/>
        </w:rPr>
        <w:t>本标准符合国家现行法律法规和强制性标准的要求，与国家标准、行业标准、地方标准协调一致，结合海南省实际规定，从可操作性、科学性细化标准内容。</w:t>
      </w:r>
    </w:p>
    <w:p w14:paraId="046DE701">
      <w:pPr>
        <w:pStyle w:val="3"/>
        <w:rPr>
          <w:rFonts w:ascii="Times New Roman" w:hAnsi="Times New Roman" w:eastAsia="仿宋"/>
          <w:sz w:val="30"/>
        </w:rPr>
      </w:pPr>
      <w:r>
        <w:rPr>
          <w:rFonts w:ascii="Times New Roman" w:hAnsi="Times New Roman" w:eastAsia="仿宋"/>
          <w:sz w:val="30"/>
        </w:rPr>
        <w:t>（四）主要条款的说明</w:t>
      </w:r>
    </w:p>
    <w:p w14:paraId="0743D6C0">
      <w:pPr>
        <w:pStyle w:val="4"/>
        <w:rPr>
          <w:rFonts w:hint="eastAsia" w:ascii="Times New Roman" w:hAnsi="Times New Roman" w:cs="宋体"/>
          <w:b/>
          <w:sz w:val="30"/>
        </w:rPr>
      </w:pPr>
      <w:r>
        <w:rPr>
          <w:rFonts w:hint="eastAsia" w:ascii="Times New Roman" w:hAnsi="Times New Roman" w:cs="宋体"/>
          <w:b/>
          <w:sz w:val="30"/>
        </w:rPr>
        <w:t>1.主要条款</w:t>
      </w:r>
    </w:p>
    <w:p w14:paraId="7D3915C4">
      <w:pPr>
        <w:ind w:firstLine="560"/>
        <w:rPr>
          <w:rFonts w:hint="eastAsia" w:ascii="Times New Roman" w:hAnsi="Times New Roman" w:cs="宋体"/>
          <w:sz w:val="28"/>
        </w:rPr>
      </w:pPr>
      <w:r>
        <w:rPr>
          <w:rFonts w:hint="eastAsia" w:ascii="Times New Roman" w:hAnsi="Times New Roman" w:cs="宋体"/>
          <w:sz w:val="28"/>
        </w:rPr>
        <w:t>（1）范围</w:t>
      </w:r>
    </w:p>
    <w:p w14:paraId="350EC980">
      <w:pPr>
        <w:ind w:firstLine="560"/>
        <w:rPr>
          <w:rFonts w:hint="eastAsia" w:ascii="Times New Roman" w:hAnsi="Times New Roman" w:cs="宋体"/>
          <w:sz w:val="28"/>
        </w:rPr>
      </w:pPr>
      <w:r>
        <w:rPr>
          <w:rFonts w:hint="eastAsia" w:ascii="Times New Roman" w:hAnsi="Times New Roman" w:cs="宋体"/>
          <w:sz w:val="28"/>
        </w:rPr>
        <w:t>明确文件核心内容：规定“海南消费领域区域公共品牌”农食产品在管理制度、人员能力、包装标识、贮藏运输、销售、可持续发展6个方面的要求。划定适用对象：适用于海南省内该品牌的生产经营者，用于其自我评价和第三方认证。</w:t>
      </w:r>
    </w:p>
    <w:p w14:paraId="47816E43">
      <w:pPr>
        <w:ind w:firstLine="560"/>
        <w:rPr>
          <w:rFonts w:hint="eastAsia" w:ascii="Times New Roman" w:hAnsi="Times New Roman" w:cs="宋体"/>
          <w:sz w:val="28"/>
        </w:rPr>
      </w:pPr>
      <w:r>
        <w:rPr>
          <w:rFonts w:hint="eastAsia" w:ascii="Times New Roman" w:hAnsi="Times New Roman" w:cs="宋体"/>
          <w:sz w:val="28"/>
        </w:rPr>
        <w:t>（2）规范性引用文件</w:t>
      </w:r>
    </w:p>
    <w:p w14:paraId="4B6FCA5E">
      <w:pPr>
        <w:ind w:firstLine="560"/>
        <w:rPr>
          <w:rFonts w:hint="eastAsia" w:ascii="Times New Roman" w:hAnsi="Times New Roman" w:cs="宋体"/>
          <w:sz w:val="28"/>
        </w:rPr>
      </w:pPr>
      <w:r>
        <w:rPr>
          <w:rFonts w:hint="eastAsia" w:ascii="Times New Roman" w:hAnsi="Times New Roman" w:cs="宋体"/>
          <w:sz w:val="28"/>
        </w:rPr>
        <w:t>列出文件制定的核心参考标准，共3项，其中2项为食品安全相关国家标准，1项为限制商品过度包装要求。</w:t>
      </w:r>
    </w:p>
    <w:p w14:paraId="67ED1278">
      <w:pPr>
        <w:ind w:firstLine="560"/>
        <w:rPr>
          <w:rFonts w:hint="eastAsia" w:ascii="Times New Roman" w:hAnsi="Times New Roman" w:cs="宋体"/>
          <w:sz w:val="28"/>
        </w:rPr>
      </w:pPr>
      <w:r>
        <w:rPr>
          <w:rFonts w:hint="eastAsia" w:ascii="Times New Roman" w:hAnsi="Times New Roman" w:cs="宋体"/>
          <w:sz w:val="28"/>
        </w:rPr>
        <w:t>（3）术语和定义</w:t>
      </w:r>
    </w:p>
    <w:p w14:paraId="4C980FDF">
      <w:pPr>
        <w:ind w:firstLine="560"/>
        <w:rPr>
          <w:rFonts w:hint="eastAsia" w:ascii="Times New Roman" w:hAnsi="Times New Roman" w:cs="宋体"/>
          <w:sz w:val="28"/>
        </w:rPr>
      </w:pPr>
      <w:r>
        <w:rPr>
          <w:rFonts w:hint="eastAsia" w:ascii="Times New Roman" w:hAnsi="Times New Roman" w:cs="宋体"/>
          <w:sz w:val="28"/>
        </w:rPr>
        <w:t>定义“海南消费领域区域公共品牌农食产品”这一核心术语。</w:t>
      </w:r>
    </w:p>
    <w:p w14:paraId="3BF433B2">
      <w:pPr>
        <w:ind w:firstLine="560"/>
        <w:rPr>
          <w:rFonts w:hint="eastAsia" w:ascii="Times New Roman" w:hAnsi="Times New Roman" w:cs="宋体"/>
          <w:sz w:val="28"/>
        </w:rPr>
      </w:pPr>
      <w:r>
        <w:rPr>
          <w:rFonts w:hint="eastAsia" w:ascii="Times New Roman" w:hAnsi="Times New Roman" w:cs="宋体"/>
          <w:sz w:val="28"/>
        </w:rPr>
        <w:t>（4）管理制度</w:t>
      </w:r>
    </w:p>
    <w:p w14:paraId="227004D0">
      <w:pPr>
        <w:ind w:firstLine="560"/>
        <w:rPr>
          <w:rFonts w:hint="eastAsia" w:ascii="Times New Roman" w:hAnsi="Times New Roman" w:cs="宋体"/>
          <w:sz w:val="28"/>
        </w:rPr>
      </w:pPr>
      <w:r>
        <w:rPr>
          <w:rFonts w:hint="eastAsia" w:ascii="Times New Roman" w:hAnsi="Times New Roman" w:cs="宋体"/>
          <w:sz w:val="28"/>
        </w:rPr>
        <w:t>这是文件的核心操作规范部分，包含3类关键制度：</w:t>
      </w:r>
    </w:p>
    <w:p w14:paraId="3E756E8A">
      <w:pPr>
        <w:ind w:firstLine="560"/>
        <w:rPr>
          <w:rFonts w:hint="eastAsia" w:ascii="Times New Roman" w:hAnsi="Times New Roman" w:cs="宋体"/>
          <w:sz w:val="28"/>
        </w:rPr>
      </w:pPr>
      <w:r>
        <w:rPr>
          <w:rFonts w:hint="eastAsia" w:ascii="Times New Roman" w:hAnsi="Times New Roman" w:cs="宋体"/>
          <w:sz w:val="28"/>
        </w:rPr>
        <w:t>文件和记录管理：需建立种植养殖加工、卫生、采购、原料验收等制度，保留完整记录，保存期不少于2年。</w:t>
      </w:r>
    </w:p>
    <w:p w14:paraId="3A1E68D8">
      <w:pPr>
        <w:ind w:firstLine="560"/>
        <w:rPr>
          <w:rFonts w:hint="eastAsia" w:ascii="Times New Roman" w:hAnsi="Times New Roman" w:cs="宋体"/>
          <w:sz w:val="28"/>
        </w:rPr>
      </w:pPr>
      <w:r>
        <w:rPr>
          <w:rFonts w:hint="eastAsia" w:ascii="Times New Roman" w:hAnsi="Times New Roman" w:cs="宋体"/>
          <w:sz w:val="28"/>
        </w:rPr>
        <w:t>可追溯与召回：需建立全流程可追溯体系，制定产品召回制度，每年验证体系有效性。</w:t>
      </w:r>
    </w:p>
    <w:p w14:paraId="35355A8A">
      <w:pPr>
        <w:ind w:firstLine="560"/>
        <w:rPr>
          <w:rFonts w:hint="eastAsia" w:ascii="Times New Roman" w:hAnsi="Times New Roman" w:cs="宋体"/>
          <w:sz w:val="28"/>
        </w:rPr>
      </w:pPr>
      <w:r>
        <w:rPr>
          <w:rFonts w:hint="eastAsia" w:ascii="Times New Roman" w:hAnsi="Times New Roman" w:cs="宋体"/>
          <w:sz w:val="28"/>
        </w:rPr>
        <w:t>持续改进：需管理不合格品、处理客户投诉、开展内部检查，按计划实施管理评审。</w:t>
      </w:r>
    </w:p>
    <w:p w14:paraId="41C334F9">
      <w:pPr>
        <w:ind w:firstLine="560"/>
        <w:rPr>
          <w:rFonts w:hint="eastAsia" w:ascii="Times New Roman" w:hAnsi="Times New Roman" w:cs="宋体"/>
          <w:sz w:val="28"/>
        </w:rPr>
      </w:pPr>
      <w:r>
        <w:rPr>
          <w:rFonts w:hint="eastAsia" w:ascii="Times New Roman" w:hAnsi="Times New Roman" w:cs="宋体"/>
          <w:sz w:val="28"/>
        </w:rPr>
        <w:t>（5）人员能力要求</w:t>
      </w:r>
    </w:p>
    <w:p w14:paraId="78D3F9B0">
      <w:pPr>
        <w:ind w:firstLine="560"/>
        <w:rPr>
          <w:rFonts w:hint="eastAsia" w:ascii="Times New Roman" w:hAnsi="Times New Roman" w:cs="宋体"/>
          <w:sz w:val="28"/>
        </w:rPr>
      </w:pPr>
      <w:r>
        <w:rPr>
          <w:rFonts w:hint="eastAsia" w:ascii="Times New Roman" w:hAnsi="Times New Roman" w:cs="宋体"/>
          <w:sz w:val="28"/>
        </w:rPr>
        <w:t>通用要求：制定岗位资格和培训计划，保存培训记录，确保人员持续符合岗位能力。</w:t>
      </w:r>
    </w:p>
    <w:p w14:paraId="771ECED8">
      <w:pPr>
        <w:ind w:firstLine="560"/>
        <w:rPr>
          <w:rFonts w:hint="eastAsia" w:ascii="Times New Roman" w:hAnsi="Times New Roman" w:cs="宋体"/>
          <w:sz w:val="28"/>
        </w:rPr>
      </w:pPr>
      <w:r>
        <w:rPr>
          <w:rFonts w:hint="eastAsia" w:ascii="Times New Roman" w:hAnsi="Times New Roman" w:cs="宋体"/>
          <w:sz w:val="28"/>
        </w:rPr>
        <w:t>管理者要求：需了解法律法规、具备农食生产经营知识、熟悉企业制度及品牌标准。</w:t>
      </w:r>
    </w:p>
    <w:p w14:paraId="295AE049">
      <w:pPr>
        <w:ind w:firstLine="560"/>
        <w:rPr>
          <w:rFonts w:hint="eastAsia" w:ascii="Times New Roman" w:hAnsi="Times New Roman" w:cs="宋体"/>
          <w:sz w:val="28"/>
        </w:rPr>
      </w:pPr>
      <w:r>
        <w:rPr>
          <w:rFonts w:hint="eastAsia" w:ascii="Times New Roman" w:hAnsi="Times New Roman" w:cs="宋体"/>
          <w:sz w:val="28"/>
        </w:rPr>
        <w:t>岗位人员要求：通过培训、辅导或聘用胜任人员，满足岗位能力需求。</w:t>
      </w:r>
    </w:p>
    <w:p w14:paraId="487487C1">
      <w:pPr>
        <w:ind w:firstLine="560"/>
        <w:rPr>
          <w:rFonts w:hint="eastAsia" w:ascii="Times New Roman" w:hAnsi="Times New Roman" w:cs="宋体"/>
          <w:sz w:val="28"/>
        </w:rPr>
      </w:pPr>
      <w:r>
        <w:rPr>
          <w:rFonts w:hint="eastAsia" w:ascii="Times New Roman" w:hAnsi="Times New Roman" w:cs="宋体"/>
          <w:sz w:val="28"/>
        </w:rPr>
        <w:t>（6）包装、标识和标签</w:t>
      </w:r>
    </w:p>
    <w:p w14:paraId="3988CA6F">
      <w:pPr>
        <w:ind w:firstLine="560"/>
        <w:rPr>
          <w:rFonts w:hint="eastAsia" w:ascii="Times New Roman" w:hAnsi="Times New Roman" w:cs="宋体"/>
          <w:sz w:val="28"/>
        </w:rPr>
      </w:pPr>
      <w:r>
        <w:rPr>
          <w:rFonts w:hint="eastAsia" w:ascii="Times New Roman" w:hAnsi="Times New Roman" w:cs="宋体"/>
          <w:sz w:val="28"/>
        </w:rPr>
        <w:t>包装要求：使用食品级材料，根据产品特性选合理包装，符合减量化及环保要求（参考GB23350）。</w:t>
      </w:r>
    </w:p>
    <w:p w14:paraId="76367E1B">
      <w:pPr>
        <w:ind w:firstLine="560"/>
        <w:rPr>
          <w:rFonts w:hint="eastAsia" w:ascii="Times New Roman" w:hAnsi="Times New Roman" w:cs="宋体"/>
          <w:sz w:val="28"/>
        </w:rPr>
      </w:pPr>
      <w:r>
        <w:rPr>
          <w:rFonts w:hint="eastAsia" w:ascii="Times New Roman" w:hAnsi="Times New Roman" w:cs="宋体"/>
          <w:sz w:val="28"/>
        </w:rPr>
        <w:t>标识标签要求：认证标志需在认证范围内使用，加贴于销售产品或最小包装；农产品标签符合《农产品包装和标识管理办法》，预包装食品标签符合GB7718和GB28050。</w:t>
      </w:r>
    </w:p>
    <w:p w14:paraId="0703A4AF">
      <w:pPr>
        <w:ind w:firstLine="560"/>
        <w:rPr>
          <w:rFonts w:hint="eastAsia" w:ascii="Times New Roman" w:hAnsi="Times New Roman" w:cs="宋体"/>
          <w:sz w:val="28"/>
        </w:rPr>
      </w:pPr>
      <w:r>
        <w:rPr>
          <w:rFonts w:hint="eastAsia" w:ascii="Times New Roman" w:hAnsi="Times New Roman" w:cs="宋体"/>
          <w:sz w:val="28"/>
        </w:rPr>
        <w:t>（7）贮藏和运输</w:t>
      </w:r>
    </w:p>
    <w:p w14:paraId="31D177D6">
      <w:pPr>
        <w:ind w:firstLine="560"/>
        <w:rPr>
          <w:rFonts w:hint="eastAsia" w:ascii="Times New Roman" w:hAnsi="Times New Roman" w:cs="宋体"/>
          <w:sz w:val="28"/>
        </w:rPr>
      </w:pPr>
      <w:r>
        <w:rPr>
          <w:rFonts w:hint="eastAsia" w:ascii="Times New Roman" w:hAnsi="Times New Roman" w:cs="宋体"/>
          <w:sz w:val="28"/>
        </w:rPr>
        <w:t>贮藏管理：不同性质的原料、半成品、成品需分设场所或区域码放，明确标识防交叉污染。</w:t>
      </w:r>
    </w:p>
    <w:p w14:paraId="60235FEA">
      <w:pPr>
        <w:ind w:firstLine="560"/>
        <w:rPr>
          <w:rFonts w:hint="eastAsia" w:ascii="Times New Roman" w:hAnsi="Times New Roman" w:cs="宋体"/>
          <w:sz w:val="28"/>
        </w:rPr>
      </w:pPr>
      <w:r>
        <w:rPr>
          <w:rFonts w:hint="eastAsia" w:ascii="Times New Roman" w:hAnsi="Times New Roman" w:cs="宋体"/>
          <w:sz w:val="28"/>
        </w:rPr>
        <w:t>运输管理：建立贮藏运输管理制度，根据产品特点选适宜条件，运输容器、设备需安全清洁。</w:t>
      </w:r>
    </w:p>
    <w:p w14:paraId="59E5DCCD">
      <w:pPr>
        <w:ind w:firstLine="560"/>
        <w:rPr>
          <w:rFonts w:hint="eastAsia" w:ascii="Times New Roman" w:hAnsi="Times New Roman" w:cs="宋体"/>
          <w:sz w:val="28"/>
        </w:rPr>
      </w:pPr>
      <w:r>
        <w:rPr>
          <w:rFonts w:hint="eastAsia" w:ascii="Times New Roman" w:hAnsi="Times New Roman" w:cs="宋体"/>
          <w:sz w:val="28"/>
        </w:rPr>
        <w:t>（8）销售</w:t>
      </w:r>
    </w:p>
    <w:p w14:paraId="625494F0">
      <w:pPr>
        <w:ind w:firstLine="560"/>
        <w:rPr>
          <w:rFonts w:hint="eastAsia" w:ascii="Times New Roman" w:hAnsi="Times New Roman" w:cs="宋体"/>
          <w:sz w:val="28"/>
        </w:rPr>
      </w:pPr>
      <w:r>
        <w:rPr>
          <w:rFonts w:hint="eastAsia" w:ascii="Times New Roman" w:hAnsi="Times New Roman" w:cs="宋体"/>
          <w:sz w:val="28"/>
        </w:rPr>
        <w:t>合同约定：销售要求宜通过合同明确，包括法律法规、产品潜在风险、产品特性及顾客要求。</w:t>
      </w:r>
    </w:p>
    <w:p w14:paraId="06EBDF85">
      <w:pPr>
        <w:ind w:firstLine="560"/>
        <w:rPr>
          <w:rFonts w:hint="eastAsia" w:ascii="Times New Roman" w:hAnsi="Times New Roman" w:cs="宋体"/>
          <w:sz w:val="28"/>
        </w:rPr>
      </w:pPr>
      <w:r>
        <w:rPr>
          <w:rFonts w:hint="eastAsia" w:ascii="Times New Roman" w:hAnsi="Times New Roman" w:cs="宋体"/>
          <w:sz w:val="28"/>
        </w:rPr>
        <w:t>销售记录：如实记录产品信息（名称、规格、生产日期等）和购货者信息（名称、地址、联系方式等）。</w:t>
      </w:r>
    </w:p>
    <w:p w14:paraId="12B7D753">
      <w:pPr>
        <w:ind w:firstLine="560"/>
        <w:rPr>
          <w:rFonts w:hint="eastAsia" w:ascii="Times New Roman" w:hAnsi="Times New Roman" w:cs="宋体"/>
          <w:sz w:val="28"/>
        </w:rPr>
      </w:pPr>
      <w:r>
        <w:rPr>
          <w:rFonts w:hint="eastAsia" w:ascii="Times New Roman" w:hAnsi="Times New Roman" w:cs="宋体"/>
          <w:sz w:val="28"/>
        </w:rPr>
        <w:t>（9）可持续发展</w:t>
      </w:r>
    </w:p>
    <w:p w14:paraId="31CC5568">
      <w:pPr>
        <w:ind w:firstLine="560"/>
        <w:rPr>
          <w:rFonts w:hint="eastAsia" w:ascii="Times New Roman" w:hAnsi="Times New Roman" w:cs="宋体"/>
          <w:sz w:val="28"/>
        </w:rPr>
      </w:pPr>
      <w:r>
        <w:rPr>
          <w:rFonts w:hint="eastAsia" w:ascii="Times New Roman" w:hAnsi="Times New Roman" w:cs="宋体"/>
          <w:sz w:val="28"/>
        </w:rPr>
        <w:t>从3个维度提出要求，聚焦长期发展：</w:t>
      </w:r>
    </w:p>
    <w:p w14:paraId="06F550D9">
      <w:pPr>
        <w:ind w:firstLine="560"/>
        <w:rPr>
          <w:rFonts w:hint="eastAsia" w:ascii="Times New Roman" w:hAnsi="Times New Roman" w:cs="宋体"/>
          <w:sz w:val="28"/>
        </w:rPr>
      </w:pPr>
      <w:r>
        <w:rPr>
          <w:rFonts w:hint="eastAsia" w:ascii="Times New Roman" w:hAnsi="Times New Roman" w:cs="宋体"/>
          <w:sz w:val="28"/>
        </w:rPr>
        <w:t>职业健康安全：提供安全工作环境，配备防护设备，组织健康体检及安全培训。</w:t>
      </w:r>
    </w:p>
    <w:p w14:paraId="0C2B550D">
      <w:pPr>
        <w:ind w:firstLine="560"/>
        <w:rPr>
          <w:rFonts w:hint="eastAsia" w:ascii="Times New Roman" w:hAnsi="Times New Roman" w:cs="宋体"/>
          <w:sz w:val="28"/>
        </w:rPr>
      </w:pPr>
      <w:r>
        <w:rPr>
          <w:rFonts w:hint="eastAsia" w:ascii="Times New Roman" w:hAnsi="Times New Roman" w:cs="宋体"/>
          <w:sz w:val="28"/>
        </w:rPr>
        <w:t>能源与排放：从能源、水资源、温室气体排放入手节能减排，优先使用清洁能源和可再生能源。</w:t>
      </w:r>
    </w:p>
    <w:p w14:paraId="0478D067">
      <w:pPr>
        <w:ind w:firstLine="560"/>
        <w:rPr>
          <w:rFonts w:hint="eastAsia" w:ascii="Times New Roman" w:hAnsi="Times New Roman" w:cs="宋体"/>
          <w:sz w:val="28"/>
        </w:rPr>
      </w:pPr>
      <w:r>
        <w:rPr>
          <w:rFonts w:hint="eastAsia" w:ascii="Times New Roman" w:hAnsi="Times New Roman" w:cs="宋体"/>
          <w:sz w:val="28"/>
        </w:rPr>
        <w:t>生态与生物多样性：减少生产经营对周边生态的破坏，保护生物多样性，维护土壤健康。</w:t>
      </w:r>
    </w:p>
    <w:p w14:paraId="66C8DF26">
      <w:pPr>
        <w:pStyle w:val="3"/>
        <w:rPr>
          <w:rFonts w:ascii="Times New Roman" w:hAnsi="Times New Roman" w:eastAsia="仿宋"/>
          <w:sz w:val="30"/>
        </w:rPr>
      </w:pPr>
      <w:r>
        <w:rPr>
          <w:rFonts w:ascii="Times New Roman" w:hAnsi="Times New Roman" w:eastAsia="仿宋"/>
          <w:sz w:val="30"/>
        </w:rPr>
        <w:t>（五）</w:t>
      </w:r>
      <w:r>
        <w:rPr>
          <w:rFonts w:hint="eastAsia" w:ascii="Times New Roman" w:hAnsi="Times New Roman" w:eastAsia="仿宋"/>
          <w:sz w:val="30"/>
        </w:rPr>
        <w:t>涉及专利的有关说明</w:t>
      </w:r>
    </w:p>
    <w:p w14:paraId="43259E61">
      <w:pPr>
        <w:ind w:firstLine="560"/>
        <w:rPr>
          <w:rFonts w:hint="eastAsia" w:ascii="Times New Roman" w:hAnsi="Times New Roman" w:cs="宋体"/>
          <w:sz w:val="28"/>
        </w:rPr>
      </w:pPr>
      <w:r>
        <w:rPr>
          <w:rFonts w:hint="eastAsia" w:ascii="Times New Roman" w:hAnsi="Times New Roman" w:cs="宋体"/>
          <w:sz w:val="28"/>
        </w:rPr>
        <w:t>无。</w:t>
      </w:r>
    </w:p>
    <w:p w14:paraId="1539C675">
      <w:pPr>
        <w:pStyle w:val="3"/>
        <w:rPr>
          <w:rFonts w:ascii="Times New Roman" w:hAnsi="Times New Roman" w:eastAsia="仿宋"/>
          <w:sz w:val="30"/>
        </w:rPr>
      </w:pPr>
      <w:r>
        <w:rPr>
          <w:rFonts w:ascii="Times New Roman" w:hAnsi="Times New Roman" w:eastAsia="仿宋"/>
          <w:sz w:val="30"/>
        </w:rPr>
        <w:t>（六）</w:t>
      </w:r>
      <w:r>
        <w:rPr>
          <w:rFonts w:hint="eastAsia" w:ascii="Times New Roman" w:hAnsi="Times New Roman" w:eastAsia="仿宋"/>
          <w:sz w:val="30"/>
        </w:rPr>
        <w:t>与现行法律法规、标准的关系</w:t>
      </w:r>
    </w:p>
    <w:p w14:paraId="58EB122F">
      <w:pPr>
        <w:ind w:firstLine="560"/>
        <w:rPr>
          <w:rFonts w:hint="eastAsia" w:ascii="Times New Roman" w:hAnsi="Times New Roman" w:cs="宋体"/>
          <w:sz w:val="28"/>
        </w:rPr>
      </w:pPr>
      <w:r>
        <w:rPr>
          <w:rFonts w:hint="eastAsia" w:ascii="Times New Roman" w:hAnsi="Times New Roman" w:cs="宋体"/>
          <w:sz w:val="28"/>
        </w:rPr>
        <w:t>拟制定的《海南消费领域区域公共品牌通用要求农食产品》为首次制定，符合我国目前法律、法规和强制性国家标准的规定，与有关法律、法规和国家标准、行业标准相协调，没有矛盾。</w:t>
      </w:r>
    </w:p>
    <w:p w14:paraId="4D2586AA">
      <w:pPr>
        <w:pStyle w:val="3"/>
        <w:rPr>
          <w:rFonts w:ascii="Times New Roman" w:hAnsi="Times New Roman" w:eastAsia="仿宋"/>
          <w:sz w:val="30"/>
        </w:rPr>
      </w:pPr>
      <w:r>
        <w:rPr>
          <w:rFonts w:ascii="Times New Roman" w:hAnsi="Times New Roman" w:eastAsia="仿宋"/>
          <w:sz w:val="30"/>
        </w:rPr>
        <w:t>（七）重大分歧意见的处理依据和结果</w:t>
      </w:r>
    </w:p>
    <w:p w14:paraId="33AC0FAF">
      <w:pPr>
        <w:ind w:firstLine="560"/>
        <w:rPr>
          <w:rFonts w:hint="eastAsia" w:ascii="Times New Roman" w:hAnsi="Times New Roman" w:cs="宋体"/>
          <w:sz w:val="28"/>
        </w:rPr>
      </w:pPr>
      <w:r>
        <w:rPr>
          <w:rFonts w:hint="eastAsia" w:ascii="Times New Roman" w:hAnsi="Times New Roman" w:cs="宋体"/>
          <w:sz w:val="28"/>
        </w:rPr>
        <w:t>无。</w:t>
      </w:r>
    </w:p>
    <w:p w14:paraId="6AE283F0">
      <w:pPr>
        <w:pStyle w:val="3"/>
        <w:rPr>
          <w:rFonts w:ascii="Times New Roman" w:hAnsi="Times New Roman" w:eastAsia="仿宋"/>
          <w:sz w:val="30"/>
        </w:rPr>
      </w:pPr>
      <w:r>
        <w:rPr>
          <w:rFonts w:ascii="Times New Roman" w:hAnsi="Times New Roman" w:eastAsia="仿宋"/>
          <w:sz w:val="30"/>
        </w:rPr>
        <w:t>（八）贯彻标准的要求和措施建议（包括组织措施、技术措施、过渡办法、实施日期等）</w:t>
      </w:r>
    </w:p>
    <w:p w14:paraId="48827D83">
      <w:pPr>
        <w:pStyle w:val="4"/>
        <w:rPr>
          <w:rFonts w:hint="eastAsia" w:ascii="Times New Roman" w:hAnsi="Times New Roman" w:cs="宋体"/>
          <w:b/>
          <w:sz w:val="30"/>
        </w:rPr>
      </w:pPr>
      <w:r>
        <w:rPr>
          <w:rFonts w:hint="eastAsia" w:ascii="Times New Roman" w:hAnsi="Times New Roman" w:cs="宋体"/>
          <w:b/>
          <w:sz w:val="30"/>
        </w:rPr>
        <w:t>1.贯彻标准的要求</w:t>
      </w:r>
    </w:p>
    <w:p w14:paraId="5115F669">
      <w:pPr>
        <w:ind w:firstLine="560"/>
        <w:rPr>
          <w:rFonts w:hint="eastAsia" w:ascii="Times New Roman" w:hAnsi="Times New Roman" w:cs="宋体"/>
          <w:sz w:val="28"/>
        </w:rPr>
      </w:pPr>
      <w:r>
        <w:rPr>
          <w:rFonts w:hint="eastAsia" w:ascii="Times New Roman" w:hAnsi="Times New Roman" w:cs="宋体"/>
          <w:sz w:val="28"/>
        </w:rPr>
        <w:t>加强宣传培训：相关部门应组织开展本规范的宣传培训工作，通过举办培训班、研讨会、发放宣传资料等形式，向海南区域内的农食产品企业、监管部门和消费者宣传本规范的内容和要求。提高企业和监管人员对规范的认识和理解，增强企业执行规范的自觉性和主动性，引导消费者正确选择海南消费领域区域公共品牌。</w:t>
      </w:r>
    </w:p>
    <w:p w14:paraId="529B0298">
      <w:pPr>
        <w:pStyle w:val="4"/>
        <w:rPr>
          <w:rFonts w:hint="eastAsia" w:ascii="Times New Roman" w:hAnsi="Times New Roman" w:cs="宋体"/>
          <w:b/>
          <w:sz w:val="30"/>
        </w:rPr>
      </w:pPr>
      <w:r>
        <w:rPr>
          <w:rFonts w:hint="eastAsia" w:ascii="Times New Roman" w:hAnsi="Times New Roman" w:cs="宋体"/>
          <w:b/>
          <w:sz w:val="30"/>
        </w:rPr>
        <w:t>2.措施建议</w:t>
      </w:r>
    </w:p>
    <w:p w14:paraId="1FBF6301">
      <w:pPr>
        <w:ind w:firstLine="560"/>
        <w:rPr>
          <w:rFonts w:hint="eastAsia" w:ascii="Times New Roman" w:hAnsi="Times New Roman" w:cs="宋体"/>
          <w:sz w:val="28"/>
        </w:rPr>
      </w:pPr>
      <w:r>
        <w:rPr>
          <w:rFonts w:hint="eastAsia" w:ascii="Times New Roman" w:hAnsi="Times New Roman" w:cs="宋体"/>
          <w:sz w:val="28"/>
        </w:rPr>
        <w:t>强化监督管理：监管部门应加强对海南消费领域区域公共品牌农食产品企业的监督管理，将本规范的执行情况纳入日常监管范围。定期对企业进行检查和抽检，对违反规范要求的企业依法进行处理，确保规范的有效实施。同时，建立健全投诉举报机制，鼓励消费者对不符合规范要求的农食产品和企业进行举报。</w:t>
      </w:r>
    </w:p>
    <w:p w14:paraId="0EEC8673">
      <w:pPr>
        <w:ind w:firstLine="560"/>
        <w:rPr>
          <w:rFonts w:hint="eastAsia" w:ascii="Times New Roman" w:hAnsi="Times New Roman" w:cs="宋体"/>
          <w:sz w:val="28"/>
        </w:rPr>
      </w:pPr>
      <w:r>
        <w:rPr>
          <w:rFonts w:hint="eastAsia" w:ascii="Times New Roman" w:hAnsi="Times New Roman" w:cs="宋体"/>
          <w:sz w:val="28"/>
        </w:rPr>
        <w:t>政策支持：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消费领域区域公共品牌农食产品的市场知名度和美誉度。</w:t>
      </w:r>
    </w:p>
    <w:p w14:paraId="22EEB1C9">
      <w:pPr>
        <w:pStyle w:val="3"/>
        <w:rPr>
          <w:rFonts w:ascii="Times New Roman" w:hAnsi="Times New Roman" w:eastAsia="仿宋"/>
          <w:sz w:val="30"/>
        </w:rPr>
      </w:pPr>
      <w:r>
        <w:rPr>
          <w:rFonts w:ascii="Times New Roman" w:hAnsi="Times New Roman" w:eastAsia="仿宋"/>
          <w:sz w:val="30"/>
        </w:rPr>
        <w:t>（九）预期效果</w:t>
      </w:r>
    </w:p>
    <w:p w14:paraId="214509D8">
      <w:pPr>
        <w:pStyle w:val="4"/>
        <w:rPr>
          <w:rFonts w:hint="eastAsia" w:ascii="Times New Roman" w:hAnsi="Times New Roman" w:cs="宋体"/>
          <w:b/>
          <w:sz w:val="30"/>
        </w:rPr>
      </w:pPr>
      <w:r>
        <w:rPr>
          <w:rFonts w:hint="eastAsia" w:ascii="Times New Roman" w:hAnsi="Times New Roman" w:cs="宋体"/>
          <w:b/>
          <w:sz w:val="30"/>
        </w:rPr>
        <w:t>1.经济效益：激活产业价值，提升市场竞争力</w:t>
      </w:r>
    </w:p>
    <w:p w14:paraId="70976960">
      <w:pPr>
        <w:ind w:firstLine="560"/>
        <w:rPr>
          <w:rFonts w:hint="eastAsia" w:ascii="Times New Roman" w:hAnsi="Times New Roman" w:cs="宋体"/>
          <w:sz w:val="28"/>
        </w:rPr>
      </w:pPr>
      <w:r>
        <w:rPr>
          <w:rFonts w:hint="eastAsia" w:ascii="Times New Roman" w:hAnsi="Times New Roman" w:cs="宋体"/>
          <w:sz w:val="28"/>
        </w:rPr>
        <w:t>对生产经营者：统一的品牌标准能提升产品附加值，帮助产品摆脱“低价竞争”，进入更高端的消费市场，直接增加销售收入；标准化管理也能减少生产过程中的不合格品损耗、降低管理成本，提升企业利润空间。</w:t>
      </w:r>
    </w:p>
    <w:p w14:paraId="7BB273C5">
      <w:pPr>
        <w:ind w:firstLine="560"/>
        <w:rPr>
          <w:rFonts w:hint="eastAsia" w:ascii="Times New Roman" w:hAnsi="Times New Roman" w:cs="宋体"/>
          <w:sz w:val="28"/>
        </w:rPr>
      </w:pPr>
      <w:r>
        <w:rPr>
          <w:rFonts w:hint="eastAsia" w:ascii="Times New Roman" w:hAnsi="Times New Roman" w:cs="宋体"/>
          <w:sz w:val="28"/>
        </w:rPr>
        <w:t>对区域产业：“海南消费领域区域公共品牌”的统一规范，能整合分散的中小生产主体，形成产业集群效应，吸引产业链上下游资源（如物流、电商、投资）集聚，带动海南农食产业整体产值提升；同时，品牌公信力的建立能增强产品对外输出能力，扩大市场份额，为区域经济注入活力。</w:t>
      </w:r>
    </w:p>
    <w:p w14:paraId="3A2734DA">
      <w:pPr>
        <w:ind w:firstLine="560"/>
        <w:rPr>
          <w:rFonts w:hint="eastAsia" w:ascii="Times New Roman" w:hAnsi="Times New Roman" w:cs="宋体"/>
          <w:sz w:val="28"/>
        </w:rPr>
      </w:pPr>
      <w:r>
        <w:rPr>
          <w:rFonts w:hint="eastAsia" w:ascii="Times New Roman" w:hAnsi="Times New Roman" w:cs="宋体"/>
          <w:sz w:val="28"/>
        </w:rPr>
        <w:t>对市场流通：可追溯体系和质量管控能减少因质量问题导致的退货、召回损失，降低市场流通环节的风险成本，提高供应链效率，间接推动整个市场的良性循环。</w:t>
      </w:r>
    </w:p>
    <w:p w14:paraId="4C6FC04F">
      <w:pPr>
        <w:pStyle w:val="4"/>
        <w:rPr>
          <w:rFonts w:hint="eastAsia" w:ascii="Times New Roman" w:hAnsi="Times New Roman" w:cs="宋体"/>
          <w:b/>
          <w:sz w:val="30"/>
        </w:rPr>
      </w:pPr>
      <w:r>
        <w:rPr>
          <w:rFonts w:hint="eastAsia" w:ascii="Times New Roman" w:hAnsi="Times New Roman" w:cs="宋体"/>
          <w:b/>
          <w:sz w:val="30"/>
        </w:rPr>
        <w:t>2.社会效益：保障公众权益，促进社会稳定</w:t>
      </w:r>
    </w:p>
    <w:p w14:paraId="76316705">
      <w:pPr>
        <w:ind w:firstLine="560"/>
        <w:rPr>
          <w:rFonts w:hint="eastAsia" w:ascii="Times New Roman" w:hAnsi="Times New Roman" w:cs="宋体"/>
          <w:sz w:val="28"/>
        </w:rPr>
      </w:pPr>
      <w:r>
        <w:rPr>
          <w:rFonts w:hint="eastAsia" w:ascii="Times New Roman" w:hAnsi="Times New Roman" w:cs="宋体"/>
          <w:sz w:val="28"/>
        </w:rPr>
        <w:t>保障消费者权益：明确的标签标识、严格的质量管控和产品召回制度，能减少不合格产品流入市场，降低消费者食用安全风险；消费者可通过品牌认证快速识别优质产品，降低选择成本，提升消费满意度和安全感。</w:t>
      </w:r>
    </w:p>
    <w:p w14:paraId="604A203A">
      <w:pPr>
        <w:ind w:firstLine="560"/>
        <w:rPr>
          <w:rFonts w:hint="eastAsia" w:ascii="Times New Roman" w:hAnsi="Times New Roman" w:cs="宋体"/>
          <w:sz w:val="28"/>
        </w:rPr>
      </w:pPr>
      <w:r>
        <w:rPr>
          <w:rFonts w:hint="eastAsia" w:ascii="Times New Roman" w:hAnsi="Times New Roman" w:cs="宋体"/>
          <w:sz w:val="28"/>
        </w:rPr>
        <w:t>提升从业者素质：标准对人员能力的要求（如培训计划、管理者资质），能倒逼从业者学习专业知识和技能，提升整个农食产业从业人员的整体素质，增加其就业竞争力；同时，职业健康安全要求也能改善工作环境，保障从业者身体健康，减少劳动纠纷。</w:t>
      </w:r>
    </w:p>
    <w:p w14:paraId="4857E012">
      <w:pPr>
        <w:ind w:firstLine="560"/>
        <w:rPr>
          <w:rFonts w:hint="eastAsia" w:ascii="Times New Roman" w:hAnsi="Times New Roman" w:cs="宋体"/>
          <w:sz w:val="28"/>
        </w:rPr>
      </w:pPr>
      <w:r>
        <w:rPr>
          <w:rFonts w:hint="eastAsia" w:ascii="Times New Roman" w:hAnsi="Times New Roman" w:cs="宋体"/>
          <w:sz w:val="28"/>
        </w:rPr>
        <w:t>增强社会信任：统一规范的品牌认证体系，能建立“政府监管、企业自律、第三方认证”的多重信任机制，减少市场信息不对称，增强公众对海南农食产品的信任度，进而提升社会对本土品牌的认同感，促进社会消费信心的稳定。</w:t>
      </w:r>
    </w:p>
    <w:p w14:paraId="3385E4B9">
      <w:pPr>
        <w:pStyle w:val="4"/>
        <w:rPr>
          <w:rFonts w:hint="eastAsia" w:ascii="Times New Roman" w:hAnsi="Times New Roman" w:cs="宋体"/>
          <w:b/>
          <w:sz w:val="30"/>
        </w:rPr>
      </w:pPr>
      <w:r>
        <w:rPr>
          <w:rFonts w:hint="eastAsia" w:ascii="Times New Roman" w:hAnsi="Times New Roman" w:cs="宋体"/>
          <w:b/>
          <w:sz w:val="30"/>
        </w:rPr>
        <w:t>3.生态效益：引导绿色发展，守护生态环境</w:t>
      </w:r>
    </w:p>
    <w:p w14:paraId="32A4676C">
      <w:pPr>
        <w:ind w:firstLine="560"/>
        <w:rPr>
          <w:rFonts w:hint="eastAsia" w:ascii="Times New Roman" w:hAnsi="Times New Roman" w:cs="宋体"/>
          <w:sz w:val="28"/>
        </w:rPr>
      </w:pPr>
      <w:r>
        <w:rPr>
          <w:rFonts w:hint="eastAsia" w:ascii="Times New Roman" w:hAnsi="Times New Roman" w:cs="宋体"/>
          <w:sz w:val="28"/>
        </w:rPr>
        <w:t>减少环境负担：标准要求包装减量化、使用可重复/可回收/可生物降解的环保材料，能直接减少包装废弃物对环境的污染；同时，节能减排、优先使用清洁能源（天然气、风能、太阳能等）的要求，能降低生产经营过程中的能源消耗和温室气体排放，缓解环境压力。</w:t>
      </w:r>
    </w:p>
    <w:p w14:paraId="68206862">
      <w:pPr>
        <w:ind w:firstLine="560"/>
        <w:rPr>
          <w:rFonts w:hint="eastAsia" w:ascii="Times New Roman" w:hAnsi="Times New Roman" w:cs="宋体"/>
          <w:sz w:val="28"/>
        </w:rPr>
      </w:pPr>
      <w:r>
        <w:rPr>
          <w:rFonts w:hint="eastAsia" w:ascii="Times New Roman" w:hAnsi="Times New Roman" w:cs="宋体"/>
          <w:sz w:val="28"/>
        </w:rPr>
        <w:t>保护生态系统：可持续发展章节中“减少对周边生态环境破坏、保护生物多样性、防止水土流失和土壤退化”的要求，能引导生产经营者在种植、养殖、加工过程中兼顾生态保护，避免过度开发、滥用农药化肥等行为，维护海南本土生态系统的完整性，守护区域生态安全。</w:t>
      </w:r>
    </w:p>
    <w:p w14:paraId="6DB44763">
      <w:pPr>
        <w:ind w:firstLine="560"/>
        <w:rPr>
          <w:rFonts w:hint="eastAsia" w:ascii="Times New Roman" w:hAnsi="Times New Roman" w:cs="宋体"/>
          <w:sz w:val="28"/>
        </w:rPr>
      </w:pPr>
      <w:r>
        <w:rPr>
          <w:rFonts w:hint="eastAsia" w:ascii="Times New Roman" w:hAnsi="Times New Roman" w:cs="宋体"/>
          <w:sz w:val="28"/>
        </w:rPr>
        <w:t>推动绿色转型：标准将生态要求纳入生产经营的硬性规范，能倒逼产业从“粗放式发展”向“绿色可持续发展”转型，培养生产经营者的生态环保意识，形成“生态保护与产业发展共生”的模式，为长期生态安全奠定基础。</w:t>
      </w:r>
    </w:p>
    <w:p w14:paraId="0D2357F4">
      <w:pPr>
        <w:pStyle w:val="3"/>
        <w:rPr>
          <w:rFonts w:ascii="Times New Roman" w:hAnsi="Times New Roman" w:eastAsia="仿宋"/>
          <w:sz w:val="30"/>
        </w:rPr>
      </w:pPr>
      <w:r>
        <w:rPr>
          <w:rFonts w:ascii="Times New Roman" w:hAnsi="Times New Roman" w:eastAsia="仿宋"/>
          <w:sz w:val="30"/>
        </w:rPr>
        <w:t>（十）其他应予说明的事项</w:t>
      </w:r>
    </w:p>
    <w:p w14:paraId="347A4DC7">
      <w:pPr>
        <w:ind w:firstLine="560"/>
        <w:rPr>
          <w:rFonts w:hint="eastAsia" w:ascii="Times New Roman" w:hAnsi="Times New Roman" w:cs="宋体"/>
          <w:sz w:val="28"/>
        </w:rPr>
      </w:pPr>
      <w:r>
        <w:rPr>
          <w:rFonts w:hint="eastAsia" w:ascii="Times New Roman" w:hAnsi="Times New Roman" w:cs="宋体"/>
          <w:sz w:val="28"/>
        </w:rPr>
        <w:t>无。</w:t>
      </w:r>
    </w:p>
    <w:sectPr>
      <w:footerReference r:id="rId5" w:type="default"/>
      <w:pgSz w:w="11910" w:h="16840"/>
      <w:pgMar w:top="1922" w:right="1100" w:bottom="879" w:left="1185" w:header="0" w:footer="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CE280AD-B2FD-4B2E-9AD8-CD12223C1E03}"/>
  </w:font>
  <w:font w:name="仿宋">
    <w:panose1 w:val="02010609060101010101"/>
    <w:charset w:val="86"/>
    <w:family w:val="modern"/>
    <w:pitch w:val="default"/>
    <w:sig w:usb0="800002BF" w:usb1="38CF7CFA" w:usb2="00000016" w:usb3="00000000" w:csb0="00040001" w:csb1="00000000"/>
    <w:embedRegular r:id="rId2" w:fontKey="{143B1B53-05F9-4161-A1C5-F0F81CF35B12}"/>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rFonts w:hint="eastAsia"/>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31498"/>
    <w:rsid w:val="00094349"/>
    <w:rsid w:val="001104D7"/>
    <w:rsid w:val="001F611D"/>
    <w:rsid w:val="00210530"/>
    <w:rsid w:val="0029007F"/>
    <w:rsid w:val="00291AC7"/>
    <w:rsid w:val="003D6817"/>
    <w:rsid w:val="004D6ACF"/>
    <w:rsid w:val="005A27BA"/>
    <w:rsid w:val="006413FB"/>
    <w:rsid w:val="007A4DD8"/>
    <w:rsid w:val="00847CE6"/>
    <w:rsid w:val="00877A06"/>
    <w:rsid w:val="008925E3"/>
    <w:rsid w:val="008F186C"/>
    <w:rsid w:val="0097706D"/>
    <w:rsid w:val="00A63B9B"/>
    <w:rsid w:val="00AD0DDB"/>
    <w:rsid w:val="00AE3526"/>
    <w:rsid w:val="00B120B8"/>
    <w:rsid w:val="00B8624E"/>
    <w:rsid w:val="00BF1A69"/>
    <w:rsid w:val="00C1458C"/>
    <w:rsid w:val="00C32551"/>
    <w:rsid w:val="00C53A5E"/>
    <w:rsid w:val="00CF5BFC"/>
    <w:rsid w:val="00DF3D9D"/>
    <w:rsid w:val="00EA63B4"/>
    <w:rsid w:val="00FD3BF3"/>
    <w:rsid w:val="00FF203B"/>
    <w:rsid w:val="2B280569"/>
    <w:rsid w:val="2E310FE0"/>
    <w:rsid w:val="355340B9"/>
    <w:rsid w:val="52A32098"/>
    <w:rsid w:val="538C4FAC"/>
    <w:rsid w:val="58C7484C"/>
    <w:rsid w:val="5AA479D3"/>
    <w:rsid w:val="6E05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32"/>
      <w:szCs w:val="22"/>
      <w:lang w:val="en-US" w:eastAsia="zh-CN" w:bidi="ar-SA"/>
    </w:rPr>
  </w:style>
  <w:style w:type="paragraph" w:styleId="2">
    <w:name w:val="heading 1"/>
    <w:basedOn w:val="1"/>
    <w:qFormat/>
    <w:uiPriority w:val="1"/>
    <w:pPr>
      <w:ind w:firstLine="0" w:firstLineChars="0"/>
      <w:outlineLvl w:val="0"/>
    </w:pPr>
    <w:rPr>
      <w:rFonts w:eastAsia="黑体" w:cs="Microsoft JhengHei"/>
      <w:b/>
      <w:bCs/>
      <w:szCs w:val="32"/>
    </w:rPr>
  </w:style>
  <w:style w:type="paragraph" w:styleId="3">
    <w:name w:val="heading 2"/>
    <w:basedOn w:val="1"/>
    <w:next w:val="1"/>
    <w:link w:val="14"/>
    <w:unhideWhenUsed/>
    <w:qFormat/>
    <w:uiPriority w:val="9"/>
    <w:pPr>
      <w:keepNext/>
      <w:keepLines/>
      <w:ind w:firstLine="0" w:firstLineChars="0"/>
      <w:outlineLvl w:val="1"/>
    </w:pPr>
    <w:rPr>
      <w:rFonts w:eastAsia="楷体" w:cstheme="majorBidi"/>
      <w:b/>
      <w:bCs/>
      <w:szCs w:val="32"/>
    </w:rPr>
  </w:style>
  <w:style w:type="paragraph" w:styleId="4">
    <w:name w:val="heading 3"/>
    <w:basedOn w:val="1"/>
    <w:next w:val="1"/>
    <w:link w:val="15"/>
    <w:unhideWhenUsed/>
    <w:qFormat/>
    <w:uiPriority w:val="9"/>
    <w:pPr>
      <w:keepNext/>
      <w:keepLines/>
      <w:ind w:firstLine="0" w:firstLineChars="0"/>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Cs w:val="32"/>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itle"/>
    <w:basedOn w:val="1"/>
    <w:qFormat/>
    <w:uiPriority w:val="1"/>
    <w:pPr>
      <w:ind w:left="994" w:right="1019"/>
      <w:jc w:val="center"/>
    </w:pPr>
    <w:rPr>
      <w:rFonts w:ascii="宋体" w:hAnsi="宋体" w:eastAsia="宋体"/>
      <w:sz w:val="44"/>
      <w:szCs w:val="4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61"/>
      <w:ind w:left="1527" w:hanging="481"/>
    </w:pPr>
    <w:rPr>
      <w:rFonts w:ascii="宋体" w:hAnsi="宋体" w:eastAsia="宋体"/>
    </w:rPr>
  </w:style>
  <w:style w:type="paragraph" w:customStyle="1" w:styleId="13">
    <w:name w:val="Table Paragraph"/>
    <w:basedOn w:val="1"/>
    <w:qFormat/>
    <w:uiPriority w:val="1"/>
    <w:rPr>
      <w:rFonts w:ascii="宋体" w:hAnsi="宋体" w:eastAsia="宋体"/>
    </w:rPr>
  </w:style>
  <w:style w:type="character" w:customStyle="1" w:styleId="14">
    <w:name w:val="标题 2 字符"/>
    <w:basedOn w:val="10"/>
    <w:link w:val="3"/>
    <w:qFormat/>
    <w:uiPriority w:val="9"/>
    <w:rPr>
      <w:rFonts w:ascii="Times New Roman" w:hAnsi="Times New Roman" w:eastAsia="楷体" w:cstheme="majorBidi"/>
      <w:b/>
      <w:bCs/>
      <w:sz w:val="32"/>
      <w:szCs w:val="32"/>
      <w:lang w:eastAsia="zh-CN"/>
    </w:rPr>
  </w:style>
  <w:style w:type="character" w:customStyle="1" w:styleId="15">
    <w:name w:val="标题 3 字符"/>
    <w:basedOn w:val="10"/>
    <w:link w:val="4"/>
    <w:qFormat/>
    <w:uiPriority w:val="9"/>
    <w:rPr>
      <w:rFonts w:ascii="Times New Roman" w:hAnsi="Times New Roman" w:eastAsia="仿宋" w:cs="宋体"/>
      <w:bCs/>
      <w:sz w:val="32"/>
      <w:szCs w:val="32"/>
      <w:lang w:eastAsia="zh-CN"/>
    </w:rPr>
  </w:style>
  <w:style w:type="character" w:customStyle="1" w:styleId="16">
    <w:name w:val="页眉 字符"/>
    <w:basedOn w:val="10"/>
    <w:link w:val="7"/>
    <w:qFormat/>
    <w:uiPriority w:val="99"/>
    <w:rPr>
      <w:rFonts w:ascii="Times New Roman" w:hAnsi="Times New Roman" w:eastAsia="仿宋" w:cs="宋体"/>
      <w:sz w:val="18"/>
      <w:szCs w:val="18"/>
      <w:lang w:eastAsia="zh-CN"/>
    </w:rPr>
  </w:style>
  <w:style w:type="character" w:customStyle="1" w:styleId="17">
    <w:name w:val="页脚 字符"/>
    <w:basedOn w:val="10"/>
    <w:link w:val="6"/>
    <w:qFormat/>
    <w:uiPriority w:val="99"/>
    <w:rPr>
      <w:rFonts w:ascii="Times New Roman" w:hAnsi="Times New Roman" w:eastAsia="仿宋" w:cs="宋体"/>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Template>
  <Pages>6</Pages>
  <Words>4640</Words>
  <Characters>4737</Characters>
  <Lines>113</Lines>
  <Paragraphs>67</Paragraphs>
  <TotalTime>2</TotalTime>
  <ScaleCrop>false</ScaleCrop>
  <LinksUpToDate>false</LinksUpToDate>
  <CharactersWithSpaces>4739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2025-11-10T09:12:53Z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F501DB4AC05342669C8A75DF6EF4836E_12</vt:lpwstr>
  </property>
</Properties>
</file>