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E43C">
      <w:pPr>
        <w:jc w:val="center"/>
        <w:rPr>
          <w:rFonts w:hint="default" w:ascii="Times New Roman" w:hAnsi="Times New Roman" w:eastAsia="黑体" w:cs="Times New Roman"/>
          <w:sz w:val="28"/>
          <w:szCs w:val="28"/>
        </w:rPr>
      </w:pPr>
      <w:bookmarkStart w:id="0" w:name="_GoBack"/>
      <w:bookmarkEnd w:id="0"/>
      <w:r>
        <w:rPr>
          <w:rFonts w:hint="default" w:ascii="Times New Roman" w:hAnsi="Times New Roman" w:cs="Times New Roman"/>
          <w:b/>
          <w:sz w:val="28"/>
          <w:szCs w:val="28"/>
        </w:rPr>
        <w:t>《生物基水性聚氨酯树脂》</w:t>
      </w:r>
      <w:r>
        <w:rPr>
          <w:rFonts w:hint="default" w:ascii="Times New Roman" w:hAnsi="Times New Roman" w:eastAsia="黑体" w:cs="Times New Roman"/>
          <w:sz w:val="28"/>
          <w:szCs w:val="28"/>
        </w:rPr>
        <w:t>编制说明</w:t>
      </w:r>
    </w:p>
    <w:p w14:paraId="182B88EF">
      <w:pPr>
        <w:jc w:val="center"/>
        <w:rPr>
          <w:rFonts w:hint="default" w:ascii="Times New Roman" w:hAnsi="Times New Roman" w:cs="Times New Roman"/>
          <w:sz w:val="28"/>
          <w:szCs w:val="28"/>
        </w:rPr>
      </w:pPr>
      <w:r>
        <w:rPr>
          <w:rFonts w:hint="default" w:ascii="Times New Roman" w:hAnsi="Times New Roman" w:cs="Times New Roman"/>
          <w:sz w:val="28"/>
          <w:szCs w:val="28"/>
        </w:rPr>
        <w:t>（征求意见稿）</w:t>
      </w:r>
    </w:p>
    <w:p w14:paraId="6D2C67EE">
      <w:pPr>
        <w:spacing w:before="240" w:line="360" w:lineRule="auto"/>
        <w:outlineLvl w:val="0"/>
        <w:rPr>
          <w:rFonts w:hint="default" w:ascii="Times New Roman" w:hAnsi="Times New Roman" w:eastAsia="黑体" w:cs="Times New Roman"/>
          <w:b/>
          <w:kern w:val="0"/>
          <w:sz w:val="28"/>
          <w:szCs w:val="28"/>
          <w:highlight w:val="none"/>
        </w:rPr>
      </w:pPr>
      <w:r>
        <w:rPr>
          <w:rFonts w:hint="default" w:ascii="Times New Roman" w:hAnsi="Times New Roman" w:eastAsia="黑体" w:cs="Times New Roman"/>
          <w:b/>
          <w:kern w:val="0"/>
          <w:sz w:val="28"/>
          <w:szCs w:val="28"/>
          <w:highlight w:val="none"/>
        </w:rPr>
        <w:t>1 工作简况</w:t>
      </w:r>
    </w:p>
    <w:p w14:paraId="63904C0F">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1.1 任务来源</w:t>
      </w:r>
    </w:p>
    <w:p w14:paraId="7D06BA9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本项目是依据中国轻工联合</w:t>
      </w:r>
      <w:r>
        <w:rPr>
          <w:rFonts w:hint="default" w:ascii="Times New Roman" w:hAnsi="Times New Roman" w:cs="Times New Roman"/>
          <w:color w:val="000000" w:themeColor="text1"/>
          <w:szCs w:val="21"/>
          <w:highlight w:val="none"/>
          <w14:textFill>
            <w14:solidFill>
              <w14:schemeClr w14:val="tx1"/>
            </w14:solidFill>
          </w14:textFill>
        </w:rPr>
        <w:t>会2024年</w:t>
      </w:r>
      <w:r>
        <w:rPr>
          <w:rFonts w:hint="default" w:ascii="Times New Roman" w:hAnsi="Times New Roman" w:cs="Times New Roman"/>
          <w:color w:val="000000" w:themeColor="text1"/>
          <w:szCs w:val="21"/>
          <w:highlight w:val="none"/>
          <w:lang w:val="en-US" w:eastAsia="zh-CN"/>
          <w14:textFill>
            <w14:solidFill>
              <w14:schemeClr w14:val="tx1"/>
            </w14:solidFill>
          </w14:textFill>
        </w:rPr>
        <w:t>11</w:t>
      </w:r>
      <w:r>
        <w:rPr>
          <w:rFonts w:hint="default" w:ascii="Times New Roman" w:hAnsi="Times New Roman" w:cs="Times New Roman"/>
          <w:color w:val="000000" w:themeColor="text1"/>
          <w:szCs w:val="21"/>
          <w:highlight w:val="none"/>
          <w14:textFill>
            <w14:solidFill>
              <w14:schemeClr w14:val="tx1"/>
            </w14:solidFill>
          </w14:textFill>
        </w:rPr>
        <w:t>月</w:t>
      </w:r>
      <w:r>
        <w:rPr>
          <w:rFonts w:hint="default" w:ascii="Times New Roman" w:hAnsi="Times New Roman" w:cs="Times New Roman"/>
          <w:color w:val="000000" w:themeColor="text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Cs w:val="21"/>
          <w:highlight w:val="none"/>
          <w14:textFill>
            <w14:solidFill>
              <w14:schemeClr w14:val="tx1"/>
            </w14:solidFill>
          </w14:textFill>
        </w:rPr>
        <w:t>日《关于下达《智能浴室镜》等16项中国轻工业联合会团体标准计划的通知》［中轻联标准〔2024〕</w:t>
      </w:r>
      <w:r>
        <w:rPr>
          <w:rFonts w:hint="default" w:ascii="Times New Roman" w:hAnsi="Times New Roman" w:cs="Times New Roman"/>
          <w:color w:val="000000" w:themeColor="text1"/>
          <w:szCs w:val="21"/>
          <w:highlight w:val="none"/>
          <w:lang w:val="en-US" w:eastAsia="zh-CN"/>
          <w14:textFill>
            <w14:solidFill>
              <w14:schemeClr w14:val="tx1"/>
            </w14:solidFill>
          </w14:textFill>
        </w:rPr>
        <w:t>240</w:t>
      </w:r>
      <w:r>
        <w:rPr>
          <w:rFonts w:hint="default" w:ascii="Times New Roman" w:hAnsi="Times New Roman" w:cs="Times New Roman"/>
          <w:color w:val="000000" w:themeColor="text1"/>
          <w:szCs w:val="21"/>
          <w:highlight w:val="none"/>
          <w14:textFill>
            <w14:solidFill>
              <w14:schemeClr w14:val="tx1"/>
            </w14:solidFill>
          </w14:textFill>
        </w:rPr>
        <w:t>号，计划编号20240</w:t>
      </w:r>
      <w:r>
        <w:rPr>
          <w:rFonts w:hint="default" w:ascii="Times New Roman" w:hAnsi="Times New Roman" w:cs="Times New Roman"/>
          <w:color w:val="000000" w:themeColor="text1"/>
          <w:szCs w:val="21"/>
          <w:highlight w:val="none"/>
          <w:lang w:val="en-US" w:eastAsia="zh-CN"/>
          <w14:textFill>
            <w14:solidFill>
              <w14:schemeClr w14:val="tx1"/>
            </w14:solidFill>
          </w14:textFill>
        </w:rPr>
        <w:t>70</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szCs w:val="21"/>
          <w:highlight w:val="none"/>
        </w:rPr>
        <w:t>项目名称“</w:t>
      </w:r>
      <w:r>
        <w:rPr>
          <w:rFonts w:hint="default" w:ascii="Times New Roman" w:hAnsi="Times New Roman" w:cs="Times New Roman"/>
          <w:szCs w:val="21"/>
          <w:highlight w:val="none"/>
          <w:lang w:val="en-US" w:eastAsia="zh-CN"/>
        </w:rPr>
        <w:t>生物基水性聚氨酯树脂</w:t>
      </w:r>
      <w:r>
        <w:rPr>
          <w:rFonts w:hint="default" w:ascii="Times New Roman" w:hAnsi="Times New Roman" w:cs="Times New Roman"/>
          <w:szCs w:val="21"/>
          <w:highlight w:val="none"/>
        </w:rPr>
        <w:t>”］进行制定，主要起草单位：</w:t>
      </w:r>
      <w:r>
        <w:rPr>
          <w:rFonts w:hint="default" w:ascii="Times New Roman" w:hAnsi="Times New Roman" w:cs="Times New Roman"/>
          <w:highlight w:val="none"/>
          <w:lang w:val="en-US" w:eastAsia="zh-CN"/>
        </w:rPr>
        <w:t>浙江宏德丽新材料有限公司</w:t>
      </w:r>
      <w:r>
        <w:rPr>
          <w:rFonts w:hint="default" w:ascii="Times New Roman" w:hAnsi="Times New Roman" w:cs="Times New Roman"/>
          <w:lang w:val="en-US" w:eastAsia="zh-CN"/>
        </w:rPr>
        <w:t>，</w:t>
      </w:r>
      <w:r>
        <w:rPr>
          <w:rFonts w:hint="default" w:ascii="Times New Roman" w:hAnsi="Times New Roman" w:cs="Times New Roman"/>
          <w:szCs w:val="21"/>
          <w:highlight w:val="none"/>
        </w:rPr>
        <w:t>本项目计划完成时间为2025年。</w:t>
      </w:r>
    </w:p>
    <w:p w14:paraId="40BBB742">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1.2 主要工作过程</w:t>
      </w:r>
    </w:p>
    <w:p w14:paraId="5BE0CC90">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（1）起草阶段</w:t>
      </w:r>
    </w:p>
    <w:p w14:paraId="6D101083">
      <w:pPr>
        <w:spacing w:line="360" w:lineRule="auto"/>
        <w:ind w:firstLine="420" w:firstLineChars="0"/>
        <w:outlineLvl w:val="2"/>
        <w:rPr>
          <w:rFonts w:hint="default" w:ascii="Times New Roman" w:hAnsi="Times New Roman" w:cs="Times New Roman"/>
          <w:highlight w:val="none"/>
        </w:rPr>
      </w:pPr>
      <w:r>
        <w:rPr>
          <w:rFonts w:hint="default" w:ascii="Times New Roman" w:hAnsi="Times New Roman" w:eastAsia="宋体" w:cs="Times New Roman"/>
          <w:b w:val="0"/>
          <w:bCs w:val="0"/>
          <w:kern w:val="2"/>
          <w:sz w:val="21"/>
          <w:szCs w:val="21"/>
          <w:lang w:val="en-US" w:eastAsia="zh-CN" w:bidi="ar-SA"/>
        </w:rPr>
        <w:t>起草阶段：计划下达</w:t>
      </w:r>
      <w:r>
        <w:rPr>
          <w:rFonts w:hint="default" w:ascii="Times New Roman" w:hAnsi="Times New Roman" w:eastAsia="宋体" w:cs="Times New Roman"/>
          <w:b w:val="0"/>
          <w:bCs w:val="0"/>
          <w:kern w:val="2"/>
          <w:sz w:val="21"/>
          <w:szCs w:val="21"/>
          <w:highlight w:val="none"/>
          <w:lang w:val="en-US" w:eastAsia="zh-CN" w:bidi="ar-SA"/>
        </w:rPr>
        <w:t>后，2024年12月浙江宏德丽新材料有限公司召开《生物基水性聚氨酯树脂》团体标准起草工作组成立暨工作讨论会，对标准起草工作的计划、进度及分工协作进行了初步安排，成立了以张晓隆为组长，</w:t>
      </w:r>
      <w:r>
        <w:rPr>
          <w:rFonts w:hint="default" w:ascii="Times New Roman" w:hAnsi="Times New Roman" w:cs="Times New Roman"/>
          <w:highlight w:val="none"/>
          <w:lang w:val="en-US" w:eastAsia="zh-CN"/>
        </w:rPr>
        <w:t>杨明华、柯伟、刘波、王泽锋、邓丹凤、王玲楠、黄立、吕焕芝</w:t>
      </w:r>
      <w:r>
        <w:rPr>
          <w:rFonts w:hint="default" w:ascii="Times New Roman" w:hAnsi="Times New Roman" w:cs="Times New Roman"/>
          <w:highlight w:val="none"/>
        </w:rPr>
        <w:t>等</w:t>
      </w:r>
      <w:r>
        <w:rPr>
          <w:rFonts w:hint="default" w:ascii="Times New Roman" w:hAnsi="Times New Roman" w:eastAsia="宋体" w:cs="Times New Roman"/>
          <w:b w:val="0"/>
          <w:bCs w:val="0"/>
          <w:kern w:val="2"/>
          <w:sz w:val="21"/>
          <w:szCs w:val="21"/>
          <w:highlight w:val="none"/>
          <w:lang w:val="en-US" w:eastAsia="zh-CN" w:bidi="ar-SA"/>
        </w:rPr>
        <w:t>为组员的标准起草工作组。</w:t>
      </w:r>
    </w:p>
    <w:p w14:paraId="12B04B50">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标准起草小组根据进度安排，首先查阅了国内外相关资料，经过细致的文献调研，未查到关于“生物基水性聚氨酯树脂”的相关标准。</w:t>
      </w:r>
    </w:p>
    <w:p w14:paraId="2F969F92">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在本文件编制过程中，参考了HG/T 5879-2021《织物涂层用水性聚氨酯树脂》主要框架内容，分别为范围、规范性引用文件、分类、要求、试验方法、检验规则及标志、包装、运输、贮存。</w:t>
      </w:r>
    </w:p>
    <w:p w14:paraId="713FC00D">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此外，对于生物基含量的要求，结合国内外生物基产品认证要求，初步确定了生物基水性聚氨酯树脂中的生物基含量分级要求。生物基水性聚氨酯树脂的环保安全技术要求，采用现行的相关标准。起草小组结合生物基水性聚氨酯树脂的市场发展和现状要求，初步确立了本文件的主体框架及主要指标要求，形成标准初稿。</w:t>
      </w:r>
    </w:p>
    <w:p w14:paraId="382BDD5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highlight w:val="none"/>
        </w:rPr>
        <w:t>起草工作组在工作过程中广泛收集、分析国内外相关技术文献和资料，对生物基水性聚氨酯树脂的原材料来源、生产现状、使用要求及市场发展趋势等情况作了深</w:t>
      </w:r>
      <w:r>
        <w:rPr>
          <w:rFonts w:hint="default" w:ascii="Times New Roman" w:hAnsi="Times New Roman" w:cs="Times New Roman"/>
          <w:szCs w:val="21"/>
        </w:rPr>
        <w:t>入的研讨，明确了工作重点和进程安排。标准讨论稿形成后，起草工作组对标准中的主要内容进行多次研讨，经认证分析修改，最终修改完善形成了标准征求意见稿（讨论稿）和编制说明。</w:t>
      </w:r>
    </w:p>
    <w:p w14:paraId="1B4A2006">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（2）征求意见阶段</w:t>
      </w:r>
    </w:p>
    <w:p w14:paraId="541E191F">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（3）审查阶段</w:t>
      </w:r>
    </w:p>
    <w:p w14:paraId="7F42A3B0">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（4）报批阶段</w:t>
      </w:r>
    </w:p>
    <w:p w14:paraId="5C8CC967">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1.3 主要参加单位和工作组成员及其所做的工作等</w:t>
      </w:r>
    </w:p>
    <w:p w14:paraId="1B675F1E">
      <w:pPr>
        <w:pStyle w:val="14"/>
        <w:spacing w:line="440" w:lineRule="exact"/>
        <w:ind w:firstLine="420"/>
        <w:rPr>
          <w:rFonts w:hint="default" w:ascii="Times New Roman" w:hAnsi="Times New Roman" w:cs="Times New Roman"/>
          <w:szCs w:val="21"/>
          <w:highlight w:val="none"/>
        </w:rPr>
      </w:pPr>
      <w:r>
        <w:rPr>
          <w:rFonts w:hint="default" w:ascii="Times New Roman" w:hAnsi="Times New Roman" w:cs="Times New Roman"/>
          <w:szCs w:val="21"/>
        </w:rPr>
        <w:t>本</w:t>
      </w:r>
      <w:r>
        <w:rPr>
          <w:rFonts w:hint="default" w:ascii="Times New Roman" w:hAnsi="Times New Roman" w:cs="Times New Roman"/>
          <w:szCs w:val="21"/>
          <w:highlight w:val="none"/>
        </w:rPr>
        <w:t>文件由浙江宏德丽新材料有限公司、</w:t>
      </w:r>
      <w:r>
        <w:rPr>
          <w:rFonts w:hint="default" w:ascii="Times New Roman" w:hAnsi="Times New Roman" w:cs="Times New Roman"/>
          <w:highlight w:val="none"/>
          <w:lang w:val="en-US" w:eastAsia="zh-CN"/>
        </w:rPr>
        <w:t>衢州职业技术学院、丽水学院、东北农业大学、浙江吉瑞通新材料有限公司</w:t>
      </w:r>
      <w:r>
        <w:rPr>
          <w:rFonts w:hint="default" w:ascii="Times New Roman" w:hAnsi="Times New Roman" w:cs="Times New Roman"/>
          <w:szCs w:val="21"/>
          <w:highlight w:val="none"/>
        </w:rPr>
        <w:t>等共同起草。</w:t>
      </w:r>
    </w:p>
    <w:p w14:paraId="5614A00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本文件主要起草人：张晓隆、</w:t>
      </w:r>
      <w:r>
        <w:rPr>
          <w:rFonts w:hint="default" w:ascii="Times New Roman" w:hAnsi="Times New Roman" w:cs="Times New Roman"/>
          <w:highlight w:val="none"/>
          <w:lang w:val="en-US" w:eastAsia="zh-CN"/>
        </w:rPr>
        <w:t>杨明华、柯伟、刘波、王泽锋、邓丹凤、王玲楠、黄立、吕焕芝</w:t>
      </w:r>
      <w:r>
        <w:rPr>
          <w:rFonts w:hint="default" w:ascii="Times New Roman" w:hAnsi="Times New Roman" w:cs="Times New Roman"/>
          <w:highlight w:val="none"/>
        </w:rPr>
        <w:t>等</w:t>
      </w:r>
      <w:r>
        <w:rPr>
          <w:rFonts w:hint="default" w:ascii="Times New Roman" w:hAnsi="Times New Roman" w:cs="Times New Roman"/>
          <w:szCs w:val="21"/>
          <w:highlight w:val="none"/>
        </w:rPr>
        <w:t>。</w:t>
      </w:r>
    </w:p>
    <w:p w14:paraId="46625B3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highlight w:val="none"/>
        </w:rPr>
        <w:t>所做的工作：张晓隆起草工作组组长，全面协调标准起草工作，并负责对各阶段标准的审核。杨明华、柯伟、刘波、王泽锋、邓丹凤、王玲楠、黄立、吕焕芝等</w:t>
      </w:r>
      <w:r>
        <w:rPr>
          <w:rFonts w:hint="default" w:ascii="Times New Roman" w:hAnsi="Times New Roman" w:cs="Times New Roman"/>
          <w:szCs w:val="21"/>
          <w:highlight w:val="none"/>
          <w:lang w:val="en-US" w:eastAsia="zh-CN"/>
        </w:rPr>
        <w:t>人</w:t>
      </w:r>
      <w:r>
        <w:rPr>
          <w:rFonts w:hint="default" w:ascii="Times New Roman" w:hAnsi="Times New Roman" w:cs="Times New Roman"/>
          <w:szCs w:val="21"/>
          <w:highlight w:val="none"/>
        </w:rPr>
        <w:t>负责本文件的具体起草与编写工作。负责收集、分析国内外相关技术文献和资料，对生物基水性聚氨酯树脂进行工艺了解，对生产制造过程进行分析，并对生物基水性聚氨酯树脂的使用需求进行调研、分析总结和归纳。负责对各方面的意见和建</w:t>
      </w:r>
      <w:r>
        <w:rPr>
          <w:rFonts w:hint="default" w:ascii="Times New Roman" w:hAnsi="Times New Roman" w:cs="Times New Roman"/>
          <w:szCs w:val="21"/>
        </w:rPr>
        <w:t>议进行归纳、分析。负责对收集的样品进行测试验证工作。负责本文件其他材料的编制。</w:t>
      </w:r>
    </w:p>
    <w:p w14:paraId="44C2FE84">
      <w:pPr>
        <w:spacing w:before="240" w:line="360" w:lineRule="auto"/>
        <w:outlineLvl w:val="0"/>
        <w:rPr>
          <w:rFonts w:hint="default" w:ascii="Times New Roman" w:hAnsi="Times New Roman" w:eastAsia="黑体" w:cs="Times New Roman"/>
          <w:b/>
          <w:kern w:val="0"/>
          <w:sz w:val="28"/>
          <w:szCs w:val="28"/>
        </w:rPr>
      </w:pPr>
      <w:r>
        <w:rPr>
          <w:rFonts w:hint="default" w:ascii="Times New Roman" w:hAnsi="Times New Roman" w:eastAsia="黑体" w:cs="Times New Roman"/>
          <w:b/>
          <w:kern w:val="0"/>
          <w:sz w:val="28"/>
          <w:szCs w:val="28"/>
          <w:highlight w:val="none"/>
        </w:rPr>
        <w:t>2  标</w:t>
      </w:r>
      <w:r>
        <w:rPr>
          <w:rFonts w:hint="default" w:ascii="Times New Roman" w:hAnsi="Times New Roman" w:eastAsia="黑体" w:cs="Times New Roman"/>
          <w:b/>
          <w:kern w:val="0"/>
          <w:sz w:val="28"/>
          <w:szCs w:val="28"/>
        </w:rPr>
        <w:t>准编制原则和主要内容的论据，解决的主要问题</w:t>
      </w:r>
    </w:p>
    <w:p w14:paraId="115FBE3C">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2.1  标准编制原则</w:t>
      </w:r>
    </w:p>
    <w:p w14:paraId="6BE96E5E">
      <w:pPr>
        <w:pStyle w:val="17"/>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本文件的制定符合产业发展的原则，本着先进性、科学性、合理性和可操作性的原则，注意与相关领域法律、法规和规章、国家与行业标准等的兼容性和协调性一致，以及标准的目标统</w:t>
      </w:r>
      <w:r>
        <w:rPr>
          <w:rFonts w:hint="default" w:ascii="Times New Roman" w:hAnsi="Times New Roman" w:eastAsia="宋体" w:cs="Times New Roman"/>
          <w:color w:val="auto"/>
          <w:sz w:val="21"/>
          <w:szCs w:val="21"/>
          <w:highlight w:val="none"/>
        </w:rPr>
        <w:t>一性、协调性、适用性、一致性和规范性原则来进行本文件的制定工作；对难以量化的指标或内容，尽量用文字进行说明；力求简单、清晰、实用性强、适用面广，便于使用人员理解和操作，尽量满足市场需要。</w:t>
      </w:r>
    </w:p>
    <w:p w14:paraId="3DA35CE6">
      <w:pPr>
        <w:spacing w:line="360" w:lineRule="auto"/>
        <w:ind w:firstLine="420" w:firstLineChars="20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在 “双碳” 政策推动绿色低碳转型的背景下，生物基产品作为新型环保材料，近年来实现了技术的快速迭代与产品的持续创新。其中，在水性聚氨酯领域，通过引入生物基原料，可有效降低生产全流程及终端产品的碳足迹；而生物基含量作为量化指标，直接决定了该类产品的减碳效果，是衡量产品减碳的重要指标。</w:t>
      </w:r>
    </w:p>
    <w:p w14:paraId="56E0D11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w:t>
      </w:r>
      <w:r>
        <w:rPr>
          <w:rFonts w:hint="default" w:ascii="Times New Roman" w:hAnsi="Times New Roman" w:cs="Times New Roman"/>
          <w:szCs w:val="21"/>
          <w:highlight w:val="none"/>
          <w:lang w:val="en-US" w:eastAsia="zh-CN"/>
        </w:rPr>
        <w:t>减</w:t>
      </w:r>
      <w:r>
        <w:rPr>
          <w:rFonts w:hint="default" w:ascii="Times New Roman" w:hAnsi="Times New Roman" w:cs="Times New Roman"/>
          <w:szCs w:val="21"/>
          <w:highlight w:val="none"/>
        </w:rPr>
        <w:t>碳的同时，生物基水性聚氨酯树脂在作为聚氨酯树脂的一种特殊原料来源的产品，仍需要满足聚氨酯树脂在不同使用场景的各种性能指标，作为通用性要求，本文件给出</w:t>
      </w:r>
      <w:r>
        <w:rPr>
          <w:rFonts w:hint="default" w:ascii="Times New Roman" w:hAnsi="Times New Roman" w:cs="Times New Roman"/>
          <w:szCs w:val="21"/>
          <w:highlight w:val="none"/>
          <w:lang w:val="en-US" w:eastAsia="zh-CN"/>
        </w:rPr>
        <w:t>生物基水性聚氨酯</w:t>
      </w:r>
      <w:r>
        <w:rPr>
          <w:rFonts w:hint="default" w:ascii="Times New Roman" w:hAnsi="Times New Roman" w:cs="Times New Roman"/>
          <w:szCs w:val="21"/>
          <w:highlight w:val="none"/>
        </w:rPr>
        <w:t>性能指标参考HG/T 5879-2021《织物涂层用水性聚氨酯树脂》的要求。</w:t>
      </w:r>
    </w:p>
    <w:p w14:paraId="7051FD39">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szCs w:val="21"/>
          <w:highlight w:val="none"/>
        </w:rPr>
        <w:t>除了物理力学性能，有害物质限量要求对生物基水性聚氨酯树脂作</w:t>
      </w:r>
      <w:r>
        <w:rPr>
          <w:rFonts w:hint="default" w:ascii="Times New Roman" w:hAnsi="Times New Roman" w:cs="Times New Roman"/>
          <w:szCs w:val="21"/>
        </w:rPr>
        <w:t xml:space="preserve">为绿色环保产品重要衡量指标，需满足绿色产品有害物质限量的要求。 </w:t>
      </w:r>
    </w:p>
    <w:p w14:paraId="07170DAA">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rPr>
        <w:t>本文件起草过程中</w:t>
      </w:r>
      <w:r>
        <w:rPr>
          <w:rFonts w:hint="default" w:ascii="Times New Roman" w:hAnsi="Times New Roman" w:cs="Times New Roman"/>
          <w:highlight w:val="none"/>
        </w:rPr>
        <w:t>，按GB/T 1.1-2020《标准化工作导则 第1部分：标准的结构和编写》和GB/T 1.2-2020《标准化工作导则 第2部分：标准中规范性技术要素内容的确定方法》进行编写。本文件制定过程中，主要参考了以下标准：</w:t>
      </w:r>
    </w:p>
    <w:p w14:paraId="67773E55">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39715.1 塑料 生物基含量 第1部分：通用原则</w:t>
      </w:r>
    </w:p>
    <w:p w14:paraId="79D9048B">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2918 塑料 试样状态调节和试验的标准环境</w:t>
      </w:r>
    </w:p>
    <w:p w14:paraId="545B1601">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color w:val="FF0000"/>
          <w:highlight w:val="none"/>
          <w:lang w:val="en-US" w:eastAsia="zh-CN"/>
        </w:rPr>
        <w:t>********** 生物基人造革合成革 第1部分：通用原则</w:t>
      </w:r>
    </w:p>
    <w:p w14:paraId="54960153">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QB/T4197 合成革用聚氨酯树脂</w:t>
      </w:r>
    </w:p>
    <w:p w14:paraId="51E67F5E">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7193-2008 不饱和聚酯树脂试验方法</w:t>
      </w:r>
    </w:p>
    <w:p w14:paraId="516E6BDE">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14518-1993 胶粘剂的PH值测定</w:t>
      </w:r>
    </w:p>
    <w:p w14:paraId="1E021027">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8949 聚氨酯干法人造革</w:t>
      </w:r>
    </w:p>
    <w:p w14:paraId="787D85FE">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23986.2 色漆和清漆 挥发性有机化合物(VOC)和/或半挥发性有机化合物(SVOC)含量的测定 第2部分：气相色谱法</w:t>
      </w:r>
    </w:p>
    <w:p w14:paraId="0392DEFF">
      <w:pPr>
        <w:pStyle w:val="4"/>
        <w:numPr>
          <w:ilvl w:val="0"/>
          <w:numId w:val="4"/>
        </w:numPr>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QB∕T 5159 人造革合成革试验方法 N-甲基吡咯烷酮含量的测定</w:t>
      </w:r>
    </w:p>
    <w:p w14:paraId="56BDDFA3">
      <w:pPr>
        <w:pStyle w:val="4"/>
        <w:numPr>
          <w:ilvl w:val="0"/>
          <w:numId w:val="4"/>
        </w:numPr>
        <w:tabs>
          <w:tab w:val="left" w:pos="2197"/>
        </w:tabs>
        <w:ind w:left="340" w:firstLine="420" w:firstLineChars="200"/>
        <w:rPr>
          <w:rFonts w:hint="default" w:ascii="Times New Roman" w:hAnsi="Times New Roman" w:eastAsia="宋体" w:cs="Times New Roman"/>
          <w:sz w:val="21"/>
          <w:szCs w:val="21"/>
          <w:highlight w:val="none"/>
        </w:rPr>
      </w:pPr>
      <w:r>
        <w:rPr>
          <w:rFonts w:hint="default" w:ascii="Times New Roman" w:hAnsi="Times New Roman" w:cs="Times New Roman"/>
          <w:highlight w:val="none"/>
          <w:lang w:val="en-US" w:eastAsia="zh-CN"/>
        </w:rPr>
        <w:t>GB/T 6678 化工产品采样总则</w:t>
      </w:r>
    </w:p>
    <w:p w14:paraId="45B21BB2">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  主要内容</w:t>
      </w:r>
    </w:p>
    <w:p w14:paraId="4708D84F">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2.2.1  范围</w:t>
      </w:r>
    </w:p>
    <w:p w14:paraId="7E599609">
      <w:pPr>
        <w:pStyle w:val="14"/>
        <w:spacing w:line="360" w:lineRule="auto"/>
        <w:ind w:firstLine="420"/>
        <w:rPr>
          <w:rFonts w:hint="default" w:ascii="Times New Roman" w:hAnsi="Times New Roman" w:cs="Times New Roman"/>
        </w:rPr>
      </w:pPr>
      <w:r>
        <w:rPr>
          <w:rFonts w:hint="default" w:ascii="Times New Roman" w:hAnsi="Times New Roman" w:cs="Times New Roman"/>
        </w:rPr>
        <w:t>本文</w:t>
      </w:r>
      <w:r>
        <w:rPr>
          <w:rFonts w:hint="default" w:ascii="Times New Roman" w:hAnsi="Times New Roman" w:cs="Times New Roman"/>
          <w:szCs w:val="21"/>
          <w:lang w:val="zh-CN"/>
        </w:rPr>
        <w:t>件规定了</w:t>
      </w:r>
      <w:r>
        <w:rPr>
          <w:rFonts w:hint="default" w:ascii="Times New Roman" w:hAnsi="Times New Roman" w:cs="Times New Roman"/>
        </w:rPr>
        <w:t>生物基水性聚氨酯</w:t>
      </w:r>
      <w:r>
        <w:rPr>
          <w:rFonts w:hint="default" w:ascii="Times New Roman" w:hAnsi="Times New Roman" w:cs="Times New Roman"/>
          <w:szCs w:val="21"/>
          <w:lang w:val="zh-CN"/>
        </w:rPr>
        <w:t>的</w:t>
      </w:r>
      <w:r>
        <w:rPr>
          <w:rFonts w:hint="default" w:ascii="Times New Roman" w:hAnsi="Times New Roman" w:cs="Times New Roman"/>
          <w:szCs w:val="21"/>
          <w:lang w:val="en-US" w:eastAsia="zh-CN"/>
        </w:rPr>
        <w:t>分类、</w:t>
      </w:r>
      <w:r>
        <w:rPr>
          <w:rFonts w:hint="default" w:ascii="Times New Roman" w:hAnsi="Times New Roman" w:cs="Times New Roman"/>
          <w:szCs w:val="21"/>
          <w:lang w:val="zh-CN"/>
        </w:rPr>
        <w:t>要求、试验方法、检</w:t>
      </w:r>
      <w:r>
        <w:rPr>
          <w:rFonts w:hint="default" w:ascii="Times New Roman" w:hAnsi="Times New Roman" w:cs="Times New Roman"/>
          <w:szCs w:val="21"/>
          <w:u w:val="none"/>
          <w:lang w:val="zh-CN"/>
        </w:rPr>
        <w:t>验规则、标志、</w:t>
      </w:r>
      <w:r>
        <w:rPr>
          <w:rFonts w:hint="default" w:ascii="Times New Roman" w:hAnsi="Times New Roman" w:cs="Times New Roman"/>
          <w:szCs w:val="21"/>
          <w:lang w:val="zh-CN"/>
        </w:rPr>
        <w:t>包装、运输及贮存</w:t>
      </w:r>
      <w:r>
        <w:rPr>
          <w:rFonts w:hint="default" w:ascii="Times New Roman" w:hAnsi="Times New Roman" w:cs="Times New Roman"/>
        </w:rPr>
        <w:t>。</w:t>
      </w:r>
    </w:p>
    <w:p w14:paraId="2DDA4BA5">
      <w:pPr>
        <w:pStyle w:val="14"/>
        <w:spacing w:line="360" w:lineRule="auto"/>
        <w:ind w:firstLine="420"/>
        <w:rPr>
          <w:rFonts w:hint="default" w:ascii="Times New Roman" w:hAnsi="Times New Roman" w:cs="Times New Roman"/>
          <w:highlight w:val="yellow"/>
        </w:rPr>
      </w:pPr>
      <w:r>
        <w:rPr>
          <w:rFonts w:hint="default" w:ascii="Times New Roman" w:hAnsi="Times New Roman" w:cs="Times New Roman"/>
        </w:rPr>
        <w:t>本文件适用于以水为分散介质，含有生物基原材料的水性聚氨酯系列产品。</w:t>
      </w:r>
    </w:p>
    <w:p w14:paraId="1A63ED06">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2.2.2  术语与定义</w:t>
      </w:r>
    </w:p>
    <w:p w14:paraId="6EAF6E53">
      <w:pPr>
        <w:spacing w:line="360" w:lineRule="auto"/>
        <w:ind w:firstLine="420" w:firstLineChars="0"/>
        <w:outlineLvl w:val="1"/>
        <w:rPr>
          <w:rFonts w:hint="default" w:ascii="Times New Roman" w:hAnsi="Times New Roman" w:cs="Times New Roman"/>
          <w:highlight w:val="none"/>
          <w:lang w:val="en-US" w:eastAsia="zh-CN"/>
        </w:rPr>
      </w:pPr>
      <w:r>
        <w:rPr>
          <w:rFonts w:hint="default" w:ascii="Times New Roman" w:hAnsi="Times New Roman" w:eastAsia="宋体" w:cs="Times New Roman"/>
          <w:highlight w:val="none"/>
        </w:rPr>
        <w:t>GB/T 39715等界定的以及下列术语和定义适用于本文件</w:t>
      </w:r>
      <w:r>
        <w:rPr>
          <w:rFonts w:hint="default" w:ascii="Times New Roman" w:hAnsi="Times New Roman" w:cs="Times New Roman"/>
          <w:highlight w:val="none"/>
        </w:rPr>
        <w:t>。</w:t>
      </w:r>
    </w:p>
    <w:p w14:paraId="45CCB97D">
      <w:pPr>
        <w:pStyle w:val="24"/>
        <w:numPr>
          <w:ilvl w:val="0"/>
          <w:numId w:val="0"/>
        </w:numPr>
        <w:spacing w:before="156" w:after="156" w:line="360" w:lineRule="auto"/>
        <w:rPr>
          <w:rFonts w:hint="default" w:ascii="Times New Roman" w:hAnsi="Times New Roman" w:eastAsia="黑体" w:cs="Times New Roman"/>
          <w:bCs/>
          <w:kern w:val="2"/>
          <w:sz w:val="24"/>
          <w:szCs w:val="24"/>
          <w:lang w:val="en-US" w:eastAsia="zh-CN" w:bidi="ar-SA"/>
        </w:rPr>
      </w:pPr>
      <w:r>
        <w:rPr>
          <w:rFonts w:hint="default" w:ascii="Times New Roman" w:hAnsi="Times New Roman" w:eastAsia="黑体" w:cs="Times New Roman"/>
          <w:bCs/>
          <w:kern w:val="2"/>
          <w:sz w:val="24"/>
          <w:szCs w:val="24"/>
          <w:lang w:val="en-US" w:eastAsia="zh-CN" w:bidi="ar-SA"/>
        </w:rPr>
        <w:t>2.2.2.1</w:t>
      </w:r>
    </w:p>
    <w:p w14:paraId="606AC4C2">
      <w:pPr>
        <w:pStyle w:val="24"/>
        <w:numPr>
          <w:ilvl w:val="0"/>
          <w:numId w:val="0"/>
        </w:numPr>
        <w:spacing w:before="156" w:after="156" w:line="360" w:lineRule="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bCs/>
          <w:kern w:val="2"/>
          <w:sz w:val="24"/>
          <w:szCs w:val="24"/>
          <w:lang w:val="en-US" w:eastAsia="zh-CN" w:bidi="ar-SA"/>
        </w:rPr>
        <w:t>生物基碳含量 biobased carbon content</w:t>
      </w:r>
    </w:p>
    <w:p w14:paraId="38191962">
      <w:pPr>
        <w:pStyle w:val="24"/>
        <w:numPr>
          <w:ilvl w:val="0"/>
          <w:numId w:val="0"/>
        </w:numPr>
        <w:spacing w:before="156" w:after="156"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产品中来源于生物质的碳含量。[来源：GB/T 39715.1-2021，3.1.1]</w:t>
      </w:r>
    </w:p>
    <w:p w14:paraId="6ED9DA71">
      <w:pPr>
        <w:pStyle w:val="24"/>
        <w:numPr>
          <w:ilvl w:val="0"/>
          <w:numId w:val="0"/>
        </w:numPr>
        <w:spacing w:before="156" w:after="156"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注:生物基碳含量用试样的质量百分数表示,如总碳含量百分数,或总有机碳含量百分数，本文件中指生物基碳占总有机碳百分数。</w:t>
      </w:r>
    </w:p>
    <w:p w14:paraId="74A50306">
      <w:pPr>
        <w:pStyle w:val="25"/>
        <w:widowControl w:val="0"/>
        <w:numPr>
          <w:ilvl w:val="0"/>
          <w:numId w:val="0"/>
        </w:numPr>
        <w:pBdr>
          <w:top w:val="none" w:color="auto" w:sz="0" w:space="1"/>
          <w:left w:val="none" w:color="auto" w:sz="0" w:space="4"/>
          <w:bottom w:val="none" w:color="auto" w:sz="0" w:space="1"/>
          <w:right w:val="none" w:color="auto" w:sz="0" w:space="4"/>
          <w:between w:val="none" w:color="auto" w:sz="0" w:space="0"/>
        </w:pBdr>
        <w:autoSpaceDE w:val="0"/>
        <w:autoSpaceDN w:val="0"/>
        <w:spacing w:line="360" w:lineRule="auto"/>
        <w:ind w:left="363" w:leftChars="0" w:firstLine="0" w:firstLineChars="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注:生物质指生物来源的材料，不包括矿物和/或化石的材料</w:t>
      </w:r>
    </w:p>
    <w:p w14:paraId="6430FF92">
      <w:pPr>
        <w:spacing w:line="360" w:lineRule="auto"/>
        <w:outlineLvl w:val="1"/>
        <w:rPr>
          <w:rFonts w:hint="default" w:ascii="Times New Roman" w:hAnsi="Times New Roman" w:cs="Times New Roman"/>
          <w:highlight w:val="none"/>
          <w:lang w:val="en-US" w:eastAsia="zh-CN"/>
        </w:rPr>
      </w:pPr>
      <w:r>
        <w:rPr>
          <w:rFonts w:hint="default" w:ascii="Times New Roman" w:hAnsi="Times New Roman" w:eastAsia="宋体" w:cs="Times New Roman"/>
          <w:kern w:val="2"/>
          <w:sz w:val="21"/>
          <w:szCs w:val="21"/>
          <w:lang w:val="en-US" w:eastAsia="zh-CN" w:bidi="ar-SA"/>
        </w:rPr>
        <w:t>[来源：GB/T 3</w:t>
      </w:r>
      <w:r>
        <w:rPr>
          <w:rFonts w:hint="default" w:ascii="Times New Roman" w:hAnsi="Times New Roman" w:cs="Times New Roman"/>
          <w:kern w:val="2"/>
          <w:sz w:val="21"/>
          <w:szCs w:val="21"/>
          <w:lang w:val="en-US" w:eastAsia="zh-CN" w:bidi="ar-SA"/>
        </w:rPr>
        <w:t>9</w:t>
      </w:r>
      <w:r>
        <w:rPr>
          <w:rFonts w:hint="default" w:ascii="Times New Roman" w:hAnsi="Times New Roman" w:eastAsia="宋体" w:cs="Times New Roman"/>
          <w:kern w:val="2"/>
          <w:sz w:val="21"/>
          <w:szCs w:val="21"/>
          <w:lang w:val="en-US" w:eastAsia="zh-CN" w:bidi="ar-SA"/>
        </w:rPr>
        <w:t>715.1-2021 塑料 生物及含量 第1部分：通用原则]</w:t>
      </w:r>
    </w:p>
    <w:p w14:paraId="417CD295">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2.2.3  分类</w:t>
      </w:r>
    </w:p>
    <w:p w14:paraId="6E422156">
      <w:pPr>
        <w:spacing w:line="360" w:lineRule="auto"/>
        <w:outlineLvl w:val="1"/>
        <w:rPr>
          <w:rFonts w:hint="default" w:ascii="Times New Roman" w:hAnsi="Times New Roman" w:eastAsia="黑体" w:cs="Times New Roman"/>
          <w:bCs/>
          <w:sz w:val="24"/>
          <w:lang w:val="en-US" w:eastAsia="zh-CN"/>
        </w:rPr>
      </w:pPr>
      <w:r>
        <w:rPr>
          <w:rFonts w:hint="default" w:ascii="Times New Roman" w:hAnsi="Times New Roman" w:eastAsia="黑体" w:cs="Times New Roman"/>
          <w:bCs/>
          <w:sz w:val="24"/>
          <w:lang w:val="en-US" w:eastAsia="zh-CN"/>
        </w:rPr>
        <w:t>2.2.3.1</w:t>
      </w:r>
    </w:p>
    <w:p w14:paraId="17404F62">
      <w:pPr>
        <w:pStyle w:val="24"/>
        <w:numPr>
          <w:ilvl w:val="1"/>
          <w:numId w:val="0"/>
        </w:numPr>
        <w:spacing w:before="156" w:after="156"/>
        <w:ind w:leftChars="0" w:firstLine="420" w:firstLineChars="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按照生物基水性聚氨酯的</w:t>
      </w:r>
      <w:r>
        <w:rPr>
          <w:rFonts w:hint="default" w:ascii="Times New Roman" w:hAnsi="Times New Roman" w:eastAsia="宋体" w:cs="Times New Roman"/>
          <w:b w:val="0"/>
          <w:bCs w:val="0"/>
        </w:rPr>
        <w:t>生物基含量</w:t>
      </w:r>
      <m:oMath>
        <m:sSubSup>
          <m:sSubSupPr>
            <m:ctrlPr>
              <w:rPr>
                <w:rFonts w:hint="default" w:ascii="Cambria Math" w:hAnsi="Cambria Math" w:eastAsia="宋体" w:cs="Times New Roman"/>
                <w:b w:val="0"/>
                <w:bCs w:val="0"/>
                <w:szCs w:val="21"/>
              </w:rPr>
            </m:ctrlPr>
          </m:sSubSupPr>
          <m:e>
            <m:r>
              <m:rPr>
                <m:nor/>
              </m:rPr>
              <w:rPr>
                <w:rFonts w:hint="default" w:ascii="Times New Roman" w:hAnsi="Times New Roman" w:eastAsia="宋体" w:cs="Times New Roman"/>
                <w:i/>
                <w:szCs w:val="21"/>
              </w:rPr>
              <m:t>x</m:t>
            </m:r>
            <m:ctrlPr>
              <w:rPr>
                <w:rFonts w:hint="default" w:ascii="Cambria Math" w:hAnsi="Cambria Math" w:eastAsia="宋体" w:cs="Times New Roman"/>
                <w:b w:val="0"/>
                <w:bCs w:val="0"/>
                <w:szCs w:val="21"/>
              </w:rPr>
            </m:ctrlPr>
          </m:e>
          <m:sub>
            <m:r>
              <m:rPr>
                <m:nor/>
              </m:rPr>
              <w:rPr>
                <w:rFonts w:hint="default" w:ascii="Times New Roman" w:hAnsi="Times New Roman" w:eastAsia="宋体" w:cs="Times New Roman"/>
                <w:i/>
                <w:szCs w:val="21"/>
              </w:rPr>
              <m:t>B</m:t>
            </m:r>
            <m:ctrlPr>
              <w:rPr>
                <w:rFonts w:hint="default" w:ascii="Cambria Math" w:hAnsi="Cambria Math" w:eastAsia="宋体" w:cs="Times New Roman"/>
                <w:b w:val="0"/>
                <w:bCs w:val="0"/>
                <w:szCs w:val="21"/>
              </w:rPr>
            </m:ctrlPr>
          </m:sub>
          <m:sup>
            <m:r>
              <m:rPr>
                <m:nor/>
              </m:rPr>
              <w:rPr>
                <w:rFonts w:hint="default" w:ascii="Times New Roman" w:hAnsi="Times New Roman" w:eastAsia="宋体" w:cs="Times New Roman"/>
                <w:i/>
                <w:szCs w:val="21"/>
              </w:rPr>
              <m:t>TOC</m:t>
            </m:r>
            <m:ctrlPr>
              <w:rPr>
                <w:rFonts w:hint="default" w:ascii="Cambria Math" w:hAnsi="Cambria Math" w:eastAsia="宋体" w:cs="Times New Roman"/>
                <w:b w:val="0"/>
                <w:bCs w:val="0"/>
                <w:szCs w:val="21"/>
              </w:rPr>
            </m:ctrlPr>
          </m:sup>
        </m:sSubSup>
      </m:oMath>
      <w:r>
        <w:rPr>
          <w:rFonts w:hint="default" w:ascii="Times New Roman" w:hAnsi="Times New Roman" w:eastAsia="宋体" w:cs="Times New Roman"/>
          <w:b w:val="0"/>
          <w:bCs w:val="0"/>
          <w:i w:val="0"/>
          <w:szCs w:val="21"/>
          <w:lang w:val="en-US" w:eastAsia="zh-CN"/>
        </w:rPr>
        <w:t>分类，见表1。</w:t>
      </w:r>
    </w:p>
    <w:p w14:paraId="578B83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表1 生物基水性聚氨酯的生物基含量分类</w:t>
      </w:r>
    </w:p>
    <w:tbl>
      <w:tblPr>
        <w:tblStyle w:val="10"/>
        <w:tblW w:w="8538" w:type="dxa"/>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806"/>
      </w:tblGrid>
      <w:tr w14:paraId="5E7E44E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vAlign w:val="center"/>
          </w:tcPr>
          <w:p w14:paraId="4EACB87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类别</w:t>
            </w:r>
          </w:p>
        </w:tc>
        <w:tc>
          <w:tcPr>
            <w:tcW w:w="4806" w:type="dxa"/>
            <w:tcBorders>
              <w:top w:val="single" w:color="auto" w:sz="4" w:space="0"/>
              <w:bottom w:val="single" w:color="auto" w:sz="4" w:space="0"/>
              <w:right w:val="single" w:color="auto" w:sz="4" w:space="0"/>
            </w:tcBorders>
            <w:vAlign w:val="center"/>
          </w:tcPr>
          <w:p w14:paraId="64C04CF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生物基含量</w:t>
            </w:r>
          </w:p>
        </w:tc>
      </w:tr>
      <w:tr w14:paraId="0F0C3FF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shd w:val="clear" w:color="auto" w:fill="auto"/>
            <w:vAlign w:val="center"/>
          </w:tcPr>
          <w:p w14:paraId="328C6A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A</w:t>
            </w:r>
          </w:p>
        </w:tc>
        <w:tc>
          <w:tcPr>
            <w:tcW w:w="4806" w:type="dxa"/>
            <w:tcBorders>
              <w:top w:val="single" w:color="auto" w:sz="4" w:space="0"/>
              <w:bottom w:val="single" w:color="auto" w:sz="4" w:space="0"/>
              <w:right w:val="single" w:color="auto" w:sz="4" w:space="0"/>
            </w:tcBorders>
            <w:shd w:val="clear" w:color="auto" w:fill="auto"/>
            <w:vAlign w:val="center"/>
          </w:tcPr>
          <w:p w14:paraId="1EC8C3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m:oMath>
              <m:sSubSup>
                <m:sSubSupPr>
                  <m:ctrlPr>
                    <w:rPr>
                      <w:rFonts w:hint="default" w:ascii="Cambria Math" w:hAnsi="Cambria Math" w:eastAsia="宋体" w:cs="Times New Roman"/>
                      <w:b w:val="0"/>
                      <w:bCs w:val="0"/>
                      <w:kern w:val="2"/>
                      <w:sz w:val="21"/>
                      <w:szCs w:val="21"/>
                      <w:vertAlign w:val="baseline"/>
                      <w:lang w:val="en-US" w:eastAsia="zh-CN" w:bidi="ar-SA"/>
                    </w:rPr>
                  </m:ctrlPr>
                </m:sSubSupPr>
                <m:e>
                  <m:r>
                    <m:rPr>
                      <m:nor/>
                      <m:sty m:val="p"/>
                    </m:rPr>
                    <w:rPr>
                      <w:rFonts w:hint="default" w:ascii="Times New Roman" w:hAnsi="Times New Roman" w:eastAsia="宋体" w:cs="Times New Roman"/>
                      <w:b w:val="0"/>
                      <w:bCs w:val="0"/>
                      <w:i w:val="0"/>
                      <w:kern w:val="2"/>
                      <w:sz w:val="21"/>
                      <w:szCs w:val="21"/>
                      <w:vertAlign w:val="baseline"/>
                      <w:lang w:val="en-US" w:eastAsia="zh-CN" w:bidi="ar-SA"/>
                    </w:rPr>
                    <m:t>x</m:t>
                  </m:r>
                  <m:ctrlPr>
                    <w:rPr>
                      <w:rFonts w:hint="default" w:ascii="Cambria Math" w:hAnsi="Cambria Math" w:eastAsia="宋体" w:cs="Times New Roman"/>
                      <w:b w:val="0"/>
                      <w:bCs w:val="0"/>
                      <w:kern w:val="2"/>
                      <w:sz w:val="21"/>
                      <w:szCs w:val="21"/>
                      <w:vertAlign w:val="baseline"/>
                      <w:lang w:val="en-US" w:eastAsia="zh-CN" w:bidi="ar-SA"/>
                    </w:rPr>
                  </m:ctrlPr>
                </m:e>
                <m:sub>
                  <m:r>
                    <m:rPr>
                      <m:nor/>
                      <m:sty m:val="p"/>
                    </m:rPr>
                    <w:rPr>
                      <w:rFonts w:hint="default" w:ascii="Times New Roman" w:hAnsi="Times New Roman" w:eastAsia="宋体" w:cs="Times New Roman"/>
                      <w:b w:val="0"/>
                      <w:bCs w:val="0"/>
                      <w:i w:val="0"/>
                      <w:kern w:val="2"/>
                      <w:sz w:val="21"/>
                      <w:szCs w:val="21"/>
                      <w:vertAlign w:val="baseline"/>
                      <w:lang w:val="en-US" w:eastAsia="zh-CN" w:bidi="ar-SA"/>
                    </w:rPr>
                    <m:t>B</m:t>
                  </m:r>
                  <m:ctrlPr>
                    <w:rPr>
                      <w:rFonts w:hint="default" w:ascii="Cambria Math" w:hAnsi="Cambria Math" w:eastAsia="宋体" w:cs="Times New Roman"/>
                      <w:b w:val="0"/>
                      <w:bCs w:val="0"/>
                      <w:kern w:val="2"/>
                      <w:sz w:val="21"/>
                      <w:szCs w:val="21"/>
                      <w:vertAlign w:val="baseline"/>
                      <w:lang w:val="en-US" w:eastAsia="zh-CN" w:bidi="ar-SA"/>
                    </w:rPr>
                  </m:ctrlPr>
                </m:sub>
                <m:sup>
                  <m:r>
                    <m:rPr>
                      <m:nor/>
                      <m:sty m:val="p"/>
                    </m:rPr>
                    <w:rPr>
                      <w:rFonts w:hint="default" w:ascii="Times New Roman" w:hAnsi="Times New Roman" w:eastAsia="宋体" w:cs="Times New Roman"/>
                      <w:b w:val="0"/>
                      <w:bCs w:val="0"/>
                      <w:i w:val="0"/>
                      <w:kern w:val="2"/>
                      <w:sz w:val="21"/>
                      <w:szCs w:val="21"/>
                      <w:vertAlign w:val="baseline"/>
                      <w:lang w:val="en-US" w:eastAsia="zh-CN" w:bidi="ar-SA"/>
                    </w:rPr>
                    <m:t>TOC</m:t>
                  </m:r>
                  <m:ctrlPr>
                    <w:rPr>
                      <w:rFonts w:hint="default" w:ascii="Cambria Math" w:hAnsi="Cambria Math" w:eastAsia="宋体" w:cs="Times New Roman"/>
                      <w:b w:val="0"/>
                      <w:bCs w:val="0"/>
                      <w:kern w:val="2"/>
                      <w:sz w:val="21"/>
                      <w:szCs w:val="21"/>
                      <w:vertAlign w:val="baseline"/>
                      <w:lang w:val="en-US" w:eastAsia="zh-CN" w:bidi="ar-SA"/>
                    </w:rPr>
                  </m:ctrlPr>
                </m:sup>
              </m:sSubSup>
            </m:oMath>
            <w:r>
              <w:rPr>
                <w:rFonts w:hint="default" w:ascii="Times New Roman" w:hAnsi="Times New Roman" w:eastAsia="宋体" w:cs="Times New Roman"/>
                <w:b w:val="0"/>
                <w:bCs w:val="0"/>
                <w:kern w:val="2"/>
                <w:sz w:val="21"/>
                <w:szCs w:val="21"/>
                <w:vertAlign w:val="baseline"/>
                <w:lang w:val="en-US" w:eastAsia="zh-CN" w:bidi="ar-SA"/>
              </w:rPr>
              <w:t>≥70%</w:t>
            </w:r>
          </w:p>
        </w:tc>
      </w:tr>
      <w:tr w14:paraId="41CEF14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vAlign w:val="center"/>
          </w:tcPr>
          <w:p w14:paraId="1B6C637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B</w:t>
            </w:r>
          </w:p>
        </w:tc>
        <w:tc>
          <w:tcPr>
            <w:tcW w:w="4806" w:type="dxa"/>
            <w:tcBorders>
              <w:top w:val="single" w:color="auto" w:sz="4" w:space="0"/>
              <w:bottom w:val="single" w:color="auto" w:sz="4" w:space="0"/>
              <w:right w:val="single" w:color="auto" w:sz="4" w:space="0"/>
            </w:tcBorders>
            <w:vAlign w:val="center"/>
          </w:tcPr>
          <w:p w14:paraId="6F19893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40%≤</w:t>
            </w:r>
            <m:oMath>
              <m:sSubSup>
                <m:sSubSupPr>
                  <m:ctrlPr>
                    <w:rPr>
                      <w:rFonts w:hint="default" w:ascii="Cambria Math" w:hAnsi="Cambria Math" w:eastAsia="宋体" w:cs="Times New Roman"/>
                      <w:b w:val="0"/>
                      <w:bCs w:val="0"/>
                      <w:kern w:val="2"/>
                      <w:sz w:val="21"/>
                      <w:szCs w:val="21"/>
                      <w:vertAlign w:val="baseline"/>
                      <w:lang w:val="en-US" w:eastAsia="zh-CN" w:bidi="ar-SA"/>
                    </w:rPr>
                  </m:ctrlPr>
                </m:sSubSupPr>
                <m:e>
                  <m:r>
                    <m:rPr>
                      <m:nor/>
                      <m:sty m:val="p"/>
                    </m:rPr>
                    <w:rPr>
                      <w:rFonts w:hint="default" w:ascii="Times New Roman" w:hAnsi="Times New Roman" w:eastAsia="宋体" w:cs="Times New Roman"/>
                      <w:b w:val="0"/>
                      <w:bCs w:val="0"/>
                      <w:i w:val="0"/>
                      <w:kern w:val="2"/>
                      <w:sz w:val="21"/>
                      <w:szCs w:val="21"/>
                      <w:vertAlign w:val="baseline"/>
                      <w:lang w:val="en-US" w:eastAsia="zh-CN" w:bidi="ar-SA"/>
                    </w:rPr>
                    <m:t>x</m:t>
                  </m:r>
                  <m:ctrlPr>
                    <w:rPr>
                      <w:rFonts w:hint="default" w:ascii="Cambria Math" w:hAnsi="Cambria Math" w:eastAsia="宋体" w:cs="Times New Roman"/>
                      <w:b w:val="0"/>
                      <w:bCs w:val="0"/>
                      <w:kern w:val="2"/>
                      <w:sz w:val="21"/>
                      <w:szCs w:val="21"/>
                      <w:vertAlign w:val="baseline"/>
                      <w:lang w:val="en-US" w:eastAsia="zh-CN" w:bidi="ar-SA"/>
                    </w:rPr>
                  </m:ctrlPr>
                </m:e>
                <m:sub>
                  <m:r>
                    <m:rPr>
                      <m:nor/>
                      <m:sty m:val="p"/>
                    </m:rPr>
                    <w:rPr>
                      <w:rFonts w:hint="default" w:ascii="Times New Roman" w:hAnsi="Times New Roman" w:eastAsia="宋体" w:cs="Times New Roman"/>
                      <w:b w:val="0"/>
                      <w:bCs w:val="0"/>
                      <w:i w:val="0"/>
                      <w:kern w:val="2"/>
                      <w:sz w:val="21"/>
                      <w:szCs w:val="21"/>
                      <w:vertAlign w:val="baseline"/>
                      <w:lang w:val="en-US" w:eastAsia="zh-CN" w:bidi="ar-SA"/>
                    </w:rPr>
                    <m:t>B</m:t>
                  </m:r>
                  <m:ctrlPr>
                    <w:rPr>
                      <w:rFonts w:hint="default" w:ascii="Cambria Math" w:hAnsi="Cambria Math" w:eastAsia="宋体" w:cs="Times New Roman"/>
                      <w:b w:val="0"/>
                      <w:bCs w:val="0"/>
                      <w:kern w:val="2"/>
                      <w:sz w:val="21"/>
                      <w:szCs w:val="21"/>
                      <w:vertAlign w:val="baseline"/>
                      <w:lang w:val="en-US" w:eastAsia="zh-CN" w:bidi="ar-SA"/>
                    </w:rPr>
                  </m:ctrlPr>
                </m:sub>
                <m:sup>
                  <m:r>
                    <m:rPr>
                      <m:nor/>
                      <m:sty m:val="p"/>
                    </m:rPr>
                    <w:rPr>
                      <w:rFonts w:hint="default" w:ascii="Times New Roman" w:hAnsi="Times New Roman" w:eastAsia="宋体" w:cs="Times New Roman"/>
                      <w:b w:val="0"/>
                      <w:bCs w:val="0"/>
                      <w:i w:val="0"/>
                      <w:kern w:val="2"/>
                      <w:sz w:val="21"/>
                      <w:szCs w:val="21"/>
                      <w:vertAlign w:val="baseline"/>
                      <w:lang w:val="en-US" w:eastAsia="zh-CN" w:bidi="ar-SA"/>
                    </w:rPr>
                    <m:t>TOC</m:t>
                  </m:r>
                  <m:ctrlPr>
                    <w:rPr>
                      <w:rFonts w:hint="default" w:ascii="Cambria Math" w:hAnsi="Cambria Math" w:eastAsia="宋体" w:cs="Times New Roman"/>
                      <w:b w:val="0"/>
                      <w:bCs w:val="0"/>
                      <w:kern w:val="2"/>
                      <w:sz w:val="21"/>
                      <w:szCs w:val="21"/>
                      <w:vertAlign w:val="baseline"/>
                      <w:lang w:val="en-US" w:eastAsia="zh-CN" w:bidi="ar-SA"/>
                    </w:rPr>
                  </m:ctrlPr>
                </m:sup>
              </m:sSubSup>
            </m:oMath>
            <w:r>
              <w:rPr>
                <w:rFonts w:hint="default" w:ascii="Times New Roman" w:hAnsi="Times New Roman" w:eastAsia="宋体" w:cs="Times New Roman"/>
                <w:b w:val="0"/>
                <w:bCs w:val="0"/>
                <w:kern w:val="2"/>
                <w:sz w:val="21"/>
                <w:szCs w:val="21"/>
                <w:vertAlign w:val="baseline"/>
                <w:lang w:val="en-US" w:eastAsia="zh-CN" w:bidi="ar-SA"/>
              </w:rPr>
              <w:t>＜70%</w:t>
            </w:r>
          </w:p>
        </w:tc>
      </w:tr>
      <w:tr w14:paraId="1574A3B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vAlign w:val="center"/>
          </w:tcPr>
          <w:p w14:paraId="7EA5E05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C</w:t>
            </w:r>
          </w:p>
        </w:tc>
        <w:tc>
          <w:tcPr>
            <w:tcW w:w="4806" w:type="dxa"/>
            <w:tcBorders>
              <w:top w:val="single" w:color="auto" w:sz="4" w:space="0"/>
              <w:bottom w:val="single" w:color="auto" w:sz="4" w:space="0"/>
              <w:right w:val="single" w:color="auto" w:sz="4" w:space="0"/>
            </w:tcBorders>
            <w:vAlign w:val="center"/>
          </w:tcPr>
          <w:p w14:paraId="5C8102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25%≤</w:t>
            </w:r>
            <m:oMath>
              <m:sSubSup>
                <m:sSubSupPr>
                  <m:ctrlPr>
                    <w:rPr>
                      <w:rFonts w:hint="default" w:ascii="Cambria Math" w:hAnsi="Cambria Math" w:eastAsia="宋体" w:cs="Times New Roman"/>
                      <w:b w:val="0"/>
                      <w:bCs w:val="0"/>
                      <w:kern w:val="2"/>
                      <w:sz w:val="21"/>
                      <w:szCs w:val="21"/>
                      <w:vertAlign w:val="baseline"/>
                      <w:lang w:val="en-US" w:eastAsia="zh-CN" w:bidi="ar-SA"/>
                    </w:rPr>
                  </m:ctrlPr>
                </m:sSubSupPr>
                <m:e>
                  <m:r>
                    <m:rPr>
                      <m:nor/>
                      <m:sty m:val="p"/>
                    </m:rPr>
                    <w:rPr>
                      <w:rFonts w:hint="default" w:ascii="Times New Roman" w:hAnsi="Times New Roman" w:eastAsia="宋体" w:cs="Times New Roman"/>
                      <w:b w:val="0"/>
                      <w:bCs w:val="0"/>
                      <w:i w:val="0"/>
                      <w:kern w:val="2"/>
                      <w:sz w:val="21"/>
                      <w:szCs w:val="21"/>
                      <w:vertAlign w:val="baseline"/>
                      <w:lang w:val="en-US" w:eastAsia="zh-CN" w:bidi="ar-SA"/>
                    </w:rPr>
                    <m:t>x</m:t>
                  </m:r>
                  <m:ctrlPr>
                    <w:rPr>
                      <w:rFonts w:hint="default" w:ascii="Cambria Math" w:hAnsi="Cambria Math" w:eastAsia="宋体" w:cs="Times New Roman"/>
                      <w:b w:val="0"/>
                      <w:bCs w:val="0"/>
                      <w:kern w:val="2"/>
                      <w:sz w:val="21"/>
                      <w:szCs w:val="21"/>
                      <w:vertAlign w:val="baseline"/>
                      <w:lang w:val="en-US" w:eastAsia="zh-CN" w:bidi="ar-SA"/>
                    </w:rPr>
                  </m:ctrlPr>
                </m:e>
                <m:sub>
                  <m:r>
                    <m:rPr>
                      <m:nor/>
                      <m:sty m:val="p"/>
                    </m:rPr>
                    <w:rPr>
                      <w:rFonts w:hint="default" w:ascii="Times New Roman" w:hAnsi="Times New Roman" w:eastAsia="宋体" w:cs="Times New Roman"/>
                      <w:b w:val="0"/>
                      <w:bCs w:val="0"/>
                      <w:i w:val="0"/>
                      <w:kern w:val="2"/>
                      <w:sz w:val="21"/>
                      <w:szCs w:val="21"/>
                      <w:vertAlign w:val="baseline"/>
                      <w:lang w:val="en-US" w:eastAsia="zh-CN" w:bidi="ar-SA"/>
                    </w:rPr>
                    <m:t>B</m:t>
                  </m:r>
                  <m:ctrlPr>
                    <w:rPr>
                      <w:rFonts w:hint="default" w:ascii="Cambria Math" w:hAnsi="Cambria Math" w:eastAsia="宋体" w:cs="Times New Roman"/>
                      <w:b w:val="0"/>
                      <w:bCs w:val="0"/>
                      <w:kern w:val="2"/>
                      <w:sz w:val="21"/>
                      <w:szCs w:val="21"/>
                      <w:vertAlign w:val="baseline"/>
                      <w:lang w:val="en-US" w:eastAsia="zh-CN" w:bidi="ar-SA"/>
                    </w:rPr>
                  </m:ctrlPr>
                </m:sub>
                <m:sup>
                  <m:r>
                    <m:rPr>
                      <m:nor/>
                      <m:sty m:val="p"/>
                    </m:rPr>
                    <w:rPr>
                      <w:rFonts w:hint="default" w:ascii="Times New Roman" w:hAnsi="Times New Roman" w:eastAsia="宋体" w:cs="Times New Roman"/>
                      <w:b w:val="0"/>
                      <w:bCs w:val="0"/>
                      <w:i w:val="0"/>
                      <w:kern w:val="2"/>
                      <w:sz w:val="21"/>
                      <w:szCs w:val="21"/>
                      <w:vertAlign w:val="baseline"/>
                      <w:lang w:val="en-US" w:eastAsia="zh-CN" w:bidi="ar-SA"/>
                    </w:rPr>
                    <m:t>TOC</m:t>
                  </m:r>
                  <m:ctrlPr>
                    <w:rPr>
                      <w:rFonts w:hint="default" w:ascii="Cambria Math" w:hAnsi="Cambria Math" w:eastAsia="宋体" w:cs="Times New Roman"/>
                      <w:b w:val="0"/>
                      <w:bCs w:val="0"/>
                      <w:kern w:val="2"/>
                      <w:sz w:val="21"/>
                      <w:szCs w:val="21"/>
                      <w:vertAlign w:val="baseline"/>
                      <w:lang w:val="en-US" w:eastAsia="zh-CN" w:bidi="ar-SA"/>
                    </w:rPr>
                  </m:ctrlPr>
                </m:sup>
              </m:sSubSup>
            </m:oMath>
            <w:r>
              <w:rPr>
                <w:rFonts w:hint="default" w:ascii="Times New Roman" w:hAnsi="Times New Roman" w:eastAsia="宋体" w:cs="Times New Roman"/>
                <w:b w:val="0"/>
                <w:bCs w:val="0"/>
                <w:kern w:val="2"/>
                <w:sz w:val="21"/>
                <w:szCs w:val="21"/>
                <w:vertAlign w:val="baseline"/>
                <w:lang w:val="en-US" w:eastAsia="zh-CN" w:bidi="ar-SA"/>
              </w:rPr>
              <w:t>＜40%</w:t>
            </w:r>
          </w:p>
        </w:tc>
      </w:tr>
    </w:tbl>
    <w:p w14:paraId="7895D342">
      <w:pPr>
        <w:pStyle w:val="24"/>
        <w:numPr>
          <w:ilvl w:val="1"/>
          <w:numId w:val="0"/>
        </w:numPr>
        <w:spacing w:before="156" w:after="156"/>
        <w:rPr>
          <w:rFonts w:hint="default" w:ascii="Times New Roman" w:hAnsi="Times New Roman" w:eastAsia="黑体" w:cs="Times New Roman"/>
          <w:bCs/>
          <w:kern w:val="2"/>
          <w:sz w:val="24"/>
          <w:szCs w:val="24"/>
          <w:lang w:val="en-US" w:eastAsia="zh-CN" w:bidi="ar-SA"/>
        </w:rPr>
      </w:pPr>
      <w:r>
        <w:rPr>
          <w:rFonts w:hint="default" w:ascii="Times New Roman" w:hAnsi="Times New Roman" w:eastAsia="黑体" w:cs="Times New Roman"/>
          <w:bCs/>
          <w:kern w:val="2"/>
          <w:sz w:val="24"/>
          <w:szCs w:val="24"/>
          <w:lang w:val="en-US" w:eastAsia="zh-CN" w:bidi="ar-SA"/>
        </w:rPr>
        <w:t>2.2.3.2</w:t>
      </w:r>
    </w:p>
    <w:p w14:paraId="47AA6D5A">
      <w:pPr>
        <w:pStyle w:val="24"/>
        <w:numPr>
          <w:ilvl w:val="1"/>
          <w:numId w:val="0"/>
        </w:numPr>
        <w:spacing w:before="156" w:after="156"/>
        <w:ind w:firstLine="420" w:firstLineChars="0"/>
        <w:rPr>
          <w:rFonts w:hint="default" w:ascii="Times New Roman" w:hAnsi="Times New Roman" w:cs="Times New Roman"/>
          <w:i w:val="0"/>
          <w:sz w:val="21"/>
          <w:szCs w:val="21"/>
          <w:lang w:val="en-US" w:eastAsia="zh-CN"/>
        </w:rPr>
      </w:pPr>
      <w:r>
        <w:rPr>
          <w:rFonts w:hint="default" w:ascii="Times New Roman" w:hAnsi="Times New Roman" w:eastAsia="宋体" w:cs="Times New Roman"/>
          <w:sz w:val="21"/>
          <w:szCs w:val="21"/>
          <w:lang w:val="en-US" w:eastAsia="zh-CN"/>
        </w:rPr>
        <w:t>按照生物基水性聚氨酯的</w:t>
      </w:r>
      <w:r>
        <w:rPr>
          <w:rFonts w:hint="default" w:ascii="Times New Roman" w:hAnsi="Times New Roman" w:eastAsia="宋体" w:cs="Times New Roman"/>
          <w:sz w:val="21"/>
          <w:szCs w:val="21"/>
          <w:vertAlign w:val="baseline"/>
          <w:lang w:val="en-US" w:eastAsia="zh-CN"/>
        </w:rPr>
        <w:t>100%模量</w:t>
      </w:r>
      <w:r>
        <w:rPr>
          <w:rFonts w:hint="default" w:ascii="Times New Roman" w:hAnsi="Times New Roman" w:eastAsia="宋体" w:cs="Times New Roman"/>
          <w:i w:val="0"/>
          <w:sz w:val="21"/>
          <w:szCs w:val="21"/>
          <w:lang w:val="en-US" w:eastAsia="zh-CN"/>
        </w:rPr>
        <w:t>分类，见表2。</w:t>
      </w:r>
    </w:p>
    <w:p w14:paraId="064FB16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表2 按100%模量分类</w:t>
      </w:r>
    </w:p>
    <w:tbl>
      <w:tblPr>
        <w:tblStyle w:val="10"/>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816"/>
      </w:tblGrid>
      <w:tr w14:paraId="2140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vAlign w:val="center"/>
          </w:tcPr>
          <w:p w14:paraId="5A5DB5E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型号</w:t>
            </w:r>
          </w:p>
        </w:tc>
        <w:tc>
          <w:tcPr>
            <w:tcW w:w="4816" w:type="dxa"/>
            <w:tcBorders>
              <w:top w:val="single" w:color="auto" w:sz="4" w:space="0"/>
              <w:bottom w:val="single" w:color="auto" w:sz="4" w:space="0"/>
              <w:right w:val="single" w:color="auto" w:sz="4" w:space="0"/>
            </w:tcBorders>
            <w:vAlign w:val="center"/>
          </w:tcPr>
          <w:p w14:paraId="4AFAA76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100%模量/Mpa</w:t>
            </w:r>
          </w:p>
        </w:tc>
      </w:tr>
      <w:tr w14:paraId="683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shd w:val="clear" w:color="auto" w:fill="auto"/>
            <w:vAlign w:val="center"/>
          </w:tcPr>
          <w:p w14:paraId="4BD15EC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Ⅰ</w:t>
            </w:r>
          </w:p>
        </w:tc>
        <w:tc>
          <w:tcPr>
            <w:tcW w:w="4816" w:type="dxa"/>
            <w:tcBorders>
              <w:top w:val="single" w:color="auto" w:sz="4" w:space="0"/>
              <w:bottom w:val="single" w:color="auto" w:sz="4" w:space="0"/>
              <w:right w:val="single" w:color="auto" w:sz="4" w:space="0"/>
            </w:tcBorders>
            <w:shd w:val="clear" w:color="auto" w:fill="auto"/>
            <w:vAlign w:val="center"/>
          </w:tcPr>
          <w:p w14:paraId="5ACBC1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＜2.5</w:t>
            </w:r>
          </w:p>
        </w:tc>
      </w:tr>
      <w:tr w14:paraId="1E1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auto" w:sz="4" w:space="0"/>
              <w:left w:val="single" w:color="auto" w:sz="4" w:space="0"/>
              <w:bottom w:val="single" w:color="auto" w:sz="4" w:space="0"/>
            </w:tcBorders>
            <w:vAlign w:val="center"/>
          </w:tcPr>
          <w:p w14:paraId="4818284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Ⅱ</w:t>
            </w:r>
          </w:p>
        </w:tc>
        <w:tc>
          <w:tcPr>
            <w:tcW w:w="4816" w:type="dxa"/>
            <w:tcBorders>
              <w:top w:val="single" w:color="auto" w:sz="4" w:space="0"/>
              <w:bottom w:val="single" w:color="auto" w:sz="4" w:space="0"/>
              <w:right w:val="single" w:color="auto" w:sz="4" w:space="0"/>
            </w:tcBorders>
            <w:vAlign w:val="center"/>
          </w:tcPr>
          <w:p w14:paraId="508CAB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≥2.5</w:t>
            </w:r>
          </w:p>
        </w:tc>
      </w:tr>
    </w:tbl>
    <w:p w14:paraId="03B97A95">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2.2.4  要求</w:t>
      </w:r>
    </w:p>
    <w:p w14:paraId="4A916E4E">
      <w:pPr>
        <w:spacing w:line="360" w:lineRule="auto"/>
        <w:outlineLvl w:val="2"/>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2.2.4.1  生物基碳含量</w:t>
      </w:r>
    </w:p>
    <w:p w14:paraId="05C5242A">
      <w:pPr>
        <w:pStyle w:val="14"/>
        <w:spacing w:line="360" w:lineRule="auto"/>
        <w:ind w:firstLine="420"/>
        <w:rPr>
          <w:rFonts w:hint="default" w:ascii="Times New Roman" w:hAnsi="Times New Roman" w:cs="Times New Roman"/>
          <w:highlight w:val="yellow"/>
        </w:rPr>
      </w:pPr>
      <w:r>
        <w:rPr>
          <w:rFonts w:hint="default" w:ascii="Times New Roman" w:hAnsi="Times New Roman" w:cs="Times New Roman"/>
          <w:highlight w:val="none"/>
        </w:rPr>
        <w:t>结合现有市场上对生物基产品的要求、技术水平以及生产成本的情况，生物基水性聚氨酯的生物基碳含量定为不低于25%。</w:t>
      </w:r>
    </w:p>
    <w:p w14:paraId="49F21387">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2.2.4.2  外观</w:t>
      </w:r>
    </w:p>
    <w:p w14:paraId="45A10B84">
      <w:pPr>
        <w:pStyle w:val="14"/>
        <w:spacing w:line="360" w:lineRule="auto"/>
        <w:ind w:firstLine="420"/>
        <w:rPr>
          <w:rFonts w:hint="default" w:ascii="Times New Roman" w:hAnsi="Times New Roman" w:eastAsia="宋体" w:cs="Times New Roman"/>
          <w:lang w:eastAsia="zh-CN"/>
        </w:rPr>
      </w:pPr>
      <w:r>
        <w:rPr>
          <w:rFonts w:hint="default" w:ascii="Times New Roman" w:hAnsi="Times New Roman" w:cs="Times New Roman"/>
        </w:rPr>
        <w:t>产品应为半透明至乳白色液体，允许有泛蓝光。取约100g产品倒入清洁、干燥、无色透明的表面皿中，在自然光或D65光下目测</w:t>
      </w:r>
      <w:r>
        <w:rPr>
          <w:rFonts w:hint="default" w:ascii="Times New Roman" w:hAnsi="Times New Roman" w:cs="Times New Roman"/>
          <w:lang w:eastAsia="zh-CN"/>
        </w:rPr>
        <w:t>。</w:t>
      </w:r>
    </w:p>
    <w:p w14:paraId="34485710">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w:t>
      </w:r>
      <w:r>
        <w:rPr>
          <w:rFonts w:hint="default" w:ascii="Times New Roman" w:hAnsi="Times New Roman" w:eastAsia="黑体" w:cs="Times New Roman"/>
          <w:bCs/>
          <w:sz w:val="24"/>
          <w:lang w:val="en-US" w:eastAsia="zh-CN"/>
        </w:rPr>
        <w:t>3</w:t>
      </w:r>
      <w:r>
        <w:rPr>
          <w:rFonts w:hint="default" w:ascii="Times New Roman" w:hAnsi="Times New Roman" w:eastAsia="黑体" w:cs="Times New Roman"/>
          <w:bCs/>
          <w:sz w:val="24"/>
        </w:rPr>
        <w:t xml:space="preserve">  技术要求</w:t>
      </w:r>
    </w:p>
    <w:p w14:paraId="105CE8D4">
      <w:pPr>
        <w:pStyle w:val="14"/>
        <w:spacing w:line="360" w:lineRule="auto"/>
        <w:ind w:firstLine="420"/>
        <w:rPr>
          <w:rFonts w:hint="default" w:ascii="Times New Roman" w:hAnsi="Times New Roman" w:cs="Times New Roman"/>
        </w:rPr>
      </w:pPr>
      <w:r>
        <w:rPr>
          <w:rFonts w:hint="default" w:ascii="Times New Roman" w:hAnsi="Times New Roman" w:cs="Times New Roman"/>
        </w:rPr>
        <w:t>产品性能要求应符合表</w:t>
      </w:r>
      <w:r>
        <w:rPr>
          <w:rFonts w:hint="default" w:ascii="Times New Roman" w:hAnsi="Times New Roman" w:cs="Times New Roman"/>
          <w:lang w:val="en-US" w:eastAsia="zh-CN"/>
        </w:rPr>
        <w:t>3</w:t>
      </w:r>
      <w:r>
        <w:rPr>
          <w:rFonts w:hint="default" w:ascii="Times New Roman" w:hAnsi="Times New Roman" w:cs="Times New Roman"/>
        </w:rPr>
        <w:t>要求。</w:t>
      </w:r>
    </w:p>
    <w:p w14:paraId="2D483D5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表3 产品性能指标要求</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711"/>
        <w:gridCol w:w="1314"/>
        <w:gridCol w:w="801"/>
        <w:gridCol w:w="4200"/>
      </w:tblGrid>
      <w:tr w14:paraId="58DD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 w:type="pct"/>
            <w:vMerge w:val="restart"/>
            <w:tcBorders>
              <w:tl2br w:val="nil"/>
              <w:tr2bl w:val="nil"/>
            </w:tcBorders>
            <w:vAlign w:val="center"/>
          </w:tcPr>
          <w:p w14:paraId="795903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序号</w:t>
            </w:r>
          </w:p>
        </w:tc>
        <w:tc>
          <w:tcPr>
            <w:tcW w:w="1004" w:type="pct"/>
            <w:vMerge w:val="restart"/>
            <w:tcBorders>
              <w:tl2br w:val="nil"/>
              <w:tr2bl w:val="nil"/>
            </w:tcBorders>
            <w:vAlign w:val="center"/>
          </w:tcPr>
          <w:p w14:paraId="7EA2BB4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项目</w:t>
            </w:r>
          </w:p>
        </w:tc>
        <w:tc>
          <w:tcPr>
            <w:tcW w:w="1241" w:type="pct"/>
            <w:gridSpan w:val="2"/>
            <w:tcBorders>
              <w:tl2br w:val="nil"/>
              <w:tr2bl w:val="nil"/>
            </w:tcBorders>
            <w:vAlign w:val="center"/>
          </w:tcPr>
          <w:p w14:paraId="13FDB19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要求</w:t>
            </w:r>
          </w:p>
        </w:tc>
        <w:tc>
          <w:tcPr>
            <w:tcW w:w="2464" w:type="pct"/>
            <w:vMerge w:val="restart"/>
            <w:tcBorders>
              <w:tl2br w:val="nil"/>
              <w:tr2bl w:val="nil"/>
            </w:tcBorders>
            <w:vAlign w:val="center"/>
          </w:tcPr>
          <w:p w14:paraId="27E55C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测试方法</w:t>
            </w:r>
          </w:p>
        </w:tc>
      </w:tr>
      <w:tr w14:paraId="14EC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 w:type="pct"/>
            <w:vMerge w:val="continue"/>
            <w:tcBorders>
              <w:tl2br w:val="nil"/>
              <w:tr2bl w:val="nil"/>
            </w:tcBorders>
            <w:vAlign w:val="center"/>
          </w:tcPr>
          <w:p w14:paraId="02EE7ED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c>
          <w:tcPr>
            <w:tcW w:w="1004" w:type="pct"/>
            <w:vMerge w:val="continue"/>
            <w:tcBorders>
              <w:tl2br w:val="nil"/>
              <w:tr2bl w:val="nil"/>
            </w:tcBorders>
            <w:vAlign w:val="center"/>
          </w:tcPr>
          <w:p w14:paraId="5BC330C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c>
          <w:tcPr>
            <w:tcW w:w="771" w:type="pct"/>
            <w:tcBorders>
              <w:tl2br w:val="nil"/>
              <w:tr2bl w:val="nil"/>
            </w:tcBorders>
            <w:vAlign w:val="center"/>
          </w:tcPr>
          <w:p w14:paraId="1D817C2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Ⅰ型</w:t>
            </w:r>
          </w:p>
        </w:tc>
        <w:tc>
          <w:tcPr>
            <w:tcW w:w="470" w:type="pct"/>
            <w:tcBorders>
              <w:tl2br w:val="nil"/>
              <w:tr2bl w:val="nil"/>
            </w:tcBorders>
            <w:vAlign w:val="center"/>
          </w:tcPr>
          <w:p w14:paraId="7348123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Ⅱ型</w:t>
            </w:r>
          </w:p>
        </w:tc>
        <w:tc>
          <w:tcPr>
            <w:tcW w:w="2464" w:type="pct"/>
            <w:vMerge w:val="continue"/>
            <w:tcBorders>
              <w:tl2br w:val="nil"/>
              <w:tr2bl w:val="nil"/>
            </w:tcBorders>
            <w:vAlign w:val="center"/>
          </w:tcPr>
          <w:p w14:paraId="5AD874F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r>
      <w:tr w14:paraId="52E1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9" w:type="pct"/>
            <w:tcBorders>
              <w:tl2br w:val="nil"/>
              <w:tr2bl w:val="nil"/>
            </w:tcBorders>
            <w:vAlign w:val="center"/>
          </w:tcPr>
          <w:p w14:paraId="0469525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1</w:t>
            </w:r>
          </w:p>
        </w:tc>
        <w:tc>
          <w:tcPr>
            <w:tcW w:w="1004" w:type="pct"/>
            <w:tcBorders>
              <w:tl2br w:val="nil"/>
              <w:tr2bl w:val="nil"/>
            </w:tcBorders>
            <w:vAlign w:val="center"/>
          </w:tcPr>
          <w:p w14:paraId="6C1CF51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100%模量/Mpa</w:t>
            </w:r>
          </w:p>
        </w:tc>
        <w:tc>
          <w:tcPr>
            <w:tcW w:w="771" w:type="pct"/>
            <w:tcBorders>
              <w:tl2br w:val="nil"/>
              <w:tr2bl w:val="nil"/>
            </w:tcBorders>
            <w:shd w:val="clear" w:color="auto" w:fill="auto"/>
            <w:vAlign w:val="center"/>
          </w:tcPr>
          <w:p w14:paraId="45BE50C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＜2.5</w:t>
            </w:r>
          </w:p>
        </w:tc>
        <w:tc>
          <w:tcPr>
            <w:tcW w:w="470" w:type="pct"/>
            <w:tcBorders>
              <w:tl2br w:val="nil"/>
              <w:tr2bl w:val="nil"/>
            </w:tcBorders>
            <w:shd w:val="clear" w:color="auto" w:fill="auto"/>
            <w:vAlign w:val="center"/>
          </w:tcPr>
          <w:p w14:paraId="0385A5F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≥2.5</w:t>
            </w:r>
          </w:p>
        </w:tc>
        <w:tc>
          <w:tcPr>
            <w:tcW w:w="2464" w:type="pct"/>
            <w:tcBorders>
              <w:tl2br w:val="nil"/>
              <w:tr2bl w:val="nil"/>
            </w:tcBorders>
            <w:shd w:val="clear" w:color="auto" w:fill="auto"/>
            <w:vAlign w:val="top"/>
          </w:tcPr>
          <w:p w14:paraId="2201C8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试样的制备与试样的裁取按QB/T4197-2011中附录A的规定进行,按QB/T4197-2011中5.5的规定进行</w:t>
            </w:r>
          </w:p>
        </w:tc>
      </w:tr>
      <w:tr w14:paraId="16B8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89" w:type="pct"/>
            <w:tcBorders>
              <w:tl2br w:val="nil"/>
              <w:tr2bl w:val="nil"/>
            </w:tcBorders>
            <w:vAlign w:val="center"/>
          </w:tcPr>
          <w:p w14:paraId="2AEC8C3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w:t>
            </w:r>
          </w:p>
        </w:tc>
        <w:tc>
          <w:tcPr>
            <w:tcW w:w="1004" w:type="pct"/>
            <w:tcBorders>
              <w:tl2br w:val="nil"/>
              <w:tr2bl w:val="nil"/>
            </w:tcBorders>
            <w:shd w:val="clear" w:color="auto" w:fill="auto"/>
            <w:vAlign w:val="center"/>
          </w:tcPr>
          <w:p w14:paraId="5D7BC4D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固体含量/%</w:t>
            </w:r>
          </w:p>
        </w:tc>
        <w:tc>
          <w:tcPr>
            <w:tcW w:w="1241" w:type="pct"/>
            <w:gridSpan w:val="2"/>
            <w:tcBorders>
              <w:tl2br w:val="nil"/>
              <w:tr2bl w:val="nil"/>
            </w:tcBorders>
            <w:shd w:val="clear" w:color="auto" w:fill="auto"/>
            <w:vAlign w:val="center"/>
          </w:tcPr>
          <w:p w14:paraId="41FC1FF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≥30</w:t>
            </w:r>
          </w:p>
        </w:tc>
        <w:tc>
          <w:tcPr>
            <w:tcW w:w="2464" w:type="pct"/>
            <w:tcBorders>
              <w:tl2br w:val="nil"/>
              <w:tr2bl w:val="nil"/>
            </w:tcBorders>
            <w:shd w:val="clear" w:color="auto" w:fill="auto"/>
            <w:vAlign w:val="top"/>
          </w:tcPr>
          <w:p w14:paraId="5CD26AB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按GB/T 7193-2008中4.3 规定的方法进行。</w:t>
            </w:r>
          </w:p>
        </w:tc>
      </w:tr>
      <w:tr w14:paraId="13FE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 w:type="pct"/>
            <w:tcBorders>
              <w:tl2br w:val="nil"/>
              <w:tr2bl w:val="nil"/>
            </w:tcBorders>
            <w:vAlign w:val="center"/>
          </w:tcPr>
          <w:p w14:paraId="532AF3D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3</w:t>
            </w:r>
          </w:p>
        </w:tc>
        <w:tc>
          <w:tcPr>
            <w:tcW w:w="1004" w:type="pct"/>
            <w:tcBorders>
              <w:tl2br w:val="nil"/>
              <w:tr2bl w:val="nil"/>
            </w:tcBorders>
            <w:shd w:val="clear" w:color="auto" w:fill="auto"/>
            <w:vAlign w:val="center"/>
          </w:tcPr>
          <w:p w14:paraId="5BAC772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粘度（25℃）/mpa.s</w:t>
            </w:r>
          </w:p>
        </w:tc>
        <w:tc>
          <w:tcPr>
            <w:tcW w:w="1241" w:type="pct"/>
            <w:gridSpan w:val="2"/>
            <w:tcBorders>
              <w:tl2br w:val="nil"/>
              <w:tr2bl w:val="nil"/>
            </w:tcBorders>
            <w:shd w:val="clear" w:color="auto" w:fill="auto"/>
            <w:vAlign w:val="center"/>
          </w:tcPr>
          <w:p w14:paraId="4B1824E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80-260</w:t>
            </w:r>
          </w:p>
        </w:tc>
        <w:tc>
          <w:tcPr>
            <w:tcW w:w="2464" w:type="pct"/>
            <w:tcBorders>
              <w:tl2br w:val="nil"/>
              <w:tr2bl w:val="nil"/>
            </w:tcBorders>
            <w:shd w:val="clear" w:color="auto" w:fill="auto"/>
            <w:vAlign w:val="top"/>
          </w:tcPr>
          <w:p w14:paraId="0873859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按GB/T 7193-2008中4.1 规定的方法进行。</w:t>
            </w:r>
          </w:p>
        </w:tc>
      </w:tr>
      <w:tr w14:paraId="4CBB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 w:type="pct"/>
            <w:tcBorders>
              <w:tl2br w:val="nil"/>
              <w:tr2bl w:val="nil"/>
            </w:tcBorders>
            <w:vAlign w:val="center"/>
          </w:tcPr>
          <w:p w14:paraId="3AB1C5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4</w:t>
            </w:r>
          </w:p>
        </w:tc>
        <w:tc>
          <w:tcPr>
            <w:tcW w:w="1004" w:type="pct"/>
            <w:tcBorders>
              <w:tl2br w:val="nil"/>
              <w:tr2bl w:val="nil"/>
            </w:tcBorders>
            <w:shd w:val="clear" w:color="auto" w:fill="auto"/>
            <w:vAlign w:val="center"/>
          </w:tcPr>
          <w:p w14:paraId="4B14611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pH（25℃）</w:t>
            </w:r>
          </w:p>
        </w:tc>
        <w:tc>
          <w:tcPr>
            <w:tcW w:w="1241" w:type="pct"/>
            <w:gridSpan w:val="2"/>
            <w:tcBorders>
              <w:tl2br w:val="nil"/>
              <w:tr2bl w:val="nil"/>
            </w:tcBorders>
            <w:shd w:val="clear" w:color="auto" w:fill="auto"/>
            <w:vAlign w:val="center"/>
          </w:tcPr>
          <w:p w14:paraId="52A5EEE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7-9</w:t>
            </w:r>
          </w:p>
        </w:tc>
        <w:tc>
          <w:tcPr>
            <w:tcW w:w="2464" w:type="pct"/>
            <w:tcBorders>
              <w:tl2br w:val="nil"/>
              <w:tr2bl w:val="nil"/>
            </w:tcBorders>
            <w:shd w:val="clear" w:color="auto" w:fill="auto"/>
            <w:vAlign w:val="top"/>
          </w:tcPr>
          <w:p w14:paraId="47AC075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按GB/T 14518-1993 规定的方法进行。</w:t>
            </w:r>
          </w:p>
        </w:tc>
      </w:tr>
      <w:tr w14:paraId="0754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9" w:type="pct"/>
            <w:tcBorders>
              <w:tl2br w:val="nil"/>
              <w:tr2bl w:val="nil"/>
            </w:tcBorders>
            <w:vAlign w:val="center"/>
          </w:tcPr>
          <w:p w14:paraId="3CAB5F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5</w:t>
            </w:r>
          </w:p>
        </w:tc>
        <w:tc>
          <w:tcPr>
            <w:tcW w:w="1004" w:type="pct"/>
            <w:tcBorders>
              <w:tl2br w:val="nil"/>
              <w:tr2bl w:val="nil"/>
            </w:tcBorders>
            <w:shd w:val="clear" w:color="auto" w:fill="auto"/>
            <w:vAlign w:val="center"/>
          </w:tcPr>
          <w:p w14:paraId="58011B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拉伸负荷/MPa</w:t>
            </w:r>
          </w:p>
        </w:tc>
        <w:tc>
          <w:tcPr>
            <w:tcW w:w="771" w:type="pct"/>
            <w:tcBorders>
              <w:tl2br w:val="nil"/>
              <w:tr2bl w:val="nil"/>
            </w:tcBorders>
            <w:shd w:val="clear" w:color="auto" w:fill="auto"/>
            <w:vAlign w:val="center"/>
          </w:tcPr>
          <w:p w14:paraId="75F23DF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≥20</w:t>
            </w:r>
          </w:p>
        </w:tc>
        <w:tc>
          <w:tcPr>
            <w:tcW w:w="470" w:type="pct"/>
            <w:tcBorders>
              <w:tl2br w:val="nil"/>
              <w:tr2bl w:val="nil"/>
            </w:tcBorders>
            <w:shd w:val="clear" w:color="auto" w:fill="auto"/>
            <w:vAlign w:val="center"/>
          </w:tcPr>
          <w:p w14:paraId="5B3E7A2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≥25</w:t>
            </w:r>
          </w:p>
        </w:tc>
        <w:tc>
          <w:tcPr>
            <w:tcW w:w="2464" w:type="pct"/>
            <w:tcBorders>
              <w:tl2br w:val="nil"/>
              <w:tr2bl w:val="nil"/>
            </w:tcBorders>
            <w:shd w:val="clear" w:color="auto" w:fill="auto"/>
            <w:vAlign w:val="top"/>
          </w:tcPr>
          <w:p w14:paraId="7676F26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试样的制备与试样的裁取按QB/T4197-2011中附录A的规定进行,按QB/T4197-2011中5.5的规定进行。</w:t>
            </w:r>
          </w:p>
        </w:tc>
      </w:tr>
      <w:tr w14:paraId="1281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9" w:type="pct"/>
            <w:tcBorders>
              <w:tl2br w:val="nil"/>
              <w:tr2bl w:val="nil"/>
            </w:tcBorders>
            <w:vAlign w:val="center"/>
          </w:tcPr>
          <w:p w14:paraId="0AC34B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6</w:t>
            </w:r>
          </w:p>
        </w:tc>
        <w:tc>
          <w:tcPr>
            <w:tcW w:w="1004" w:type="pct"/>
            <w:tcBorders>
              <w:tl2br w:val="nil"/>
              <w:tr2bl w:val="nil"/>
            </w:tcBorders>
            <w:vAlign w:val="center"/>
          </w:tcPr>
          <w:p w14:paraId="6BA58B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断裂伸长率/%</w:t>
            </w:r>
          </w:p>
        </w:tc>
        <w:tc>
          <w:tcPr>
            <w:tcW w:w="771" w:type="pct"/>
            <w:tcBorders>
              <w:tl2br w:val="nil"/>
              <w:tr2bl w:val="nil"/>
            </w:tcBorders>
            <w:shd w:val="clear" w:color="auto" w:fill="auto"/>
            <w:vAlign w:val="center"/>
          </w:tcPr>
          <w:p w14:paraId="09DFB0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≥500</w:t>
            </w:r>
          </w:p>
        </w:tc>
        <w:tc>
          <w:tcPr>
            <w:tcW w:w="470" w:type="pct"/>
            <w:tcBorders>
              <w:tl2br w:val="nil"/>
              <w:tr2bl w:val="nil"/>
            </w:tcBorders>
            <w:shd w:val="clear" w:color="auto" w:fill="auto"/>
            <w:vAlign w:val="center"/>
          </w:tcPr>
          <w:p w14:paraId="2A755A6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≥450</w:t>
            </w:r>
          </w:p>
        </w:tc>
        <w:tc>
          <w:tcPr>
            <w:tcW w:w="2464" w:type="pct"/>
            <w:tcBorders>
              <w:tl2br w:val="nil"/>
              <w:tr2bl w:val="nil"/>
            </w:tcBorders>
            <w:shd w:val="clear" w:color="auto" w:fill="auto"/>
            <w:vAlign w:val="top"/>
          </w:tcPr>
          <w:p w14:paraId="6421207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试样的制备与试样的裁取按QB/T4197-2011中附录A的规定进行,按QB/T4197-2011中5.5的规定进行。</w:t>
            </w:r>
          </w:p>
        </w:tc>
      </w:tr>
      <w:tr w14:paraId="2D37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89" w:type="pct"/>
            <w:tcBorders>
              <w:tl2br w:val="nil"/>
              <w:tr2bl w:val="nil"/>
            </w:tcBorders>
            <w:vAlign w:val="center"/>
          </w:tcPr>
          <w:p w14:paraId="5F5CA94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7</w:t>
            </w:r>
          </w:p>
        </w:tc>
        <w:tc>
          <w:tcPr>
            <w:tcW w:w="1004" w:type="pct"/>
            <w:tcBorders>
              <w:tl2br w:val="nil"/>
              <w:tr2bl w:val="nil"/>
            </w:tcBorders>
            <w:shd w:val="clear" w:color="auto" w:fill="auto"/>
            <w:vAlign w:val="center"/>
          </w:tcPr>
          <w:p w14:paraId="5393E3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剥离负荷/N</w:t>
            </w:r>
          </w:p>
        </w:tc>
        <w:tc>
          <w:tcPr>
            <w:tcW w:w="1241" w:type="pct"/>
            <w:gridSpan w:val="2"/>
            <w:tcBorders>
              <w:tl2br w:val="nil"/>
              <w:tr2bl w:val="nil"/>
            </w:tcBorders>
            <w:shd w:val="clear" w:color="auto" w:fill="auto"/>
            <w:vAlign w:val="center"/>
          </w:tcPr>
          <w:p w14:paraId="3A6153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≥20</w:t>
            </w:r>
          </w:p>
        </w:tc>
        <w:tc>
          <w:tcPr>
            <w:tcW w:w="2464" w:type="pct"/>
            <w:tcBorders>
              <w:tl2br w:val="nil"/>
              <w:tr2bl w:val="nil"/>
            </w:tcBorders>
            <w:shd w:val="clear" w:color="auto" w:fill="auto"/>
            <w:vAlign w:val="top"/>
          </w:tcPr>
          <w:p w14:paraId="7396BD2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试样的制备与试样的裁取按QB/T4197-2011中附录E的规定进行，按GB/T 8949-2008 5.9规定的方法进行测试。</w:t>
            </w:r>
          </w:p>
        </w:tc>
      </w:tr>
    </w:tbl>
    <w:p w14:paraId="4F1B90D6">
      <w:pPr>
        <w:pStyle w:val="14"/>
        <w:spacing w:line="360" w:lineRule="auto"/>
        <w:ind w:firstLine="420"/>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highlight w:val="none"/>
        </w:rPr>
        <w:t>文件为生物基</w:t>
      </w:r>
      <w:r>
        <w:rPr>
          <w:rFonts w:hint="default" w:ascii="Times New Roman" w:hAnsi="Times New Roman" w:cs="Times New Roman"/>
          <w:highlight w:val="none"/>
          <w:lang w:val="en-US" w:eastAsia="zh-CN"/>
        </w:rPr>
        <w:t>水性聚氨酯</w:t>
      </w:r>
      <w:r>
        <w:rPr>
          <w:rFonts w:hint="default" w:ascii="Times New Roman" w:hAnsi="Times New Roman" w:cs="Times New Roman"/>
          <w:highlight w:val="none"/>
        </w:rPr>
        <w:t>的通用要求，产品性能要求根据不同应用领域要求有所不同，本文件只规定作为生物基</w:t>
      </w:r>
      <w:r>
        <w:rPr>
          <w:rFonts w:hint="default" w:ascii="Times New Roman" w:hAnsi="Times New Roman" w:cs="Times New Roman"/>
          <w:highlight w:val="none"/>
          <w:lang w:val="en-US" w:eastAsia="zh-CN"/>
        </w:rPr>
        <w:t>水性聚氨酯</w:t>
      </w:r>
      <w:r>
        <w:rPr>
          <w:rFonts w:hint="default" w:ascii="Times New Roman" w:hAnsi="Times New Roman" w:cs="Times New Roman"/>
          <w:highlight w:val="none"/>
        </w:rPr>
        <w:t>的</w:t>
      </w:r>
      <w:r>
        <w:rPr>
          <w:rFonts w:hint="default" w:ascii="Times New Roman" w:hAnsi="Times New Roman" w:cs="Times New Roman"/>
        </w:rPr>
        <w:t>基本要求。</w:t>
      </w:r>
    </w:p>
    <w:p w14:paraId="10E55CE5">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2.2.4.5  有害物质限量要求</w:t>
      </w:r>
    </w:p>
    <w:p w14:paraId="54C51215">
      <w:pPr>
        <w:pStyle w:val="14"/>
        <w:spacing w:line="360" w:lineRule="auto"/>
        <w:ind w:firstLine="420"/>
        <w:rPr>
          <w:rFonts w:hint="default" w:ascii="Times New Roman" w:hAnsi="Times New Roman" w:cs="Times New Roman"/>
        </w:rPr>
      </w:pPr>
      <w:r>
        <w:rPr>
          <w:rFonts w:hint="default" w:ascii="Times New Roman" w:hAnsi="Times New Roman" w:cs="Times New Roman"/>
        </w:rPr>
        <w:t>有害物质限量应符合表</w:t>
      </w:r>
      <w:r>
        <w:rPr>
          <w:rFonts w:hint="default" w:ascii="Times New Roman" w:hAnsi="Times New Roman" w:cs="Times New Roman"/>
          <w:lang w:val="en-US" w:eastAsia="zh-CN"/>
        </w:rPr>
        <w:t>4</w:t>
      </w:r>
      <w:r>
        <w:rPr>
          <w:rFonts w:hint="default" w:ascii="Times New Roman" w:hAnsi="Times New Roman" w:cs="Times New Roman"/>
        </w:rPr>
        <w:t>的规定。</w:t>
      </w:r>
    </w:p>
    <w:p w14:paraId="3CECC93E">
      <w:pPr>
        <w:pStyle w:val="14"/>
        <w:spacing w:line="360" w:lineRule="auto"/>
        <w:ind w:firstLine="420"/>
        <w:jc w:val="center"/>
        <w:rPr>
          <w:rFonts w:hint="default" w:ascii="Times New Roman" w:hAnsi="Times New Roman" w:cs="Times New Roman"/>
        </w:rPr>
      </w:pPr>
      <w:r>
        <w:rPr>
          <w:rFonts w:hint="default" w:ascii="Times New Roman" w:hAnsi="Times New Roman" w:eastAsia="黑体" w:cs="Times New Roman"/>
          <w:kern w:val="0"/>
          <w:sz w:val="21"/>
          <w:szCs w:val="20"/>
          <w:lang w:val="en-US" w:eastAsia="zh-CN" w:bidi="ar-SA"/>
        </w:rPr>
        <w:t>表4 有害物质限量</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911"/>
        <w:gridCol w:w="1895"/>
        <w:gridCol w:w="2985"/>
      </w:tblGrid>
      <w:tr w14:paraId="7A1E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7" w:type="pct"/>
            <w:vAlign w:val="center"/>
          </w:tcPr>
          <w:p w14:paraId="436C5A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序号</w:t>
            </w:r>
          </w:p>
        </w:tc>
        <w:tc>
          <w:tcPr>
            <w:tcW w:w="1708" w:type="pct"/>
            <w:vAlign w:val="center"/>
          </w:tcPr>
          <w:p w14:paraId="4107C89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项目</w:t>
            </w:r>
          </w:p>
        </w:tc>
        <w:tc>
          <w:tcPr>
            <w:tcW w:w="1112" w:type="pct"/>
            <w:vAlign w:val="center"/>
          </w:tcPr>
          <w:p w14:paraId="438609B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指标</w:t>
            </w:r>
          </w:p>
        </w:tc>
        <w:tc>
          <w:tcPr>
            <w:tcW w:w="1751" w:type="pct"/>
            <w:vAlign w:val="center"/>
          </w:tcPr>
          <w:p w14:paraId="059DA33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测试方法</w:t>
            </w:r>
          </w:p>
        </w:tc>
      </w:tr>
      <w:tr w14:paraId="6761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27" w:type="pct"/>
            <w:vAlign w:val="center"/>
          </w:tcPr>
          <w:p w14:paraId="0A5E05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1</w:t>
            </w:r>
          </w:p>
        </w:tc>
        <w:tc>
          <w:tcPr>
            <w:tcW w:w="1708" w:type="pct"/>
            <w:shd w:val="clear" w:color="auto" w:fill="auto"/>
            <w:vAlign w:val="center"/>
          </w:tcPr>
          <w:p w14:paraId="2AE9A26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挥发性有机物含量（VOC）/g/L</w:t>
            </w:r>
          </w:p>
        </w:tc>
        <w:tc>
          <w:tcPr>
            <w:tcW w:w="1112" w:type="pct"/>
            <w:shd w:val="clear" w:color="auto" w:fill="auto"/>
            <w:vAlign w:val="center"/>
          </w:tcPr>
          <w:p w14:paraId="609741B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≤100</w:t>
            </w:r>
          </w:p>
        </w:tc>
        <w:tc>
          <w:tcPr>
            <w:tcW w:w="1751" w:type="pct"/>
            <w:shd w:val="clear" w:color="auto" w:fill="auto"/>
            <w:vAlign w:val="center"/>
          </w:tcPr>
          <w:p w14:paraId="3D1B3A8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按GB/T 23986.2-2023规定的方法进行。</w:t>
            </w:r>
          </w:p>
        </w:tc>
      </w:tr>
      <w:tr w14:paraId="17BB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27" w:type="pct"/>
            <w:vAlign w:val="center"/>
          </w:tcPr>
          <w:p w14:paraId="243B985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2</w:t>
            </w:r>
          </w:p>
        </w:tc>
        <w:tc>
          <w:tcPr>
            <w:tcW w:w="1708" w:type="pct"/>
            <w:vAlign w:val="center"/>
          </w:tcPr>
          <w:p w14:paraId="3909779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N-甲基吡咯烷酮</w:t>
            </w:r>
          </w:p>
        </w:tc>
        <w:tc>
          <w:tcPr>
            <w:tcW w:w="1112" w:type="pct"/>
            <w:vAlign w:val="center"/>
          </w:tcPr>
          <w:p w14:paraId="018F697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≤500</w:t>
            </w:r>
          </w:p>
        </w:tc>
        <w:tc>
          <w:tcPr>
            <w:tcW w:w="1751" w:type="pct"/>
            <w:vAlign w:val="center"/>
          </w:tcPr>
          <w:p w14:paraId="3F126A8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按QB/T 5159-2017规定的方法进行。</w:t>
            </w:r>
          </w:p>
        </w:tc>
      </w:tr>
    </w:tbl>
    <w:p w14:paraId="7A35C572">
      <w:pPr>
        <w:pStyle w:val="14"/>
        <w:spacing w:line="360" w:lineRule="auto"/>
        <w:ind w:firstLine="420"/>
        <w:rPr>
          <w:rFonts w:hint="default" w:ascii="Times New Roman" w:hAnsi="Times New Roman" w:cs="Times New Roman"/>
        </w:rPr>
      </w:pPr>
      <w:r>
        <w:rPr>
          <w:rFonts w:hint="default" w:ascii="Times New Roman" w:hAnsi="Times New Roman" w:cs="Times New Roman"/>
          <w:highlight w:val="none"/>
        </w:rPr>
        <w:t>生物基水性聚氨酯</w:t>
      </w:r>
      <w:r>
        <w:rPr>
          <w:rFonts w:hint="default" w:ascii="Times New Roman" w:hAnsi="Times New Roman" w:cs="Times New Roman"/>
        </w:rPr>
        <w:t>作为低碳环保产品，有害物质限量要求从严执行。</w:t>
      </w:r>
    </w:p>
    <w:p w14:paraId="06A65A5F">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2.3  解决的主要问题</w:t>
      </w:r>
    </w:p>
    <w:p w14:paraId="71A53D5D">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当前，生物基水性聚氨酯作为新型绿色产品，行业尚未形成统一标准，直接导致市场秩序混乱：一方面，产品真伪难以鉴别，既造成树脂生产企业间的不公平竞争，也给广大消费者带来选择困惑；另一方面，国内外相关标准的缺失，使生产厂家在产品分类、检测方法等核心环节缺乏依据，严重制约行业规范化发展。</w:t>
      </w:r>
    </w:p>
    <w:p w14:paraId="43BD2836">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文件的制定，首次填补了生物基水性聚氨酯行业标准的空白。其核心价值在于：通过建立统一的技术规范，强化行业管理效能，构建科学的产品质量控制与监督检验机制，为企业产品质量把关提供明确依据；同时，可推动低碳环保型水性聚氨酯行业的技术进步，增强我国相关产业在国际市场的竞争力，最终实现行业真正意义上的标准化管理，兼具显著的现实指导意义与长远战略价值，社会效益突出。</w:t>
      </w:r>
    </w:p>
    <w:p w14:paraId="58A57C2F">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  主要试验（或验证）情况分析</w:t>
      </w:r>
    </w:p>
    <w:p w14:paraId="11F2D2FC">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szCs w:val="21"/>
        </w:rPr>
        <w:t>标准起草小组随机抽取</w:t>
      </w:r>
      <w:r>
        <w:rPr>
          <w:rFonts w:hint="default" w:ascii="Times New Roman" w:hAnsi="Times New Roman" w:cs="Times New Roman"/>
          <w:szCs w:val="21"/>
          <w:highlight w:val="none"/>
        </w:rPr>
        <w:t>和收集了国内3家生产企业生物基水性聚氨酯共计6件，抽样单位和产品基本涵盖行业具有代表性的企业</w:t>
      </w:r>
      <w:r>
        <w:rPr>
          <w:rFonts w:hint="default" w:ascii="Times New Roman" w:hAnsi="Times New Roman" w:cs="Times New Roman"/>
          <w:color w:val="000000"/>
          <w:szCs w:val="21"/>
          <w:highlight w:val="none"/>
        </w:rPr>
        <w:t>，浙江宏德丽新材料有限公司提供生物基水性聚氨酯2件，</w:t>
      </w:r>
      <w:r>
        <w:rPr>
          <w:rFonts w:hint="default" w:ascii="Times New Roman" w:hAnsi="Times New Roman" w:eastAsia="宋体" w:cs="Times New Roman"/>
          <w:color w:val="auto"/>
          <w:szCs w:val="21"/>
        </w:rPr>
        <w:t>浙江德美博士达高分子材料有限公司</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浙江道易新材料有限公司</w:t>
      </w:r>
      <w:r>
        <w:rPr>
          <w:rFonts w:hint="default" w:ascii="Times New Roman" w:hAnsi="Times New Roman" w:cs="Times New Roman"/>
          <w:color w:val="auto"/>
          <w:szCs w:val="21"/>
          <w:highlight w:val="none"/>
        </w:rPr>
        <w:t>各</w:t>
      </w:r>
      <w:r>
        <w:rPr>
          <w:rFonts w:hint="default" w:ascii="Times New Roman" w:hAnsi="Times New Roman" w:cs="Times New Roman"/>
          <w:color w:val="000000"/>
          <w:szCs w:val="21"/>
          <w:highlight w:val="none"/>
        </w:rPr>
        <w:t>提供生物基水性聚氨酯2件，三家公司</w:t>
      </w:r>
      <w:r>
        <w:rPr>
          <w:rFonts w:hint="default" w:ascii="Times New Roman" w:hAnsi="Times New Roman" w:cs="Times New Roman"/>
          <w:szCs w:val="21"/>
          <w:highlight w:val="none"/>
        </w:rPr>
        <w:t>对提供的抽检样品按要求进行了试验验证，并汇总编制了试验验证数据报告。通过验证试验及对数据的分析整理，本文件制定的指标内容合理、可行，具有较强的适用性，</w:t>
      </w:r>
      <w:r>
        <w:rPr>
          <w:rFonts w:hint="default" w:ascii="Times New Roman" w:hAnsi="Times New Roman" w:cs="Times New Roman"/>
          <w:bCs/>
          <w:szCs w:val="21"/>
          <w:highlight w:val="none"/>
        </w:rPr>
        <w:t>检测及试验结果如下：</w:t>
      </w:r>
    </w:p>
    <w:p w14:paraId="0B4B17E6">
      <w:pPr>
        <w:spacing w:before="156" w:beforeLines="50" w:after="156" w:afterLines="50"/>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 xml:space="preserve">3.1  生物基碳含量 </w:t>
      </w:r>
    </w:p>
    <w:p w14:paraId="182DA776">
      <w:pPr>
        <w:pStyle w:val="14"/>
        <w:spacing w:line="36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起草组收集了生物基水性聚氨酯样品</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件，生物基碳含量均与生物基碳含量大于等于25%要求相符合。具体应用AMS法测试的生物基碳含量数据见表</w:t>
      </w:r>
      <w:r>
        <w:rPr>
          <w:rFonts w:hint="default"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rPr>
        <w:t>。</w:t>
      </w:r>
    </w:p>
    <w:p w14:paraId="3FCDF856">
      <w:pPr>
        <w:pStyle w:val="14"/>
        <w:spacing w:line="360" w:lineRule="auto"/>
        <w:ind w:firstLine="420"/>
        <w:jc w:val="center"/>
        <w:rPr>
          <w:rFonts w:hint="default" w:ascii="Times New Roman" w:hAnsi="Times New Roman" w:cs="Times New Roman"/>
          <w:sz w:val="21"/>
          <w:szCs w:val="21"/>
          <w:highlight w:val="none"/>
        </w:rPr>
      </w:pPr>
      <w:r>
        <w:rPr>
          <w:rFonts w:hint="default" w:ascii="Times New Roman" w:hAnsi="Times New Roman" w:eastAsia="黑体" w:cs="Times New Roman"/>
          <w:kern w:val="0"/>
          <w:sz w:val="21"/>
          <w:szCs w:val="20"/>
          <w:lang w:val="en-US" w:eastAsia="zh-CN" w:bidi="ar-SA"/>
        </w:rPr>
        <w:t>表5 生物基碳含量试验数据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tblGrid>
      <w:tr w14:paraId="615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074" w:type="dxa"/>
          </w:tcPr>
          <w:p w14:paraId="0A9EBD2D">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样品</w:t>
            </w:r>
          </w:p>
        </w:tc>
        <w:tc>
          <w:tcPr>
            <w:tcW w:w="2074" w:type="dxa"/>
          </w:tcPr>
          <w:p w14:paraId="70555969">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生物基碳含量%</w:t>
            </w:r>
          </w:p>
        </w:tc>
      </w:tr>
      <w:tr w14:paraId="2570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28DE7E01">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生物基水性聚氨酯1</w:t>
            </w:r>
          </w:p>
        </w:tc>
        <w:tc>
          <w:tcPr>
            <w:tcW w:w="2074" w:type="dxa"/>
          </w:tcPr>
          <w:p w14:paraId="58E88689">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cs="Times New Roman"/>
                <w:b w:val="0"/>
                <w:bCs w:val="0"/>
                <w:kern w:val="2"/>
                <w:sz w:val="21"/>
                <w:szCs w:val="21"/>
                <w:vertAlign w:val="baseline"/>
                <w:lang w:val="en-US" w:eastAsia="zh-CN" w:bidi="ar-SA"/>
              </w:rPr>
              <w:t>75</w:t>
            </w:r>
          </w:p>
        </w:tc>
      </w:tr>
      <w:tr w14:paraId="42D2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65977EA8">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生物基水性聚氨酯2</w:t>
            </w:r>
          </w:p>
        </w:tc>
        <w:tc>
          <w:tcPr>
            <w:tcW w:w="2074" w:type="dxa"/>
          </w:tcPr>
          <w:p w14:paraId="35F646D3">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cs="Times New Roman"/>
                <w:b w:val="0"/>
                <w:bCs w:val="0"/>
                <w:kern w:val="2"/>
                <w:sz w:val="21"/>
                <w:szCs w:val="21"/>
                <w:vertAlign w:val="baseline"/>
                <w:lang w:val="en-US" w:eastAsia="zh-CN" w:bidi="ar-SA"/>
              </w:rPr>
              <w:t>48</w:t>
            </w:r>
          </w:p>
        </w:tc>
      </w:tr>
      <w:tr w14:paraId="606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2CEA9827">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生物基水性聚氨酯3</w:t>
            </w:r>
          </w:p>
        </w:tc>
        <w:tc>
          <w:tcPr>
            <w:tcW w:w="2074" w:type="dxa"/>
          </w:tcPr>
          <w:p w14:paraId="7A8DF9DB">
            <w:pPr>
              <w:pStyle w:val="14"/>
              <w:spacing w:line="360" w:lineRule="auto"/>
              <w:ind w:firstLine="0" w:firstLineChars="0"/>
              <w:jc w:val="center"/>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cs="Times New Roman"/>
                <w:b w:val="0"/>
                <w:bCs w:val="0"/>
                <w:kern w:val="2"/>
                <w:sz w:val="21"/>
                <w:szCs w:val="21"/>
                <w:vertAlign w:val="baseline"/>
                <w:lang w:val="en-US" w:eastAsia="zh-CN" w:bidi="ar-SA"/>
              </w:rPr>
              <w:t>59</w:t>
            </w:r>
          </w:p>
        </w:tc>
      </w:tr>
    </w:tbl>
    <w:p w14:paraId="20609BB4">
      <w:pPr>
        <w:spacing w:before="156" w:beforeLines="50" w:after="156" w:afterLines="50"/>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3.2  外观</w:t>
      </w:r>
    </w:p>
    <w:p w14:paraId="78E3F1FD">
      <w:pPr>
        <w:pStyle w:val="14"/>
        <w:spacing w:line="360" w:lineRule="auto"/>
        <w:ind w:firstLine="420"/>
        <w:rPr>
          <w:rFonts w:hint="default" w:ascii="Times New Roman" w:hAnsi="Times New Roman" w:cs="Times New Roman"/>
        </w:rPr>
      </w:pPr>
      <w:r>
        <w:rPr>
          <w:rFonts w:hint="default" w:ascii="Times New Roman" w:hAnsi="Times New Roman" w:cs="Times New Roman"/>
        </w:rPr>
        <w:t>起草组收集了样品</w:t>
      </w:r>
      <w:r>
        <w:rPr>
          <w:rFonts w:hint="default" w:ascii="Times New Roman" w:hAnsi="Times New Roman" w:cs="Times New Roman"/>
          <w:lang w:val="en-US" w:eastAsia="zh-CN"/>
        </w:rPr>
        <w:t>6</w:t>
      </w:r>
      <w:r>
        <w:rPr>
          <w:rFonts w:hint="default" w:ascii="Times New Roman" w:hAnsi="Times New Roman" w:cs="Times New Roman"/>
        </w:rPr>
        <w:t>件，与</w:t>
      </w:r>
      <w:r>
        <w:rPr>
          <w:rFonts w:hint="default" w:ascii="Times New Roman" w:hAnsi="Times New Roman" w:cs="Times New Roman"/>
          <w:lang w:val="en-US" w:eastAsia="zh-CN"/>
        </w:rPr>
        <w:t xml:space="preserve">2.2.4.2 </w:t>
      </w:r>
      <w:r>
        <w:rPr>
          <w:rFonts w:hint="default" w:ascii="Times New Roman" w:hAnsi="Times New Roman" w:cs="Times New Roman"/>
        </w:rPr>
        <w:t>外观要求符合率100%。</w:t>
      </w:r>
    </w:p>
    <w:p w14:paraId="1E66282B">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3.3  技术要求</w:t>
      </w:r>
    </w:p>
    <w:p w14:paraId="7620FFB1">
      <w:pPr>
        <w:pStyle w:val="14"/>
        <w:spacing w:line="360" w:lineRule="auto"/>
        <w:ind w:firstLine="420"/>
        <w:rPr>
          <w:rFonts w:hint="default" w:ascii="Times New Roman" w:hAnsi="Times New Roman" w:eastAsia="宋体" w:cs="Times New Roman"/>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rPr>
        <w:t>起草组收集了样品</w:t>
      </w:r>
      <w:r>
        <w:rPr>
          <w:rFonts w:hint="default" w:ascii="Times New Roman" w:hAnsi="Times New Roman" w:cs="Times New Roman"/>
          <w:lang w:val="en-US" w:eastAsia="zh-CN"/>
        </w:rPr>
        <w:t>3</w:t>
      </w:r>
      <w:r>
        <w:rPr>
          <w:rFonts w:hint="default" w:ascii="Times New Roman" w:hAnsi="Times New Roman" w:cs="Times New Roman"/>
        </w:rPr>
        <w:t>件，测试</w:t>
      </w:r>
      <w:r>
        <w:rPr>
          <w:rFonts w:hint="default" w:ascii="Times New Roman" w:hAnsi="Times New Roman" w:cs="Times New Roman"/>
          <w:lang w:val="en-US" w:eastAsia="zh-CN"/>
        </w:rPr>
        <w:t>3</w:t>
      </w:r>
      <w:r>
        <w:rPr>
          <w:rFonts w:hint="default" w:ascii="Times New Roman" w:hAnsi="Times New Roman" w:cs="Times New Roman"/>
        </w:rPr>
        <w:t>组样品，与表</w:t>
      </w:r>
      <w:r>
        <w:rPr>
          <w:rFonts w:hint="default" w:ascii="Times New Roman" w:hAnsi="Times New Roman" w:cs="Times New Roman"/>
          <w:lang w:val="en-US" w:eastAsia="zh-CN"/>
        </w:rPr>
        <w:t xml:space="preserve">3 </w:t>
      </w:r>
      <w:r>
        <w:rPr>
          <w:rFonts w:hint="default" w:ascii="Times New Roman" w:hAnsi="Times New Roman" w:cs="Times New Roman"/>
        </w:rPr>
        <w:t>产品性能指标要求符合率100%。具体内容见表</w:t>
      </w:r>
      <w:r>
        <w:rPr>
          <w:rFonts w:hint="default" w:ascii="Times New Roman" w:hAnsi="Times New Roman" w:cs="Times New Roman"/>
          <w:lang w:val="en-US" w:eastAsia="zh-CN"/>
        </w:rPr>
        <w:t>6。</w:t>
      </w:r>
    </w:p>
    <w:p w14:paraId="2D355A35">
      <w:pPr>
        <w:pStyle w:val="14"/>
        <w:spacing w:line="360" w:lineRule="auto"/>
        <w:ind w:firstLine="420"/>
        <w:rPr>
          <w:rFonts w:hint="default" w:ascii="Times New Roman" w:hAnsi="Times New Roman" w:cs="Times New Roman"/>
        </w:rPr>
      </w:pPr>
    </w:p>
    <w:p w14:paraId="28A47307">
      <w:pPr>
        <w:pStyle w:val="14"/>
        <w:spacing w:line="360" w:lineRule="auto"/>
        <w:ind w:firstLine="420"/>
        <w:jc w:val="center"/>
        <w:rPr>
          <w:rFonts w:hint="default" w:ascii="Times New Roman" w:hAnsi="Times New Roman" w:cs="Times New Roman"/>
          <w:sz w:val="21"/>
          <w:szCs w:val="21"/>
          <w:highlight w:val="none"/>
        </w:rPr>
      </w:pPr>
      <w:r>
        <w:rPr>
          <w:rFonts w:hint="default" w:ascii="Times New Roman" w:hAnsi="Times New Roman" w:eastAsia="黑体" w:cs="Times New Roman"/>
          <w:kern w:val="0"/>
          <w:sz w:val="21"/>
          <w:szCs w:val="20"/>
          <w:lang w:val="en-US" w:eastAsia="zh-CN" w:bidi="ar-SA"/>
        </w:rPr>
        <w:t>表6 产品性能指标要求</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927"/>
        <w:gridCol w:w="1757"/>
        <w:gridCol w:w="1714"/>
        <w:gridCol w:w="3981"/>
        <w:gridCol w:w="3985"/>
      </w:tblGrid>
      <w:tr w14:paraId="2A12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2" w:type="pct"/>
            <w:vMerge w:val="restart"/>
            <w:tcBorders>
              <w:tl2br w:val="nil"/>
              <w:tr2bl w:val="nil"/>
            </w:tcBorders>
            <w:vAlign w:val="center"/>
          </w:tcPr>
          <w:p w14:paraId="4F1B2A6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序号</w:t>
            </w:r>
          </w:p>
        </w:tc>
        <w:tc>
          <w:tcPr>
            <w:tcW w:w="680" w:type="pct"/>
            <w:vMerge w:val="restart"/>
            <w:tcBorders>
              <w:tl2br w:val="nil"/>
              <w:tr2bl w:val="nil"/>
            </w:tcBorders>
            <w:vAlign w:val="center"/>
          </w:tcPr>
          <w:p w14:paraId="543A878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项目</w:t>
            </w:r>
          </w:p>
        </w:tc>
        <w:tc>
          <w:tcPr>
            <w:tcW w:w="1225" w:type="pct"/>
            <w:gridSpan w:val="2"/>
            <w:tcBorders>
              <w:tl2br w:val="nil"/>
              <w:tr2bl w:val="nil"/>
            </w:tcBorders>
            <w:vAlign w:val="center"/>
          </w:tcPr>
          <w:p w14:paraId="3CBA768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要求</w:t>
            </w:r>
          </w:p>
        </w:tc>
        <w:tc>
          <w:tcPr>
            <w:tcW w:w="1405" w:type="pct"/>
            <w:tcBorders>
              <w:tl2br w:val="nil"/>
              <w:tr2bl w:val="nil"/>
            </w:tcBorders>
            <w:vAlign w:val="center"/>
          </w:tcPr>
          <w:p w14:paraId="198F578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最大测试数据</w:t>
            </w:r>
          </w:p>
        </w:tc>
        <w:tc>
          <w:tcPr>
            <w:tcW w:w="1406" w:type="pct"/>
            <w:tcBorders>
              <w:tl2br w:val="nil"/>
              <w:tr2bl w:val="nil"/>
            </w:tcBorders>
            <w:vAlign w:val="center"/>
          </w:tcPr>
          <w:p w14:paraId="3A8E7C0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最小测试数据</w:t>
            </w:r>
          </w:p>
        </w:tc>
      </w:tr>
      <w:tr w14:paraId="5E50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2" w:type="pct"/>
            <w:vMerge w:val="continue"/>
            <w:tcBorders>
              <w:tl2br w:val="nil"/>
              <w:tr2bl w:val="nil"/>
            </w:tcBorders>
            <w:vAlign w:val="center"/>
          </w:tcPr>
          <w:p w14:paraId="2DB3C0F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680" w:type="pct"/>
            <w:vMerge w:val="continue"/>
            <w:tcBorders>
              <w:tl2br w:val="nil"/>
              <w:tr2bl w:val="nil"/>
            </w:tcBorders>
            <w:vAlign w:val="center"/>
          </w:tcPr>
          <w:p w14:paraId="7062A83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620" w:type="pct"/>
            <w:tcBorders>
              <w:tl2br w:val="nil"/>
              <w:tr2bl w:val="nil"/>
            </w:tcBorders>
            <w:vAlign w:val="center"/>
          </w:tcPr>
          <w:p w14:paraId="5605C6E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Ⅰ型</w:t>
            </w:r>
          </w:p>
        </w:tc>
        <w:tc>
          <w:tcPr>
            <w:tcW w:w="605" w:type="pct"/>
            <w:tcBorders>
              <w:tl2br w:val="nil"/>
              <w:tr2bl w:val="nil"/>
            </w:tcBorders>
            <w:vAlign w:val="center"/>
          </w:tcPr>
          <w:p w14:paraId="6BA7889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Ⅱ型</w:t>
            </w:r>
          </w:p>
        </w:tc>
        <w:tc>
          <w:tcPr>
            <w:tcW w:w="1405" w:type="pct"/>
            <w:tcBorders>
              <w:tl2br w:val="nil"/>
              <w:tr2bl w:val="nil"/>
            </w:tcBorders>
            <w:vAlign w:val="center"/>
          </w:tcPr>
          <w:p w14:paraId="49792D4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vAlign w:val="center"/>
          </w:tcPr>
          <w:p w14:paraId="3F84D15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7E83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2" w:type="pct"/>
            <w:tcBorders>
              <w:tl2br w:val="nil"/>
              <w:tr2bl w:val="nil"/>
            </w:tcBorders>
            <w:vAlign w:val="center"/>
          </w:tcPr>
          <w:p w14:paraId="28202DF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1</w:t>
            </w:r>
          </w:p>
        </w:tc>
        <w:tc>
          <w:tcPr>
            <w:tcW w:w="680" w:type="pct"/>
            <w:tcBorders>
              <w:tl2br w:val="nil"/>
              <w:tr2bl w:val="nil"/>
            </w:tcBorders>
            <w:vAlign w:val="center"/>
          </w:tcPr>
          <w:p w14:paraId="330D430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100%模量/Mpa</w:t>
            </w:r>
          </w:p>
        </w:tc>
        <w:tc>
          <w:tcPr>
            <w:tcW w:w="620" w:type="pct"/>
            <w:tcBorders>
              <w:tl2br w:val="nil"/>
              <w:tr2bl w:val="nil"/>
            </w:tcBorders>
            <w:shd w:val="clear" w:color="auto" w:fill="auto"/>
            <w:vAlign w:val="center"/>
          </w:tcPr>
          <w:p w14:paraId="00143B2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＜2.5</w:t>
            </w:r>
          </w:p>
        </w:tc>
        <w:tc>
          <w:tcPr>
            <w:tcW w:w="605" w:type="pct"/>
            <w:tcBorders>
              <w:tl2br w:val="nil"/>
              <w:tr2bl w:val="nil"/>
            </w:tcBorders>
            <w:shd w:val="clear" w:color="auto" w:fill="auto"/>
            <w:vAlign w:val="center"/>
          </w:tcPr>
          <w:p w14:paraId="75E6ED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≥2.5</w:t>
            </w:r>
          </w:p>
        </w:tc>
        <w:tc>
          <w:tcPr>
            <w:tcW w:w="1405" w:type="pct"/>
            <w:tcBorders>
              <w:tl2br w:val="nil"/>
              <w:tr2bl w:val="nil"/>
            </w:tcBorders>
            <w:shd w:val="clear" w:color="auto" w:fill="auto"/>
            <w:vAlign w:val="center"/>
          </w:tcPr>
          <w:p w14:paraId="2F6E2E2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10AB580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3FBF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2" w:type="pct"/>
            <w:tcBorders>
              <w:tl2br w:val="nil"/>
              <w:tr2bl w:val="nil"/>
            </w:tcBorders>
            <w:vAlign w:val="center"/>
          </w:tcPr>
          <w:p w14:paraId="4B9C353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w:t>
            </w:r>
          </w:p>
        </w:tc>
        <w:tc>
          <w:tcPr>
            <w:tcW w:w="680" w:type="pct"/>
            <w:tcBorders>
              <w:tl2br w:val="nil"/>
              <w:tr2bl w:val="nil"/>
            </w:tcBorders>
            <w:shd w:val="clear" w:color="auto" w:fill="auto"/>
            <w:vAlign w:val="center"/>
          </w:tcPr>
          <w:p w14:paraId="140F36E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固体含量/%</w:t>
            </w:r>
          </w:p>
        </w:tc>
        <w:tc>
          <w:tcPr>
            <w:tcW w:w="1225" w:type="pct"/>
            <w:gridSpan w:val="2"/>
            <w:tcBorders>
              <w:tl2br w:val="nil"/>
              <w:tr2bl w:val="nil"/>
            </w:tcBorders>
            <w:shd w:val="clear" w:color="auto" w:fill="auto"/>
            <w:vAlign w:val="center"/>
          </w:tcPr>
          <w:p w14:paraId="3C28043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≥30</w:t>
            </w:r>
          </w:p>
        </w:tc>
        <w:tc>
          <w:tcPr>
            <w:tcW w:w="1405" w:type="pct"/>
            <w:tcBorders>
              <w:tl2br w:val="nil"/>
              <w:tr2bl w:val="nil"/>
            </w:tcBorders>
            <w:shd w:val="clear" w:color="auto" w:fill="auto"/>
            <w:vAlign w:val="center"/>
          </w:tcPr>
          <w:p w14:paraId="7C47BA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027C9B2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04C6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2" w:type="pct"/>
            <w:tcBorders>
              <w:tl2br w:val="nil"/>
              <w:tr2bl w:val="nil"/>
            </w:tcBorders>
            <w:vAlign w:val="center"/>
          </w:tcPr>
          <w:p w14:paraId="2A472DA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3</w:t>
            </w:r>
          </w:p>
        </w:tc>
        <w:tc>
          <w:tcPr>
            <w:tcW w:w="680" w:type="pct"/>
            <w:tcBorders>
              <w:tl2br w:val="nil"/>
              <w:tr2bl w:val="nil"/>
            </w:tcBorders>
            <w:shd w:val="clear" w:color="auto" w:fill="auto"/>
            <w:vAlign w:val="center"/>
          </w:tcPr>
          <w:p w14:paraId="01A4ED4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粘度（25℃）/mpa.s</w:t>
            </w:r>
          </w:p>
        </w:tc>
        <w:tc>
          <w:tcPr>
            <w:tcW w:w="1225" w:type="pct"/>
            <w:gridSpan w:val="2"/>
            <w:tcBorders>
              <w:tl2br w:val="nil"/>
              <w:tr2bl w:val="nil"/>
            </w:tcBorders>
            <w:shd w:val="clear" w:color="auto" w:fill="auto"/>
            <w:vAlign w:val="center"/>
          </w:tcPr>
          <w:p w14:paraId="7D9BF3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80-260</w:t>
            </w:r>
          </w:p>
        </w:tc>
        <w:tc>
          <w:tcPr>
            <w:tcW w:w="1405" w:type="pct"/>
            <w:tcBorders>
              <w:tl2br w:val="nil"/>
              <w:tr2bl w:val="nil"/>
            </w:tcBorders>
            <w:shd w:val="clear" w:color="auto" w:fill="auto"/>
            <w:vAlign w:val="center"/>
          </w:tcPr>
          <w:p w14:paraId="2592563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483FCEE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201E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2" w:type="pct"/>
            <w:tcBorders>
              <w:tl2br w:val="nil"/>
              <w:tr2bl w:val="nil"/>
            </w:tcBorders>
            <w:vAlign w:val="center"/>
          </w:tcPr>
          <w:p w14:paraId="4549A04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4</w:t>
            </w:r>
          </w:p>
        </w:tc>
        <w:tc>
          <w:tcPr>
            <w:tcW w:w="680" w:type="pct"/>
            <w:tcBorders>
              <w:tl2br w:val="nil"/>
              <w:tr2bl w:val="nil"/>
            </w:tcBorders>
            <w:shd w:val="clear" w:color="auto" w:fill="auto"/>
            <w:vAlign w:val="center"/>
          </w:tcPr>
          <w:p w14:paraId="7F50747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pH（25℃）</w:t>
            </w:r>
          </w:p>
        </w:tc>
        <w:tc>
          <w:tcPr>
            <w:tcW w:w="1225" w:type="pct"/>
            <w:gridSpan w:val="2"/>
            <w:tcBorders>
              <w:tl2br w:val="nil"/>
              <w:tr2bl w:val="nil"/>
            </w:tcBorders>
            <w:shd w:val="clear" w:color="auto" w:fill="auto"/>
            <w:vAlign w:val="center"/>
          </w:tcPr>
          <w:p w14:paraId="46C494C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7-9</w:t>
            </w:r>
          </w:p>
        </w:tc>
        <w:tc>
          <w:tcPr>
            <w:tcW w:w="1405" w:type="pct"/>
            <w:tcBorders>
              <w:tl2br w:val="nil"/>
              <w:tr2bl w:val="nil"/>
            </w:tcBorders>
            <w:shd w:val="clear" w:color="auto" w:fill="auto"/>
            <w:vAlign w:val="center"/>
          </w:tcPr>
          <w:p w14:paraId="0B581FC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44D48F2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69A2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2" w:type="pct"/>
            <w:tcBorders>
              <w:tl2br w:val="nil"/>
              <w:tr2bl w:val="nil"/>
            </w:tcBorders>
            <w:vAlign w:val="center"/>
          </w:tcPr>
          <w:p w14:paraId="3F143D6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5</w:t>
            </w:r>
          </w:p>
        </w:tc>
        <w:tc>
          <w:tcPr>
            <w:tcW w:w="680" w:type="pct"/>
            <w:tcBorders>
              <w:tl2br w:val="nil"/>
              <w:tr2bl w:val="nil"/>
            </w:tcBorders>
            <w:shd w:val="clear" w:color="auto" w:fill="auto"/>
            <w:vAlign w:val="center"/>
          </w:tcPr>
          <w:p w14:paraId="480E78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拉伸负荷/MPa</w:t>
            </w:r>
          </w:p>
        </w:tc>
        <w:tc>
          <w:tcPr>
            <w:tcW w:w="620" w:type="pct"/>
            <w:tcBorders>
              <w:tl2br w:val="nil"/>
              <w:tr2bl w:val="nil"/>
            </w:tcBorders>
            <w:shd w:val="clear" w:color="auto" w:fill="auto"/>
            <w:vAlign w:val="center"/>
          </w:tcPr>
          <w:p w14:paraId="74B8E97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≥20</w:t>
            </w:r>
          </w:p>
        </w:tc>
        <w:tc>
          <w:tcPr>
            <w:tcW w:w="605" w:type="pct"/>
            <w:tcBorders>
              <w:tl2br w:val="nil"/>
              <w:tr2bl w:val="nil"/>
            </w:tcBorders>
            <w:shd w:val="clear" w:color="auto" w:fill="auto"/>
            <w:vAlign w:val="center"/>
          </w:tcPr>
          <w:p w14:paraId="31B9177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≥25</w:t>
            </w:r>
          </w:p>
        </w:tc>
        <w:tc>
          <w:tcPr>
            <w:tcW w:w="1405" w:type="pct"/>
            <w:tcBorders>
              <w:tl2br w:val="nil"/>
              <w:tr2bl w:val="nil"/>
            </w:tcBorders>
            <w:shd w:val="clear" w:color="auto" w:fill="auto"/>
            <w:vAlign w:val="center"/>
          </w:tcPr>
          <w:p w14:paraId="2AE6C9F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15047B8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5618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2" w:type="pct"/>
            <w:tcBorders>
              <w:tl2br w:val="nil"/>
              <w:tr2bl w:val="nil"/>
            </w:tcBorders>
            <w:vAlign w:val="center"/>
          </w:tcPr>
          <w:p w14:paraId="39704FA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6</w:t>
            </w:r>
          </w:p>
        </w:tc>
        <w:tc>
          <w:tcPr>
            <w:tcW w:w="680" w:type="pct"/>
            <w:tcBorders>
              <w:tl2br w:val="nil"/>
              <w:tr2bl w:val="nil"/>
            </w:tcBorders>
            <w:vAlign w:val="center"/>
          </w:tcPr>
          <w:p w14:paraId="6900F1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断裂伸长率/%</w:t>
            </w:r>
          </w:p>
        </w:tc>
        <w:tc>
          <w:tcPr>
            <w:tcW w:w="620" w:type="pct"/>
            <w:tcBorders>
              <w:tl2br w:val="nil"/>
              <w:tr2bl w:val="nil"/>
            </w:tcBorders>
            <w:shd w:val="clear" w:color="auto" w:fill="auto"/>
            <w:vAlign w:val="center"/>
          </w:tcPr>
          <w:p w14:paraId="254915F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≥500</w:t>
            </w:r>
          </w:p>
        </w:tc>
        <w:tc>
          <w:tcPr>
            <w:tcW w:w="605" w:type="pct"/>
            <w:tcBorders>
              <w:tl2br w:val="nil"/>
              <w:tr2bl w:val="nil"/>
            </w:tcBorders>
            <w:shd w:val="clear" w:color="auto" w:fill="auto"/>
            <w:vAlign w:val="center"/>
          </w:tcPr>
          <w:p w14:paraId="4E198B3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≥450</w:t>
            </w:r>
          </w:p>
        </w:tc>
        <w:tc>
          <w:tcPr>
            <w:tcW w:w="1405" w:type="pct"/>
            <w:tcBorders>
              <w:tl2br w:val="nil"/>
              <w:tr2bl w:val="nil"/>
            </w:tcBorders>
            <w:shd w:val="clear" w:color="auto" w:fill="auto"/>
            <w:vAlign w:val="center"/>
          </w:tcPr>
          <w:p w14:paraId="23614B2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78222F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29B7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2" w:type="pct"/>
            <w:tcBorders>
              <w:tl2br w:val="nil"/>
              <w:tr2bl w:val="nil"/>
            </w:tcBorders>
            <w:vAlign w:val="center"/>
          </w:tcPr>
          <w:p w14:paraId="2FFE868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7</w:t>
            </w:r>
          </w:p>
        </w:tc>
        <w:tc>
          <w:tcPr>
            <w:tcW w:w="680" w:type="pct"/>
            <w:tcBorders>
              <w:tl2br w:val="nil"/>
              <w:tr2bl w:val="nil"/>
            </w:tcBorders>
            <w:shd w:val="clear" w:color="auto" w:fill="auto"/>
            <w:vAlign w:val="center"/>
          </w:tcPr>
          <w:p w14:paraId="4A8B12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剥离负荷/N</w:t>
            </w:r>
          </w:p>
        </w:tc>
        <w:tc>
          <w:tcPr>
            <w:tcW w:w="1225" w:type="pct"/>
            <w:gridSpan w:val="2"/>
            <w:tcBorders>
              <w:tl2br w:val="nil"/>
              <w:tr2bl w:val="nil"/>
            </w:tcBorders>
            <w:shd w:val="clear" w:color="auto" w:fill="auto"/>
            <w:vAlign w:val="center"/>
          </w:tcPr>
          <w:p w14:paraId="768F096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≥20</w:t>
            </w:r>
          </w:p>
        </w:tc>
        <w:tc>
          <w:tcPr>
            <w:tcW w:w="1405" w:type="pct"/>
            <w:tcBorders>
              <w:tl2br w:val="nil"/>
              <w:tr2bl w:val="nil"/>
            </w:tcBorders>
            <w:shd w:val="clear" w:color="auto" w:fill="auto"/>
            <w:vAlign w:val="center"/>
          </w:tcPr>
          <w:p w14:paraId="5E34FFA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06" w:type="pct"/>
            <w:tcBorders>
              <w:tl2br w:val="nil"/>
              <w:tr2bl w:val="nil"/>
            </w:tcBorders>
            <w:shd w:val="clear" w:color="auto" w:fill="auto"/>
            <w:vAlign w:val="center"/>
          </w:tcPr>
          <w:p w14:paraId="6FD4BD2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bl>
    <w:p w14:paraId="2EEAA5DE">
      <w:pPr>
        <w:widowControl/>
        <w:jc w:val="left"/>
        <w:rPr>
          <w:rFonts w:hint="default" w:ascii="Times New Roman" w:hAnsi="Times New Roman" w:eastAsia="黑体" w:cs="Times New Roman"/>
          <w:bCs/>
          <w:sz w:val="24"/>
        </w:rPr>
      </w:pPr>
      <w:r>
        <w:rPr>
          <w:rFonts w:hint="default" w:ascii="Times New Roman" w:hAnsi="Times New Roman" w:eastAsia="黑体" w:cs="Times New Roman"/>
          <w:bCs/>
          <w:sz w:val="24"/>
        </w:rPr>
        <w:t>3.4  有害物质限量</w:t>
      </w:r>
    </w:p>
    <w:p w14:paraId="2A995766">
      <w:pPr>
        <w:pStyle w:val="14"/>
        <w:spacing w:line="36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rPr>
        <w:t>起草组收集了样品</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件，与表</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有害物质限量要求符合率100%。具</w:t>
      </w:r>
      <w:r>
        <w:rPr>
          <w:rFonts w:hint="default" w:ascii="Times New Roman" w:hAnsi="Times New Roman" w:cs="Times New Roman"/>
          <w:sz w:val="21"/>
          <w:szCs w:val="21"/>
          <w:highlight w:val="none"/>
        </w:rPr>
        <w:t>体内容见表</w:t>
      </w:r>
      <w:r>
        <w:rPr>
          <w:rFonts w:hint="default" w:ascii="Times New Roman" w:hAnsi="Times New Roman" w:cs="Times New Roman"/>
          <w:sz w:val="21"/>
          <w:szCs w:val="21"/>
          <w:highlight w:val="none"/>
          <w:lang w:val="en-US" w:eastAsia="zh-CN"/>
        </w:rPr>
        <w:t>7</w:t>
      </w:r>
      <w:r>
        <w:rPr>
          <w:rFonts w:hint="default" w:ascii="Times New Roman" w:hAnsi="Times New Roman" w:cs="Times New Roman"/>
          <w:sz w:val="21"/>
          <w:szCs w:val="21"/>
          <w:highlight w:val="none"/>
        </w:rPr>
        <w:t>。</w:t>
      </w:r>
    </w:p>
    <w:p w14:paraId="083C658F">
      <w:pPr>
        <w:pStyle w:val="14"/>
        <w:spacing w:line="360" w:lineRule="auto"/>
        <w:ind w:firstLine="420"/>
        <w:jc w:val="center"/>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表7 有害物质限量测试数据</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5090"/>
        <w:gridCol w:w="1684"/>
        <w:gridCol w:w="2155"/>
        <w:gridCol w:w="2156"/>
        <w:gridCol w:w="2156"/>
      </w:tblGrid>
      <w:tr w14:paraId="3710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27" w:type="pct"/>
            <w:vAlign w:val="center"/>
          </w:tcPr>
          <w:p w14:paraId="0B76D0B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序号</w:t>
            </w:r>
          </w:p>
        </w:tc>
        <w:tc>
          <w:tcPr>
            <w:tcW w:w="1795" w:type="pct"/>
            <w:vAlign w:val="center"/>
          </w:tcPr>
          <w:p w14:paraId="1315A4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项目</w:t>
            </w:r>
          </w:p>
        </w:tc>
        <w:tc>
          <w:tcPr>
            <w:tcW w:w="594" w:type="pct"/>
            <w:vAlign w:val="center"/>
          </w:tcPr>
          <w:p w14:paraId="7416E5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指标</w:t>
            </w:r>
          </w:p>
        </w:tc>
        <w:tc>
          <w:tcPr>
            <w:tcW w:w="760" w:type="pct"/>
            <w:vAlign w:val="center"/>
          </w:tcPr>
          <w:p w14:paraId="748E699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生物基水性聚氨酯1</w:t>
            </w:r>
          </w:p>
        </w:tc>
        <w:tc>
          <w:tcPr>
            <w:tcW w:w="760" w:type="pct"/>
            <w:vAlign w:val="center"/>
          </w:tcPr>
          <w:p w14:paraId="49CD547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生物基水性聚氨酯2</w:t>
            </w:r>
          </w:p>
        </w:tc>
        <w:tc>
          <w:tcPr>
            <w:tcW w:w="760" w:type="pct"/>
            <w:vAlign w:val="center"/>
          </w:tcPr>
          <w:p w14:paraId="4855E97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生物基水性聚氨酯3</w:t>
            </w:r>
          </w:p>
        </w:tc>
      </w:tr>
      <w:tr w14:paraId="5141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27" w:type="pct"/>
            <w:vAlign w:val="center"/>
          </w:tcPr>
          <w:p w14:paraId="41E19D7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1</w:t>
            </w:r>
          </w:p>
        </w:tc>
        <w:tc>
          <w:tcPr>
            <w:tcW w:w="1795" w:type="pct"/>
            <w:shd w:val="clear" w:color="auto" w:fill="auto"/>
            <w:vAlign w:val="center"/>
          </w:tcPr>
          <w:p w14:paraId="07D6F1C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挥发性有机物含量（VOC）/g/L</w:t>
            </w:r>
          </w:p>
        </w:tc>
        <w:tc>
          <w:tcPr>
            <w:tcW w:w="594" w:type="pct"/>
            <w:shd w:val="clear" w:color="auto" w:fill="auto"/>
            <w:vAlign w:val="center"/>
          </w:tcPr>
          <w:p w14:paraId="16FF13E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≤100</w:t>
            </w:r>
          </w:p>
        </w:tc>
        <w:tc>
          <w:tcPr>
            <w:tcW w:w="760" w:type="pct"/>
            <w:shd w:val="clear" w:color="auto" w:fill="auto"/>
            <w:vAlign w:val="center"/>
          </w:tcPr>
          <w:p w14:paraId="768D6E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760" w:type="pct"/>
            <w:shd w:val="clear" w:color="auto" w:fill="auto"/>
            <w:vAlign w:val="center"/>
          </w:tcPr>
          <w:p w14:paraId="3DFDE2D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760" w:type="pct"/>
            <w:shd w:val="clear" w:color="auto" w:fill="auto"/>
            <w:vAlign w:val="center"/>
          </w:tcPr>
          <w:p w14:paraId="06F46E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2CC1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27" w:type="pct"/>
            <w:vAlign w:val="center"/>
          </w:tcPr>
          <w:p w14:paraId="3E2B2F1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2</w:t>
            </w:r>
          </w:p>
        </w:tc>
        <w:tc>
          <w:tcPr>
            <w:tcW w:w="1795" w:type="pct"/>
            <w:vAlign w:val="center"/>
          </w:tcPr>
          <w:p w14:paraId="1C1DD2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N-甲基吡咯烷酮</w:t>
            </w:r>
          </w:p>
        </w:tc>
        <w:tc>
          <w:tcPr>
            <w:tcW w:w="594" w:type="pct"/>
            <w:vAlign w:val="center"/>
          </w:tcPr>
          <w:p w14:paraId="41AC5C8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≤500</w:t>
            </w:r>
          </w:p>
        </w:tc>
        <w:tc>
          <w:tcPr>
            <w:tcW w:w="760" w:type="pct"/>
            <w:vAlign w:val="center"/>
          </w:tcPr>
          <w:p w14:paraId="14AC70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760" w:type="pct"/>
            <w:vAlign w:val="center"/>
          </w:tcPr>
          <w:p w14:paraId="181739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760" w:type="pct"/>
            <w:vAlign w:val="center"/>
          </w:tcPr>
          <w:p w14:paraId="7C8743C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bl>
    <w:p w14:paraId="0F064661">
      <w:pPr>
        <w:pStyle w:val="14"/>
        <w:spacing w:line="360" w:lineRule="auto"/>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     </w:t>
      </w:r>
    </w:p>
    <w:p w14:paraId="55E6ED27">
      <w:pPr>
        <w:widowControl/>
        <w:jc w:val="left"/>
        <w:rPr>
          <w:rFonts w:hint="default" w:ascii="Times New Roman" w:hAnsi="Times New Roman" w:cs="Times New Roman"/>
          <w:kern w:val="0"/>
          <w:sz w:val="21"/>
          <w:szCs w:val="21"/>
        </w:rPr>
      </w:pPr>
      <w:r>
        <w:rPr>
          <w:rFonts w:hint="default" w:ascii="Times New Roman" w:hAnsi="Times New Roman" w:cs="Times New Roman"/>
          <w:sz w:val="21"/>
          <w:szCs w:val="21"/>
        </w:rPr>
        <w:br w:type="page"/>
      </w:r>
    </w:p>
    <w:p w14:paraId="440B9D1E">
      <w:pPr>
        <w:pStyle w:val="14"/>
        <w:spacing w:line="360" w:lineRule="auto"/>
        <w:ind w:firstLine="420"/>
        <w:rPr>
          <w:rFonts w:hint="default" w:ascii="Times New Roman" w:hAnsi="Times New Roman" w:cs="Times New Roman"/>
          <w:sz w:val="21"/>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linePitch="312" w:charSpace="0"/>
        </w:sectPr>
      </w:pPr>
    </w:p>
    <w:p w14:paraId="736B1915">
      <w:pPr>
        <w:pStyle w:val="17"/>
        <w:spacing w:line="360" w:lineRule="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4 标准中涉及专利的情况</w:t>
      </w:r>
    </w:p>
    <w:p w14:paraId="2FDE24B2">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本文件没有涉及相关的专利。</w:t>
      </w:r>
    </w:p>
    <w:p w14:paraId="1178F430">
      <w:pPr>
        <w:pStyle w:val="17"/>
        <w:spacing w:line="360" w:lineRule="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5 预期达到的社会效益、对产业发展的作用等情况</w:t>
      </w:r>
    </w:p>
    <w:p w14:paraId="53A4DF6C">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我国力争2030年前实现碳达峰，2060年前实现碳中和，在此大目标下，2021年工信部印发《“十四五”工业绿色发展规划》，其中要达成的主要目标之一是“绿色制造体系日趋完善”，完善工业绿色低碳标准体系，推广万种绿色产品等；主要任务之一“实施工业领域碳达峰行动”，其中推广生物基材料为重要举措。</w:t>
      </w:r>
    </w:p>
    <w:p w14:paraId="41BA63D0">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我国作为全球聚氨酯领域的生产与贸易核心大国，在水性聚氨酯细分赛道同样展现出强劲发展势头。从原料来源维度看，传统聚氨酯树脂的生产原料高度依赖石油化工材料，属于典型的石油基产品。不过，近年来随着生物制造技术的快速迭代与突破，以生物质为来源的各类化学品不断涌现，这一趋势为聚氨酯树脂摆脱石油基依赖、实现生物基原料替代提供了关键的技术支撑与可行性路径。​</w:t>
      </w:r>
    </w:p>
    <w:p w14:paraId="546E63DF">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当前，水性聚氨酯树脂产品矩阵已较为丰富，但行业发展仍面临关键瓶颈</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针对生物基水性聚氨酯树脂的统一产品标准尚未建立。由于缺乏明确的生物基含量界定要求，不仅导致生产企业在产品研发与生产过程中 “无标可依”，也使得下游客户难以对生物基产品质量形成有效判断，这一现状严重制约了生物基水性聚氨酯树脂的产品创新进程，同时阻碍了市场层面的良性竞争，更不利于终端客户对该类产品的认可与接纳。因此，制定统一的生物基水性聚氨酯树脂标准，明确规定产品中最低生物基含量及所用原料的最低生物基含量，已成为推动行业健康发展的迫切任务。​</w:t>
      </w:r>
    </w:p>
    <w:p w14:paraId="6114DFD8">
      <w:pPr>
        <w:spacing w:line="360" w:lineRule="auto"/>
        <w:ind w:firstLine="420" w:firstLineChars="200"/>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本文件的制定与实施，将标志着我国水性聚氨酯树脂行业在生物基含量管控上正式进入 “标准化时代”。一方面，能够有效筛选市场上的不合格产品，</w:t>
      </w:r>
      <w:r>
        <w:rPr>
          <w:rFonts w:hint="default" w:ascii="Times New Roman" w:hAnsi="Times New Roman" w:cs="Times New Roman"/>
          <w:color w:val="000000"/>
          <w:szCs w:val="21"/>
          <w:lang w:val="en-US" w:eastAsia="zh-CN"/>
        </w:rPr>
        <w:t>有助于维护</w:t>
      </w:r>
      <w:r>
        <w:rPr>
          <w:rFonts w:hint="default" w:ascii="Times New Roman" w:hAnsi="Times New Roman" w:cs="Times New Roman"/>
          <w:color w:val="000000"/>
          <w:szCs w:val="21"/>
        </w:rPr>
        <w:t>行业秩序；另一方面，可为生物基水性聚氨酯树脂的产品认证提供权威参考依据，进而引导整个市场向高性能、高质量、低碳足迹的方向升级，为行业绿色转型与可持续发展奠定坚实基础</w:t>
      </w:r>
      <w:r>
        <w:rPr>
          <w:rFonts w:hint="default" w:ascii="Times New Roman" w:hAnsi="Times New Roman" w:cs="Times New Roman"/>
          <w:color w:val="000000"/>
          <w:szCs w:val="21"/>
          <w:lang w:eastAsia="zh-CN"/>
        </w:rPr>
        <w:t>。</w:t>
      </w:r>
    </w:p>
    <w:p w14:paraId="55D996EE">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6  采用国际标准和国外先进标准情况，与国际、国外同类标准水平的对比情况，国内外关键指标对比分析或与测试的国外样品、样机的相关数据对比情况</w:t>
      </w:r>
    </w:p>
    <w:p w14:paraId="3CCE1D44">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本文件没有采用国际标准。</w:t>
      </w:r>
    </w:p>
    <w:p w14:paraId="61F2D6B1">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本文件制定过程中未查到同类国际、国外标准。</w:t>
      </w:r>
    </w:p>
    <w:p w14:paraId="467A9F79">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本文件制定过程中未测试国外的样品。</w:t>
      </w:r>
    </w:p>
    <w:p w14:paraId="659A85DE">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本文件水平为国内先进水平。</w:t>
      </w:r>
    </w:p>
    <w:p w14:paraId="1AC0B8E8">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7  在标准体系中的位置，与现行相关法律、法规、规章及相关标准，特别是强制性标准的协调性</w:t>
      </w:r>
    </w:p>
    <w:p w14:paraId="3475B1A2">
      <w:pPr>
        <w:pStyle w:val="5"/>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本专业领域的标准体系框</w:t>
      </w:r>
      <w:r>
        <w:rPr>
          <w:rFonts w:hint="default" w:ascii="Times New Roman" w:hAnsi="Times New Roman" w:eastAsia="宋体" w:cs="Times New Roman"/>
          <w:sz w:val="21"/>
          <w:szCs w:val="21"/>
          <w:highlight w:val="none"/>
        </w:rPr>
        <w:t>架如图1。</w:t>
      </w:r>
    </w:p>
    <w:p w14:paraId="41A4857A">
      <w:pPr>
        <w:pStyle w:val="5"/>
        <w:spacing w:line="360" w:lineRule="auto"/>
        <w:ind w:firstLine="560" w:firstLineChars="200"/>
        <w:rPr>
          <w:rFonts w:hint="default" w:ascii="Times New Roman" w:hAnsi="Times New Roman" w:eastAsia="宋体" w:cs="Times New Roman"/>
          <w:sz w:val="21"/>
          <w:szCs w:val="21"/>
          <w:highlight w:val="yellow"/>
        </w:rPr>
      </w:pPr>
      <w:r>
        <w:rPr>
          <w:rFonts w:hint="default" w:ascii="Times New Roman" w:hAnsi="Times New Roman" w:cs="Times New Roman"/>
          <w:highlight w:val="yellow"/>
        </w:rPr>
        <w:drawing>
          <wp:anchor distT="0" distB="0" distL="114300" distR="114300" simplePos="0" relativeHeight="251659264" behindDoc="0" locked="0" layoutInCell="1" allowOverlap="1">
            <wp:simplePos x="0" y="0"/>
            <wp:positionH relativeFrom="column">
              <wp:posOffset>-46355</wp:posOffset>
            </wp:positionH>
            <wp:positionV relativeFrom="paragraph">
              <wp:posOffset>0</wp:posOffset>
            </wp:positionV>
            <wp:extent cx="5866765" cy="3177540"/>
            <wp:effectExtent l="0" t="0" r="635"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b="13164"/>
                    <a:stretch>
                      <a:fillRect/>
                    </a:stretch>
                  </pic:blipFill>
                  <pic:spPr>
                    <a:xfrm>
                      <a:off x="0" y="0"/>
                      <a:ext cx="5866765" cy="3177540"/>
                    </a:xfrm>
                    <a:prstGeom prst="rect">
                      <a:avLst/>
                    </a:prstGeom>
                    <a:noFill/>
                    <a:ln>
                      <a:noFill/>
                    </a:ln>
                  </pic:spPr>
                </pic:pic>
              </a:graphicData>
            </a:graphic>
          </wp:anchor>
        </w:drawing>
      </w:r>
    </w:p>
    <w:p w14:paraId="60D2CAB1">
      <w:pPr>
        <w:spacing w:line="360" w:lineRule="auto"/>
        <w:ind w:firstLine="360" w:firstLineChars="200"/>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图1  塑料制品技术标准体系框架</w:t>
      </w:r>
    </w:p>
    <w:p w14:paraId="27E83F15">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本文件属于塑料标准体系中（02）塑料制品大类，（</w:t>
      </w:r>
      <w:r>
        <w:rPr>
          <w:rFonts w:hint="default" w:ascii="Times New Roman" w:hAnsi="Times New Roman" w:cs="Times New Roman"/>
          <w:bCs/>
          <w:szCs w:val="21"/>
          <w:highlight w:val="none"/>
          <w:lang w:val="en-US" w:eastAsia="zh-CN"/>
        </w:rPr>
        <w:t>11</w:t>
      </w:r>
      <w:r>
        <w:rPr>
          <w:rFonts w:hint="default" w:ascii="Times New Roman" w:hAnsi="Times New Roman" w:cs="Times New Roman"/>
          <w:bCs/>
          <w:szCs w:val="21"/>
          <w:highlight w:val="none"/>
        </w:rPr>
        <w:t>）</w:t>
      </w:r>
      <w:r>
        <w:rPr>
          <w:rFonts w:hint="default" w:ascii="Times New Roman" w:hAnsi="Times New Roman" w:cs="Times New Roman"/>
          <w:bCs/>
          <w:szCs w:val="21"/>
          <w:highlight w:val="none"/>
          <w:lang w:val="en-US" w:eastAsia="zh-CN"/>
        </w:rPr>
        <w:t>生物基材料、降解及塑木制品</w:t>
      </w:r>
      <w:r>
        <w:rPr>
          <w:rFonts w:hint="default" w:ascii="Times New Roman" w:hAnsi="Times New Roman" w:cs="Times New Roman"/>
          <w:bCs/>
          <w:szCs w:val="21"/>
          <w:highlight w:val="none"/>
        </w:rPr>
        <w:t>，（01）</w:t>
      </w:r>
      <w:r>
        <w:rPr>
          <w:rFonts w:hint="default" w:ascii="Times New Roman" w:hAnsi="Times New Roman" w:cs="Times New Roman"/>
          <w:bCs/>
          <w:szCs w:val="21"/>
          <w:highlight w:val="none"/>
          <w:lang w:val="en-US" w:eastAsia="zh-CN"/>
        </w:rPr>
        <w:t>生物基材料</w:t>
      </w:r>
      <w:r>
        <w:rPr>
          <w:rFonts w:hint="default" w:ascii="Times New Roman" w:hAnsi="Times New Roman" w:cs="Times New Roman"/>
          <w:bCs/>
          <w:szCs w:val="21"/>
          <w:highlight w:val="none"/>
        </w:rPr>
        <w:t>小类。</w:t>
      </w:r>
    </w:p>
    <w:p w14:paraId="585D7AF6">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本文件与现行相关法律、法规、规章及相关标准协调一致。</w:t>
      </w:r>
    </w:p>
    <w:p w14:paraId="34565B10">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8  重大分歧意见的处理经过和依据</w:t>
      </w:r>
    </w:p>
    <w:p w14:paraId="28C97711">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03CC2084">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9  贯彻标准的要求和措施建议</w:t>
      </w:r>
    </w:p>
    <w:p w14:paraId="1639F80F">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建议本文件批准发布即实施。</w:t>
      </w:r>
    </w:p>
    <w:p w14:paraId="5CAAB112">
      <w:pPr>
        <w:spacing w:line="360" w:lineRule="auto"/>
        <w:outlineLvl w:val="0"/>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10  废止现行相关标准的建议</w:t>
      </w:r>
    </w:p>
    <w:p w14:paraId="71B293DB">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3CA56870">
      <w:pPr>
        <w:spacing w:line="360" w:lineRule="auto"/>
        <w:outlineLvl w:val="0"/>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11  其他应予说明的事项</w:t>
      </w:r>
    </w:p>
    <w:p w14:paraId="04153B53">
      <w:pPr>
        <w:pStyle w:val="5"/>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p w14:paraId="30D08252">
      <w:pPr>
        <w:pStyle w:val="14"/>
        <w:spacing w:line="360" w:lineRule="auto"/>
        <w:ind w:firstLine="420"/>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IKEA San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B6FD9"/>
    <w:multiLevelType w:val="singleLevel"/>
    <w:tmpl w:val="B8DB6FD9"/>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992"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9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DBF04F4"/>
    <w:multiLevelType w:val="multilevel"/>
    <w:tmpl w:val="6DBF04F4"/>
    <w:lvl w:ilvl="0" w:tentative="0">
      <w:start w:val="1"/>
      <w:numFmt w:val="none"/>
      <w:pStyle w:val="2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9"/>
    <w:rsid w:val="00012C47"/>
    <w:rsid w:val="00063E9F"/>
    <w:rsid w:val="0007411B"/>
    <w:rsid w:val="0018058E"/>
    <w:rsid w:val="0018566A"/>
    <w:rsid w:val="0024406C"/>
    <w:rsid w:val="00271CCD"/>
    <w:rsid w:val="002B41B8"/>
    <w:rsid w:val="002C7332"/>
    <w:rsid w:val="002E1D0A"/>
    <w:rsid w:val="002E626E"/>
    <w:rsid w:val="002F181F"/>
    <w:rsid w:val="00411E8C"/>
    <w:rsid w:val="00493548"/>
    <w:rsid w:val="00497AB1"/>
    <w:rsid w:val="004A04BA"/>
    <w:rsid w:val="00597527"/>
    <w:rsid w:val="00615F35"/>
    <w:rsid w:val="00651B29"/>
    <w:rsid w:val="00734A76"/>
    <w:rsid w:val="0075288F"/>
    <w:rsid w:val="00776B14"/>
    <w:rsid w:val="007B0108"/>
    <w:rsid w:val="00904140"/>
    <w:rsid w:val="00970017"/>
    <w:rsid w:val="009C15FA"/>
    <w:rsid w:val="009D74A8"/>
    <w:rsid w:val="00A340B9"/>
    <w:rsid w:val="00A61BC3"/>
    <w:rsid w:val="00AA0E35"/>
    <w:rsid w:val="00B51F2A"/>
    <w:rsid w:val="00BB6AD8"/>
    <w:rsid w:val="00BD0090"/>
    <w:rsid w:val="00BF01E1"/>
    <w:rsid w:val="00C13FC5"/>
    <w:rsid w:val="00C32160"/>
    <w:rsid w:val="00C70344"/>
    <w:rsid w:val="00CB4E62"/>
    <w:rsid w:val="00CC5F8C"/>
    <w:rsid w:val="00CE39C5"/>
    <w:rsid w:val="00D055F0"/>
    <w:rsid w:val="00D716A6"/>
    <w:rsid w:val="00D96B32"/>
    <w:rsid w:val="00DE156E"/>
    <w:rsid w:val="00E1195F"/>
    <w:rsid w:val="00E818FE"/>
    <w:rsid w:val="00F86F73"/>
    <w:rsid w:val="00FD1B7C"/>
    <w:rsid w:val="00FE4037"/>
    <w:rsid w:val="04351B1E"/>
    <w:rsid w:val="046C67C9"/>
    <w:rsid w:val="054E09BE"/>
    <w:rsid w:val="062C76B1"/>
    <w:rsid w:val="064A73D7"/>
    <w:rsid w:val="06AB71F5"/>
    <w:rsid w:val="083A55CD"/>
    <w:rsid w:val="08AD06D6"/>
    <w:rsid w:val="09AD65FB"/>
    <w:rsid w:val="09C120A6"/>
    <w:rsid w:val="0D2A3ABE"/>
    <w:rsid w:val="0D613984"/>
    <w:rsid w:val="0D660F9A"/>
    <w:rsid w:val="0EB83A78"/>
    <w:rsid w:val="0ED02A14"/>
    <w:rsid w:val="0F657030"/>
    <w:rsid w:val="0FCB77DB"/>
    <w:rsid w:val="14643D5A"/>
    <w:rsid w:val="17E01949"/>
    <w:rsid w:val="190A1374"/>
    <w:rsid w:val="1A044015"/>
    <w:rsid w:val="1B684130"/>
    <w:rsid w:val="1EE552E7"/>
    <w:rsid w:val="1F613BBB"/>
    <w:rsid w:val="208C6B12"/>
    <w:rsid w:val="21D818E3"/>
    <w:rsid w:val="221C5C74"/>
    <w:rsid w:val="24651B54"/>
    <w:rsid w:val="256242E5"/>
    <w:rsid w:val="25714529"/>
    <w:rsid w:val="259C77F7"/>
    <w:rsid w:val="28164F13"/>
    <w:rsid w:val="28F21696"/>
    <w:rsid w:val="29527BE9"/>
    <w:rsid w:val="295C0655"/>
    <w:rsid w:val="2A8940C2"/>
    <w:rsid w:val="2AB8479E"/>
    <w:rsid w:val="2AE17FD7"/>
    <w:rsid w:val="2C6D2F30"/>
    <w:rsid w:val="2CDA15E0"/>
    <w:rsid w:val="2DF7019E"/>
    <w:rsid w:val="2F063F34"/>
    <w:rsid w:val="2F7544C2"/>
    <w:rsid w:val="2FAB0637"/>
    <w:rsid w:val="2FEC07F3"/>
    <w:rsid w:val="30BF25EC"/>
    <w:rsid w:val="31E3055C"/>
    <w:rsid w:val="34243CC4"/>
    <w:rsid w:val="343B467F"/>
    <w:rsid w:val="361E756D"/>
    <w:rsid w:val="36F823B4"/>
    <w:rsid w:val="38593326"/>
    <w:rsid w:val="39317DFF"/>
    <w:rsid w:val="39A20CFD"/>
    <w:rsid w:val="3CF47AC1"/>
    <w:rsid w:val="3D232155"/>
    <w:rsid w:val="3E13107E"/>
    <w:rsid w:val="41076959"/>
    <w:rsid w:val="42C341BE"/>
    <w:rsid w:val="431C38CE"/>
    <w:rsid w:val="4326474D"/>
    <w:rsid w:val="433F14B1"/>
    <w:rsid w:val="43DB5537"/>
    <w:rsid w:val="43F247C7"/>
    <w:rsid w:val="444035EC"/>
    <w:rsid w:val="45202C09"/>
    <w:rsid w:val="467B090B"/>
    <w:rsid w:val="474D7799"/>
    <w:rsid w:val="476D7C3C"/>
    <w:rsid w:val="482074E7"/>
    <w:rsid w:val="48587156"/>
    <w:rsid w:val="495518E8"/>
    <w:rsid w:val="4B5A7CCA"/>
    <w:rsid w:val="4B871704"/>
    <w:rsid w:val="4BC00DDC"/>
    <w:rsid w:val="4D537EEC"/>
    <w:rsid w:val="4E8C7B5A"/>
    <w:rsid w:val="4F0F5C8E"/>
    <w:rsid w:val="4F4421E2"/>
    <w:rsid w:val="4FA15035"/>
    <w:rsid w:val="4FE319FB"/>
    <w:rsid w:val="4FEF6E14"/>
    <w:rsid w:val="504A12BE"/>
    <w:rsid w:val="529F4EE0"/>
    <w:rsid w:val="53FA7313"/>
    <w:rsid w:val="55D51650"/>
    <w:rsid w:val="56FB1D20"/>
    <w:rsid w:val="57527466"/>
    <w:rsid w:val="58BA30DA"/>
    <w:rsid w:val="59407EBE"/>
    <w:rsid w:val="5A382944"/>
    <w:rsid w:val="5C367357"/>
    <w:rsid w:val="5CA42512"/>
    <w:rsid w:val="5CB116E0"/>
    <w:rsid w:val="5CFC52BC"/>
    <w:rsid w:val="5D891708"/>
    <w:rsid w:val="5F4C6694"/>
    <w:rsid w:val="5F9A5E4E"/>
    <w:rsid w:val="6434096B"/>
    <w:rsid w:val="645E744B"/>
    <w:rsid w:val="64910C25"/>
    <w:rsid w:val="67FB0E26"/>
    <w:rsid w:val="68AD09A1"/>
    <w:rsid w:val="69434E61"/>
    <w:rsid w:val="696E1952"/>
    <w:rsid w:val="697F058F"/>
    <w:rsid w:val="698E07D2"/>
    <w:rsid w:val="69F108B1"/>
    <w:rsid w:val="6A1567FD"/>
    <w:rsid w:val="6A4946F9"/>
    <w:rsid w:val="6B0F5943"/>
    <w:rsid w:val="6B9320D0"/>
    <w:rsid w:val="6BEE37AA"/>
    <w:rsid w:val="6C375151"/>
    <w:rsid w:val="6CDE3891"/>
    <w:rsid w:val="6E8126B3"/>
    <w:rsid w:val="6F4247C4"/>
    <w:rsid w:val="707E2AEB"/>
    <w:rsid w:val="70BA1EAD"/>
    <w:rsid w:val="71DB4DD5"/>
    <w:rsid w:val="720A29C0"/>
    <w:rsid w:val="73880040"/>
    <w:rsid w:val="746E5488"/>
    <w:rsid w:val="77EC32F9"/>
    <w:rsid w:val="79FD2E0A"/>
    <w:rsid w:val="7A3E58FC"/>
    <w:rsid w:val="7DF82266"/>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link w:val="21"/>
    <w:qFormat/>
    <w:uiPriority w:val="99"/>
    <w:pPr>
      <w:ind w:firstLine="570"/>
    </w:pPr>
    <w:rPr>
      <w:rFonts w:ascii="仿宋_GB2312" w:eastAsia="仿宋_GB2312"/>
      <w:sz w:val="28"/>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标题 3 字符"/>
    <w:basedOn w:val="11"/>
    <w:link w:val="2"/>
    <w:qFormat/>
    <w:uiPriority w:val="9"/>
    <w:rPr>
      <w:rFonts w:ascii="Calibri" w:hAnsi="Calibri" w:eastAsia="宋体" w:cs="Times New Roman"/>
      <w:b/>
      <w:bCs/>
      <w:sz w:val="32"/>
      <w:szCs w:val="32"/>
    </w:rPr>
  </w:style>
  <w:style w:type="paragraph" w:customStyle="1" w:styleId="14">
    <w:name w:val="标准文件_段"/>
    <w:link w:val="18"/>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5">
    <w:name w:val="页眉 字符"/>
    <w:basedOn w:val="11"/>
    <w:link w:val="8"/>
    <w:qFormat/>
    <w:uiPriority w:val="99"/>
    <w:rPr>
      <w:rFonts w:ascii="Calibri" w:hAnsi="Calibri" w:eastAsia="宋体" w:cs="Times New Roman"/>
      <w:sz w:val="18"/>
      <w:szCs w:val="18"/>
    </w:rPr>
  </w:style>
  <w:style w:type="character" w:customStyle="1" w:styleId="16">
    <w:name w:val="页脚 字符"/>
    <w:basedOn w:val="11"/>
    <w:link w:val="7"/>
    <w:qFormat/>
    <w:uiPriority w:val="99"/>
    <w:rPr>
      <w:rFonts w:ascii="Calibri" w:hAnsi="Calibri" w:eastAsia="宋体" w:cs="Times New Roman"/>
      <w:sz w:val="18"/>
      <w:szCs w:val="18"/>
    </w:rPr>
  </w:style>
  <w:style w:type="paragraph" w:customStyle="1" w:styleId="17">
    <w:name w:val="Default"/>
    <w:qFormat/>
    <w:uiPriority w:val="0"/>
    <w:pPr>
      <w:widowControl w:val="0"/>
      <w:autoSpaceDE w:val="0"/>
      <w:autoSpaceDN w:val="0"/>
      <w:adjustRightInd w:val="0"/>
    </w:pPr>
    <w:rPr>
      <w:rFonts w:ascii="IKEA Sans" w:hAnsi="Calibri" w:eastAsia="IKEA Sans" w:cs="IKEA Sans"/>
      <w:color w:val="000000"/>
      <w:kern w:val="0"/>
      <w:sz w:val="24"/>
      <w:szCs w:val="24"/>
      <w:lang w:val="en-US" w:eastAsia="zh-CN" w:bidi="ar-SA"/>
    </w:rPr>
  </w:style>
  <w:style w:type="character" w:customStyle="1" w:styleId="18">
    <w:name w:val="标准文件_段 Char"/>
    <w:link w:val="14"/>
    <w:qFormat/>
    <w:uiPriority w:val="0"/>
    <w:rPr>
      <w:rFonts w:ascii="宋体" w:hAnsi="Times New Roman" w:eastAsia="宋体" w:cs="Times New Roman"/>
      <w:kern w:val="0"/>
      <w:szCs w:val="20"/>
    </w:rPr>
  </w:style>
  <w:style w:type="paragraph" w:styleId="19">
    <w:name w:val="List Paragraph"/>
    <w:basedOn w:val="1"/>
    <w:qFormat/>
    <w:uiPriority w:val="34"/>
    <w:pPr>
      <w:ind w:firstLine="420" w:firstLineChars="200"/>
    </w:pPr>
  </w:style>
  <w:style w:type="character" w:customStyle="1" w:styleId="20">
    <w:name w:val="批注框文本 字符"/>
    <w:basedOn w:val="11"/>
    <w:link w:val="6"/>
    <w:semiHidden/>
    <w:qFormat/>
    <w:uiPriority w:val="99"/>
    <w:rPr>
      <w:rFonts w:ascii="Calibri" w:hAnsi="Calibri" w:eastAsia="宋体" w:cs="Times New Roman"/>
      <w:sz w:val="18"/>
      <w:szCs w:val="18"/>
    </w:rPr>
  </w:style>
  <w:style w:type="character" w:customStyle="1" w:styleId="21">
    <w:name w:val="正文文本缩进 字符"/>
    <w:basedOn w:val="11"/>
    <w:link w:val="5"/>
    <w:qFormat/>
    <w:uiPriority w:val="99"/>
    <w:rPr>
      <w:rFonts w:ascii="仿宋_GB2312" w:hAnsi="Calibri" w:eastAsia="仿宋_GB2312" w:cs="Times New Roman"/>
      <w:sz w:val="28"/>
      <w:szCs w:val="20"/>
    </w:rPr>
  </w:style>
  <w:style w:type="paragraph" w:customStyle="1" w:styleId="22">
    <w:name w:val="正文表标题"/>
    <w:next w:val="23"/>
    <w:qFormat/>
    <w:uiPriority w:val="0"/>
    <w:pPr>
      <w:numPr>
        <w:ilvl w:val="0"/>
        <w:numId w:val="1"/>
      </w:numPr>
      <w:tabs>
        <w:tab w:val="left" w:pos="360"/>
      </w:tabs>
      <w:spacing w:beforeLines="50" w:afterLines="50"/>
      <w:ind w:left="2551"/>
      <w:jc w:val="center"/>
    </w:pPr>
    <w:rPr>
      <w:rFonts w:ascii="黑体" w:hAnsi="Times New Roman" w:eastAsia="黑体" w:cs="Times New Roman"/>
      <w:sz w:val="21"/>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25">
    <w:name w:val="标准文件_注："/>
    <w:next w:val="14"/>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EE64-7C32-4CEC-9B3B-6ECDA15468EA}">
  <ds:schemaRefs/>
</ds:datastoreItem>
</file>

<file path=docProps/app.xml><?xml version="1.0" encoding="utf-8"?>
<Properties xmlns="http://schemas.openxmlformats.org/officeDocument/2006/extended-properties" xmlns:vt="http://schemas.openxmlformats.org/officeDocument/2006/docPropsVTypes">
  <Template>Normal</Template>
  <Pages>9</Pages>
  <Words>4856</Words>
  <Characters>5527</Characters>
  <Lines>62</Lines>
  <Paragraphs>17</Paragraphs>
  <TotalTime>1</TotalTime>
  <ScaleCrop>false</ScaleCrop>
  <LinksUpToDate>false</LinksUpToDate>
  <CharactersWithSpaces>5651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2025-04-22T04:35:00Z</dcterms:created>
  <dc:creator>周静</dc:creator>
  <cp:lastModifiedBy>钱莱</cp:lastModifiedBy>
  <dcterms:modified xsi:type="dcterms:W3CDTF">2025-10-16T07:49:33Z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425585C974FE47828FE1FB54777DC5A2_13</vt:lpwstr>
  </property>
  <property fmtid="{D5CDD505-2E9C-101B-9397-08002B2CF9AE}" pid="4" name="KSOTemplateDocerSaveRecord">
    <vt:lpwstr>eyJoZGlkIjoiMzEwNTM5NzYwMDRjMzkwZTVkZjY2ODkwMGIxNGU0OTUiLCJ1c2VySWQiOiIyNzQwMTU3MzUifQ==</vt:lpwstr>
  </property>
</Properties>
</file>