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C2587">
      <w:pPr>
        <w:framePr w:wrap="auto" w:vAnchor="margin" w:hAnchor="text" w:yAlign="inline"/>
        <w:spacing w:before="240" w:beforeLines="100" w:after="240" w:afterLines="100" w:line="360" w:lineRule="auto"/>
        <w:contextualSpacing/>
        <w:jc w:val="center"/>
        <w:outlineLvl w:val="0"/>
        <w:rPr>
          <w:rFonts w:ascii="宋体" w:hAnsi="宋体" w:eastAsia="宋体" w:cs="宋体"/>
          <w:b/>
          <w:bCs/>
          <w:sz w:val="32"/>
          <w:szCs w:val="32"/>
          <w:lang w:val="zh-TW"/>
        </w:rPr>
      </w:pPr>
      <w:r>
        <w:rPr>
          <w:rFonts w:hint="cs" w:ascii="宋体" w:hAnsi="宋体" w:eastAsia="宋体" w:cs="宋体"/>
          <w:b/>
          <w:bCs/>
          <w:sz w:val="32"/>
          <w:szCs w:val="32"/>
          <w:lang w:val="zh-TW"/>
        </w:rPr>
        <w:t>《营商环境监测能力要求》</w:t>
      </w:r>
    </w:p>
    <w:p w14:paraId="747D8DF5">
      <w:pPr>
        <w:framePr w:wrap="auto" w:vAnchor="margin" w:hAnchor="text" w:yAlign="inline"/>
        <w:spacing w:before="240" w:beforeLines="100" w:after="240" w:afterLines="100" w:line="360" w:lineRule="auto"/>
        <w:contextualSpacing/>
        <w:jc w:val="center"/>
        <w:outlineLvl w:val="0"/>
        <w:rPr>
          <w:rFonts w:hint="default"/>
          <w:b/>
          <w:bCs/>
          <w:sz w:val="32"/>
          <w:szCs w:val="32"/>
          <w:lang w:val="zh-TW"/>
        </w:rPr>
      </w:pPr>
      <w:r>
        <w:rPr>
          <w:rFonts w:ascii="宋体" w:hAnsi="宋体" w:eastAsia="宋体" w:cs="宋体"/>
          <w:b/>
          <w:bCs/>
          <w:sz w:val="32"/>
          <w:szCs w:val="32"/>
          <w:lang w:val="zh-TW"/>
        </w:rPr>
        <w:t>团体标准</w:t>
      </w:r>
      <w:r>
        <w:rPr>
          <w:rFonts w:hint="eastAsia" w:ascii="宋体" w:hAnsi="宋体" w:eastAsia="宋体" w:cs="宋体"/>
          <w:b/>
          <w:bCs/>
          <w:sz w:val="32"/>
          <w:szCs w:val="32"/>
          <w:lang w:val="zh-TW" w:eastAsia="zh-CN"/>
        </w:rPr>
        <w:t>（</w:t>
      </w:r>
      <w:r>
        <w:rPr>
          <w:rFonts w:hint="eastAsia" w:ascii="宋体" w:hAnsi="宋体" w:eastAsia="宋体" w:cs="宋体"/>
          <w:b/>
          <w:bCs/>
          <w:sz w:val="32"/>
          <w:szCs w:val="32"/>
          <w:lang w:val="en-US" w:eastAsia="zh-CN"/>
        </w:rPr>
        <w:t>征求意见稿）</w:t>
      </w:r>
      <w:r>
        <w:rPr>
          <w:rFonts w:ascii="宋体" w:hAnsi="宋体" w:eastAsia="宋体" w:cs="宋体"/>
          <w:b/>
          <w:bCs/>
          <w:sz w:val="32"/>
          <w:szCs w:val="32"/>
          <w:lang w:val="zh-TW"/>
        </w:rPr>
        <w:t>编制说明</w:t>
      </w:r>
    </w:p>
    <w:p w14:paraId="38A48B72">
      <w:pPr>
        <w:pStyle w:val="15"/>
        <w:framePr w:wrap="auto" w:vAnchor="margin" w:hAnchor="text" w:yAlign="inline"/>
        <w:adjustRightInd w:val="0"/>
        <w:spacing w:line="360" w:lineRule="auto"/>
        <w:ind w:firstLine="480" w:firstLineChars="200"/>
        <w:rPr>
          <w:rFonts w:ascii="宋体" w:hAnsi="宋体" w:eastAsia="PMingLiU" w:cs="宋体"/>
          <w:b/>
          <w:bCs/>
          <w:color w:val="auto"/>
          <w:kern w:val="0"/>
          <w:sz w:val="24"/>
          <w:szCs w:val="24"/>
          <w:u w:color="0000FF"/>
          <w:lang w:val="zh-TW"/>
        </w:rPr>
      </w:pPr>
      <w:r>
        <w:rPr>
          <w:rFonts w:hint="default" w:ascii="宋体" w:hAnsi="宋体" w:eastAsia="宋体" w:cs="宋体"/>
          <w:b/>
          <w:bCs/>
          <w:color w:val="auto"/>
          <w:kern w:val="0"/>
          <w:sz w:val="24"/>
          <w:szCs w:val="24"/>
          <w:u w:color="0000FF"/>
          <w:lang w:val="zh-TW"/>
        </w:rPr>
        <w:t>一、</w:t>
      </w:r>
      <w:r>
        <w:rPr>
          <w:rFonts w:ascii="宋体" w:hAnsi="宋体" w:eastAsia="宋体" w:cs="宋体"/>
          <w:b/>
          <w:bCs/>
          <w:color w:val="auto"/>
          <w:kern w:val="0"/>
          <w:sz w:val="24"/>
          <w:szCs w:val="24"/>
          <w:u w:color="0000FF"/>
          <w:lang w:val="zh-TW"/>
        </w:rPr>
        <w:t>标准项目来源</w:t>
      </w:r>
    </w:p>
    <w:p w14:paraId="1B866EC8">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hint="cs" w:ascii="宋体" w:hAnsi="宋体" w:eastAsia="宋体" w:cs="宋体"/>
          <w:color w:val="auto"/>
          <w:sz w:val="24"/>
          <w:szCs w:val="24"/>
          <w:lang w:val="zh-TW"/>
        </w:rPr>
        <w:t>《营商环境监测能力要求》</w:t>
      </w:r>
      <w:r>
        <w:rPr>
          <w:rFonts w:ascii="宋体" w:hAnsi="宋体" w:eastAsia="宋体" w:cs="宋体"/>
          <w:color w:val="auto"/>
          <w:sz w:val="24"/>
          <w:szCs w:val="24"/>
          <w:lang w:val="zh-TW"/>
        </w:rPr>
        <w:t>团体标准（</w:t>
      </w:r>
      <w:r>
        <w:rPr>
          <w:rFonts w:ascii="宋体" w:hAnsi="宋体" w:eastAsia="宋体" w:cs="宋体"/>
          <w:color w:val="auto"/>
          <w:sz w:val="24"/>
          <w:szCs w:val="24"/>
        </w:rPr>
        <w:t>以下简称“本文件”</w:t>
      </w:r>
      <w:r>
        <w:rPr>
          <w:rFonts w:ascii="宋体" w:hAnsi="宋体" w:eastAsia="宋体" w:cs="宋体"/>
          <w:color w:val="auto"/>
          <w:sz w:val="24"/>
          <w:szCs w:val="24"/>
          <w:lang w:val="zh-TW"/>
        </w:rPr>
        <w:t>）</w:t>
      </w:r>
      <w:r>
        <w:rPr>
          <w:rFonts w:ascii="宋体" w:hAnsi="宋体" w:eastAsia="宋体" w:cs="宋体"/>
          <w:color w:val="auto"/>
          <w:sz w:val="24"/>
          <w:szCs w:val="24"/>
        </w:rPr>
        <w:t>由中国国际贸易促进委员会商业行业委员会营商环境监测中心提出并组织起草，由中国国际贸易促进委员会商业行业委员会归口管理</w:t>
      </w:r>
      <w:r>
        <w:rPr>
          <w:rFonts w:ascii="宋体" w:hAnsi="宋体" w:eastAsia="宋体" w:cs="宋体"/>
          <w:color w:val="auto"/>
          <w:sz w:val="24"/>
          <w:szCs w:val="24"/>
          <w:lang w:val="zh-TW"/>
        </w:rPr>
        <w:t>。</w:t>
      </w:r>
    </w:p>
    <w:p w14:paraId="0F54A462">
      <w:pPr>
        <w:pStyle w:val="15"/>
        <w:framePr w:wrap="auto" w:vAnchor="margin" w:hAnchor="text" w:yAlign="inline"/>
        <w:adjustRightInd w:val="0"/>
        <w:spacing w:line="360" w:lineRule="auto"/>
        <w:ind w:firstLine="480" w:firstLineChars="200"/>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二、标准制定的目的和意义</w:t>
      </w:r>
    </w:p>
    <w:p w14:paraId="3D330025">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（一）编制目的</w:t>
      </w:r>
    </w:p>
    <w:p w14:paraId="55247BF7">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cs" w:ascii="宋体" w:hAnsi="宋体" w:eastAsia="宋体" w:cs="宋体"/>
          <w:color w:val="auto"/>
          <w:sz w:val="24"/>
          <w:szCs w:val="24"/>
          <w:lang w:val="zh-TW"/>
        </w:rPr>
        <w:t>制定《营商环境监测能力要求》团体标准，旨在通过统一、科学、规范的监测能力框架，提升我国营商环境监测的系统性、精准性和可比性，为政府优化政策设计、企业投资决策以及第三方评估机构提供标准化依据，推动全国范围内营商环境的持续改善和高质量发展。</w:t>
      </w:r>
    </w:p>
    <w:p w14:paraId="51C659BE">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（二）编制意义</w:t>
      </w:r>
    </w:p>
    <w:p w14:paraId="276422D6">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eastAsia" w:ascii="宋体" w:hAnsi="宋体" w:eastAsia="宋体" w:cs="宋体"/>
          <w:color w:val="auto"/>
          <w:sz w:val="24"/>
          <w:szCs w:val="24"/>
          <w:lang w:val="en-US" w:eastAsia="zh-CN"/>
        </w:rPr>
        <w:t xml:space="preserve">1. </w:t>
      </w:r>
      <w:r>
        <w:rPr>
          <w:rFonts w:hint="default" w:ascii="宋体" w:hAnsi="宋体" w:eastAsia="宋体" w:cs="宋体"/>
          <w:color w:val="auto"/>
          <w:sz w:val="24"/>
          <w:szCs w:val="24"/>
          <w:lang w:val="zh-TW"/>
        </w:rPr>
        <w:t>目的</w:t>
      </w:r>
    </w:p>
    <w:p w14:paraId="47993971">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cs" w:ascii="宋体" w:hAnsi="宋体" w:eastAsia="宋体" w:cs="宋体"/>
          <w:color w:val="auto"/>
          <w:sz w:val="24"/>
          <w:szCs w:val="24"/>
          <w:lang w:val="zh-TW"/>
        </w:rPr>
        <w:t>制定《营商环境监测能力要求》团体标准，旨在通过统一、科学、规范的监测能力框架，提升我国营商环境监测的系统性、精准性和可比性，为政府优化政策设计、企业投资决策以及第三方评估机构提供标准化依据，推动全国范围内营商环境的持续改善和高质量发展。</w:t>
      </w:r>
    </w:p>
    <w:p w14:paraId="5C3D8BC0">
      <w:pPr>
        <w:pStyle w:val="15"/>
        <w:framePr w:wrap="auto" w:vAnchor="margin" w:hAnchor="text" w:yAlign="inline"/>
        <w:numPr>
          <w:ilvl w:val="0"/>
          <w:numId w:val="4"/>
        </w:numPr>
        <w:adjustRightInd w:val="0"/>
        <w:spacing w:line="360" w:lineRule="auto"/>
        <w:ind w:firstLine="480" w:firstLineChars="200"/>
        <w:rPr>
          <w:rFonts w:hint="default" w:ascii="宋体" w:hAnsi="宋体" w:eastAsia="宋体" w:cs="宋体"/>
          <w:color w:val="auto"/>
          <w:sz w:val="24"/>
          <w:szCs w:val="24"/>
          <w:lang w:val="zh-TW"/>
        </w:rPr>
      </w:pPr>
      <w:bookmarkStart w:id="0" w:name="_GoBack"/>
      <w:r>
        <w:rPr>
          <w:rFonts w:hint="cs" w:ascii="宋体" w:hAnsi="宋体" w:eastAsia="宋体" w:cs="宋体"/>
          <w:color w:val="auto"/>
          <w:sz w:val="24"/>
          <w:szCs w:val="24"/>
          <w:lang w:val="zh-TW"/>
        </w:rPr>
        <w:t>意义与必要性</w:t>
      </w:r>
      <w:bookmarkEnd w:id="0"/>
    </w:p>
    <w:p w14:paraId="40272D93">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zh-TW"/>
        </w:rPr>
        <w:t>服务国家战略，深化“放管服”改革</w:t>
      </w:r>
    </w:p>
    <w:p w14:paraId="3A0C3EAA">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cs" w:ascii="宋体" w:hAnsi="宋体" w:eastAsia="宋体" w:cs="宋体"/>
          <w:color w:val="auto"/>
          <w:sz w:val="24"/>
          <w:szCs w:val="24"/>
          <w:lang w:val="zh-TW"/>
        </w:rPr>
        <w:t>当前，优化营商环境已成为国家深化改革开放、激发市场活力的核心举措。通过制定监测能力标准，可精准对接国务院《优化营商环境条例》及</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放管服</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改革要求，为政策落地提供可量化、可追溯的监测工具，助力构建市场化、法治化、国际化营商环境。</w:t>
      </w:r>
    </w:p>
    <w:p w14:paraId="02CCC692">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zh-TW"/>
        </w:rPr>
        <w:t>破解监测碎片化，提升数据公信力</w:t>
      </w:r>
    </w:p>
    <w:p w14:paraId="04EA751B">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cs" w:ascii="宋体" w:hAnsi="宋体" w:eastAsia="宋体" w:cs="宋体"/>
          <w:color w:val="auto"/>
          <w:sz w:val="24"/>
          <w:szCs w:val="24"/>
          <w:lang w:val="zh-TW"/>
        </w:rPr>
        <w:t>目前，各地营商环境监测存在指标分散、方法不统一、数据口径差异大等问题，导致监测结果缺乏横向可比性和纵向延续性。本标准通过规范监测主体能力、技术方法、数据来源及质量控制要求，破解碎片化难题，增强监测结果的权威性和公信力。</w:t>
      </w:r>
    </w:p>
    <w:p w14:paraId="319B4AC7">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zh-TW"/>
        </w:rPr>
        <w:t>赋能政府治理，推动精准施策</w:t>
      </w:r>
    </w:p>
    <w:p w14:paraId="2D908715">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cs" w:ascii="宋体" w:hAnsi="宋体" w:eastAsia="宋体" w:cs="宋体"/>
          <w:color w:val="auto"/>
          <w:sz w:val="24"/>
          <w:szCs w:val="24"/>
          <w:lang w:val="zh-TW"/>
        </w:rPr>
        <w:t>标准化监测能力有助于政府部门动态掌握营商环境短板，精准识别企业痛点。例如，通过监测政务服务效率、市场准入壁垒、法治保障水平等关键维度，可形成</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监测</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反馈</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改进</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闭环，为政策优化提供科学支撑。</w:t>
      </w:r>
    </w:p>
    <w:p w14:paraId="1C9AF035">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4）</w:t>
      </w:r>
      <w:r>
        <w:rPr>
          <w:rFonts w:hint="default" w:ascii="宋体" w:hAnsi="宋体" w:eastAsia="宋体" w:cs="宋体"/>
          <w:color w:val="auto"/>
          <w:sz w:val="24"/>
          <w:szCs w:val="24"/>
          <w:lang w:val="zh-TW"/>
        </w:rPr>
        <w:t>引导企业预期，增强投资信心</w:t>
      </w:r>
    </w:p>
    <w:p w14:paraId="7EFDEC97">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cs" w:ascii="宋体" w:hAnsi="宋体" w:eastAsia="宋体" w:cs="宋体"/>
          <w:color w:val="auto"/>
          <w:sz w:val="24"/>
          <w:szCs w:val="24"/>
          <w:lang w:val="zh-TW"/>
        </w:rPr>
        <w:t>统一透明的监测标准能够为企业提供清晰的区域营商环境</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画像</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，降低信息不对称风险。通过公开监测结果，可增强投资者信心，吸引国内外资本流向监测能力高、营商环境优的地区，形成良性竞争生态。</w:t>
      </w:r>
    </w:p>
    <w:p w14:paraId="6E6A626A">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5）</w:t>
      </w:r>
      <w:r>
        <w:rPr>
          <w:rFonts w:hint="default" w:ascii="宋体" w:hAnsi="宋体" w:eastAsia="宋体" w:cs="宋体"/>
          <w:color w:val="auto"/>
          <w:sz w:val="24"/>
          <w:szCs w:val="24"/>
          <w:lang w:val="zh-TW"/>
        </w:rPr>
        <w:t>对标国际规则，提升国际竞争力</w:t>
      </w:r>
    </w:p>
    <w:p w14:paraId="024E60FE">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cs" w:ascii="宋体" w:hAnsi="宋体" w:eastAsia="宋体" w:cs="宋体"/>
          <w:color w:val="auto"/>
          <w:sz w:val="24"/>
          <w:szCs w:val="24"/>
          <w:lang w:val="zh-TW"/>
        </w:rPr>
        <w:t>世界银行《营商环境报告》停更后，全球亟需更具包容性的评价体系。本标准在立足国情的基础上，可借鉴国际先进经验（如</w:t>
      </w:r>
      <w:r>
        <w:rPr>
          <w:rFonts w:hint="default" w:ascii="宋体" w:hAnsi="宋体" w:eastAsia="宋体" w:cs="宋体"/>
          <w:color w:val="auto"/>
          <w:sz w:val="24"/>
          <w:szCs w:val="24"/>
          <w:lang w:val="zh-TW"/>
        </w:rPr>
        <w:t>OECD营商环境评估框架），推动我国监测体系与国际接轨，助力中国企业“走出去”和全球资源“引进来”。</w:t>
      </w:r>
    </w:p>
    <w:p w14:paraId="13EB93B8">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6）</w:t>
      </w:r>
      <w:r>
        <w:rPr>
          <w:rFonts w:hint="default" w:ascii="宋体" w:hAnsi="宋体" w:eastAsia="宋体" w:cs="宋体"/>
          <w:color w:val="auto"/>
          <w:sz w:val="24"/>
          <w:szCs w:val="24"/>
          <w:lang w:val="zh-TW"/>
        </w:rPr>
        <w:t>填补标准空白，完善制度体系</w:t>
      </w:r>
    </w:p>
    <w:p w14:paraId="0A9CDB42">
      <w:pPr>
        <w:pStyle w:val="15"/>
        <w:framePr w:wrap="auto" w:vAnchor="margin" w:hAnchor="text" w:yAlign="inline"/>
        <w:adjustRightInd w:val="0"/>
        <w:spacing w:line="360" w:lineRule="auto"/>
        <w:ind w:firstLine="480" w:firstLineChars="200"/>
        <w:rPr>
          <w:rFonts w:hint="default" w:ascii="宋体" w:hAnsi="宋体" w:eastAsia="宋体" w:cs="宋体"/>
          <w:color w:val="auto"/>
          <w:sz w:val="24"/>
          <w:szCs w:val="24"/>
          <w:lang w:val="zh-TW"/>
        </w:rPr>
      </w:pPr>
      <w:r>
        <w:rPr>
          <w:rFonts w:hint="cs" w:ascii="宋体" w:hAnsi="宋体" w:eastAsia="宋体" w:cs="宋体"/>
          <w:color w:val="auto"/>
          <w:sz w:val="24"/>
          <w:szCs w:val="24"/>
          <w:lang w:val="zh-TW"/>
        </w:rPr>
        <w:t>目前，我国尚未出台营商环境监测领域的专门标准，现有政策多聚焦评价指标，缺乏对监测主体能力、技术流程的规范要求。本标准的制定将填补这一空白，完善营商环境</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制度设计</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监测实施</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改进优化</w:t>
      </w:r>
      <w:r>
        <w:rPr>
          <w:rFonts w:ascii="宋体" w:hAnsi="宋体" w:eastAsia="宋体" w:cs="宋体"/>
          <w:color w:val="auto"/>
          <w:sz w:val="24"/>
          <w:szCs w:val="24"/>
          <w:lang w:val="zh-TW"/>
        </w:rPr>
        <w:t>”</w:t>
      </w:r>
      <w:r>
        <w:rPr>
          <w:rFonts w:hint="cs" w:ascii="宋体" w:hAnsi="宋体" w:eastAsia="宋体" w:cs="宋体"/>
          <w:color w:val="auto"/>
          <w:sz w:val="24"/>
          <w:szCs w:val="24"/>
          <w:lang w:val="zh-TW"/>
        </w:rPr>
        <w:t>的全链条标准化体系。</w:t>
      </w:r>
    </w:p>
    <w:p w14:paraId="1239B81E">
      <w:pPr>
        <w:pStyle w:val="15"/>
        <w:framePr w:wrap="auto" w:vAnchor="margin" w:hAnchor="text" w:yAlign="inline"/>
        <w:adjustRightInd w:val="0"/>
        <w:spacing w:line="360" w:lineRule="auto"/>
        <w:ind w:firstLine="480" w:firstLineChars="200"/>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三、标准起草的过程简述</w:t>
      </w:r>
    </w:p>
    <w:p w14:paraId="4B5914CA">
      <w:pPr>
        <w:framePr w:wrap="auto" w:vAnchor="margin" w:hAnchor="text" w:yAlign="inline"/>
        <w:adjustRightInd w:val="0"/>
        <w:spacing w:line="360" w:lineRule="auto"/>
        <w:ind w:firstLine="480" w:firstLineChars="200"/>
        <w:rPr>
          <w:rFonts w:ascii="宋体" w:hAnsi="宋体" w:eastAsia="宋体" w:cs="宋体"/>
          <w:b/>
          <w:bCs/>
          <w:sz w:val="24"/>
          <w:szCs w:val="24"/>
          <w:lang w:val="zh-TW"/>
        </w:rPr>
      </w:pPr>
      <w:r>
        <w:rPr>
          <w:rFonts w:ascii="宋体" w:hAnsi="宋体" w:eastAsia="宋体" w:cs="宋体"/>
          <w:b/>
          <w:bCs/>
          <w:sz w:val="24"/>
          <w:szCs w:val="24"/>
          <w:lang w:val="zh-TW"/>
        </w:rPr>
        <w:t>（一）预研阶段</w:t>
      </w:r>
    </w:p>
    <w:p w14:paraId="337F6492">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中国国际贸易促进委员会商业行业委员会营商环境监测中心组织标准编写小组，于2025年1月启动项目需求调研工作，主要调研了河南、湖北、北京、吉林等</w:t>
      </w:r>
      <w:r>
        <w:rPr>
          <w:rFonts w:hint="eastAsia" w:ascii="宋体" w:hAnsi="宋体" w:eastAsia="宋体" w:cs="宋体"/>
          <w:sz w:val="24"/>
          <w:szCs w:val="24"/>
          <w:lang w:val="en-US" w:eastAsia="zh-CN"/>
        </w:rPr>
        <w:t>地</w:t>
      </w:r>
      <w:r>
        <w:rPr>
          <w:rFonts w:ascii="宋体" w:hAnsi="宋体" w:eastAsia="宋体" w:cs="宋体"/>
          <w:sz w:val="24"/>
          <w:szCs w:val="24"/>
          <w:lang w:val="zh-TW"/>
        </w:rPr>
        <w:t>相关政府和企业，收集了营商领域的企业、政府部门、行业协会等相关方的需求和意见，了解了当前企业满意度调查的现状及存在问题。</w:t>
      </w:r>
    </w:p>
    <w:p w14:paraId="3942110D">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组织专家对国内外相关领域的法律法规、政策文件、标准规范等进行收集和分析，为研究制定团体标准提供理论依据和参考。同时进行研讨，明确标准制定的目标、原则、范围和技术要求等。</w:t>
      </w:r>
    </w:p>
    <w:p w14:paraId="3694FBA9">
      <w:pPr>
        <w:framePr w:wrap="auto" w:vAnchor="margin" w:hAnchor="text" w:yAlign="inline"/>
        <w:adjustRightInd w:val="0"/>
        <w:spacing w:line="360" w:lineRule="auto"/>
        <w:ind w:firstLine="480" w:firstLineChars="200"/>
        <w:rPr>
          <w:rFonts w:ascii="宋体" w:hAnsi="宋体" w:eastAsia="宋体" w:cs="宋体"/>
          <w:b/>
          <w:bCs/>
          <w:sz w:val="24"/>
          <w:szCs w:val="24"/>
          <w:lang w:val="zh-TW"/>
        </w:rPr>
      </w:pPr>
      <w:r>
        <w:rPr>
          <w:rFonts w:ascii="宋体" w:hAnsi="宋体" w:eastAsia="宋体" w:cs="宋体"/>
          <w:b/>
          <w:bCs/>
          <w:sz w:val="24"/>
          <w:szCs w:val="24"/>
          <w:lang w:val="zh-TW"/>
        </w:rPr>
        <w:t>（二）立项阶段</w:t>
      </w:r>
    </w:p>
    <w:p w14:paraId="0C87575E">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1. 2025年4月</w:t>
      </w:r>
      <w:r>
        <w:rPr>
          <w:rFonts w:hint="eastAsia" w:ascii="宋体" w:hAnsi="宋体" w:eastAsia="宋体" w:cs="宋体"/>
          <w:sz w:val="24"/>
          <w:szCs w:val="24"/>
          <w:lang w:val="zh-TW" w:eastAsia="zh-CN"/>
        </w:rPr>
        <w:t>，</w:t>
      </w:r>
      <w:r>
        <w:rPr>
          <w:rFonts w:ascii="宋体" w:hAnsi="宋体" w:eastAsia="宋体" w:cs="宋体"/>
          <w:sz w:val="24"/>
          <w:szCs w:val="24"/>
          <w:lang w:val="zh-TW"/>
        </w:rPr>
        <w:t>由中国贸促会商业行业委员会营商环境监测中心整理资料，向中国国际贸易促进委员会商业行业委员会提交立项申请。</w:t>
      </w:r>
    </w:p>
    <w:p w14:paraId="3F2F63E0">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2. 中国国际贸易促进委员会商业行业委员会对申请进行审查，评估标准的必要性和可行性，于2025年</w:t>
      </w:r>
      <w:r>
        <w:rPr>
          <w:rFonts w:hint="eastAsia" w:ascii="宋体" w:hAnsi="宋体" w:eastAsia="宋体" w:cs="宋体"/>
          <w:sz w:val="24"/>
          <w:szCs w:val="24"/>
          <w:lang w:val="en-US" w:eastAsia="zh-CN"/>
        </w:rPr>
        <w:t>5</w:t>
      </w:r>
      <w:r>
        <w:rPr>
          <w:rFonts w:ascii="宋体" w:hAnsi="宋体" w:eastAsia="宋体" w:cs="宋体"/>
          <w:sz w:val="24"/>
          <w:szCs w:val="24"/>
          <w:lang w:val="zh-TW"/>
        </w:rPr>
        <w:t>月29日第</w:t>
      </w:r>
      <w:r>
        <w:rPr>
          <w:rFonts w:hint="eastAsia" w:ascii="宋体" w:hAnsi="宋体" w:eastAsia="宋体" w:cs="宋体"/>
          <w:sz w:val="24"/>
          <w:szCs w:val="24"/>
          <w:lang w:val="en-US" w:eastAsia="zh-CN"/>
        </w:rPr>
        <w:t>三</w:t>
      </w:r>
      <w:r>
        <w:rPr>
          <w:rFonts w:ascii="宋体" w:hAnsi="宋体" w:eastAsia="宋体" w:cs="宋体"/>
          <w:sz w:val="24"/>
          <w:szCs w:val="24"/>
          <w:lang w:val="zh-TW"/>
        </w:rPr>
        <w:t>批团体标准项目计划中正式批准立项，计划编号：</w:t>
      </w:r>
      <w:r>
        <w:rPr>
          <w:rFonts w:hint="default" w:ascii="宋体" w:hAnsi="宋体" w:eastAsia="宋体" w:cs="宋体"/>
          <w:sz w:val="24"/>
          <w:szCs w:val="24"/>
          <w:lang w:val="zh-TW"/>
        </w:rPr>
        <w:t>CCPIT-CSC-JH2025315</w:t>
      </w:r>
      <w:r>
        <w:rPr>
          <w:rFonts w:ascii="宋体" w:hAnsi="宋体" w:eastAsia="宋体" w:cs="宋体"/>
          <w:sz w:val="24"/>
          <w:szCs w:val="24"/>
          <w:lang w:val="zh-TW"/>
        </w:rPr>
        <w:t>。</w:t>
      </w:r>
    </w:p>
    <w:p w14:paraId="18176118">
      <w:pPr>
        <w:framePr w:wrap="auto" w:vAnchor="margin" w:hAnchor="text" w:yAlign="inline"/>
        <w:adjustRightInd w:val="0"/>
        <w:spacing w:line="360" w:lineRule="auto"/>
        <w:ind w:firstLine="480" w:firstLineChars="200"/>
        <w:rPr>
          <w:rFonts w:ascii="宋体" w:hAnsi="宋体" w:eastAsia="宋体" w:cs="宋体"/>
          <w:b/>
          <w:bCs/>
          <w:sz w:val="24"/>
          <w:szCs w:val="24"/>
          <w:lang w:val="zh-TW"/>
        </w:rPr>
      </w:pPr>
      <w:r>
        <w:rPr>
          <w:rFonts w:ascii="宋体" w:hAnsi="宋体" w:eastAsia="宋体" w:cs="宋体"/>
          <w:b/>
          <w:bCs/>
          <w:sz w:val="24"/>
          <w:szCs w:val="24"/>
          <w:lang w:val="zh-TW"/>
        </w:rPr>
        <w:t>（三）起草阶段</w:t>
      </w:r>
    </w:p>
    <w:p w14:paraId="53F48B97">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1. 组织起草小组：2025年6月，由中国贸促会商业行业委员会营商环境监测中心牵头成立起草小组，明确职责分工。</w:t>
      </w:r>
    </w:p>
    <w:p w14:paraId="679C10B2">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2. 编制标准草案：2025年6月召开标准启动会暨首次研讨会，来自营商环境主管部门的10余名代表通过线上线下方式参加了会议，起草组对标准情况进行了汇报，并围绕标准内容等方面展开了讨论。起草小组根据预研阶段的成果，结合国内外相关标准和实际情况，编制标准草案。主要内容包括标准的适用范围、术语和定义、能力域划分等。会后，起草组针对启动会各单位及专家提出的</w:t>
      </w:r>
      <w:r>
        <w:rPr>
          <w:rFonts w:ascii="宋体" w:hAnsi="宋体" w:eastAsia="宋体" w:cs="宋体"/>
          <w:sz w:val="24"/>
          <w:szCs w:val="24"/>
        </w:rPr>
        <w:t>12</w:t>
      </w:r>
      <w:r>
        <w:rPr>
          <w:rFonts w:ascii="宋体" w:hAnsi="宋体" w:eastAsia="宋体" w:cs="宋体"/>
          <w:sz w:val="24"/>
          <w:szCs w:val="24"/>
          <w:lang w:val="zh-TW"/>
        </w:rPr>
        <w:t>条修改建议进行了处理，对相应的标准文本进行修订，并开始新一轮意见征集。</w:t>
      </w:r>
    </w:p>
    <w:p w14:paraId="69396BA1">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3. 内部审查：起草小组内部对标准草案进行多次审查和修改，确保标准内容的科学性、合理性和可操作性。2025年7月底，标准第二次研讨会顺利召开，会议主要围绕启动会和首次研讨会召开以来征集到的意见进行讨论，针对专家提出的</w:t>
      </w:r>
      <w:r>
        <w:rPr>
          <w:rFonts w:ascii="宋体" w:hAnsi="宋体" w:eastAsia="宋体" w:cs="宋体"/>
          <w:sz w:val="24"/>
          <w:szCs w:val="24"/>
        </w:rPr>
        <w:t>8</w:t>
      </w:r>
      <w:r>
        <w:rPr>
          <w:rFonts w:ascii="宋体" w:hAnsi="宋体" w:eastAsia="宋体" w:cs="宋体"/>
          <w:sz w:val="24"/>
          <w:szCs w:val="24"/>
          <w:lang w:val="zh-TW"/>
        </w:rPr>
        <w:t>条修改建议进行处理，并对相应的标准文本进行修改。20</w:t>
      </w:r>
      <w:r>
        <w:rPr>
          <w:rFonts w:ascii="宋体" w:hAnsi="宋体" w:eastAsia="宋体" w:cs="宋体"/>
          <w:sz w:val="24"/>
          <w:szCs w:val="24"/>
        </w:rPr>
        <w:t>2</w:t>
      </w:r>
      <w:r>
        <w:rPr>
          <w:rFonts w:ascii="宋体" w:hAnsi="宋体" w:eastAsia="宋体" w:cs="宋体"/>
          <w:sz w:val="24"/>
          <w:szCs w:val="24"/>
          <w:lang w:val="zh-TW"/>
        </w:rPr>
        <w:t>5年9月，标准第三次研讨会召开，针对专家提出的</w:t>
      </w:r>
      <w:r>
        <w:rPr>
          <w:rFonts w:ascii="宋体" w:hAnsi="宋体" w:eastAsia="宋体" w:cs="宋体"/>
          <w:sz w:val="24"/>
          <w:szCs w:val="24"/>
        </w:rPr>
        <w:t>3</w:t>
      </w:r>
      <w:r>
        <w:rPr>
          <w:rFonts w:ascii="宋体" w:hAnsi="宋体" w:eastAsia="宋体" w:cs="宋体"/>
          <w:sz w:val="24"/>
          <w:szCs w:val="24"/>
          <w:lang w:val="zh-TW"/>
        </w:rPr>
        <w:t>条修改建议进行处理。</w:t>
      </w:r>
    </w:p>
    <w:p w14:paraId="5AE30010">
      <w:pPr>
        <w:framePr w:wrap="auto" w:vAnchor="margin" w:hAnchor="text" w:yAlign="inline"/>
        <w:adjustRightInd w:val="0"/>
        <w:spacing w:line="360" w:lineRule="auto"/>
        <w:ind w:firstLine="480" w:firstLineChars="200"/>
        <w:rPr>
          <w:rFonts w:ascii="宋体" w:hAnsi="宋体" w:eastAsia="宋体" w:cs="宋体"/>
          <w:b/>
          <w:bCs/>
          <w:sz w:val="24"/>
          <w:szCs w:val="24"/>
          <w:lang w:val="zh-TW"/>
        </w:rPr>
      </w:pPr>
      <w:r>
        <w:rPr>
          <w:rFonts w:ascii="宋体" w:hAnsi="宋体" w:eastAsia="宋体" w:cs="宋体"/>
          <w:b/>
          <w:bCs/>
          <w:sz w:val="24"/>
          <w:szCs w:val="24"/>
          <w:lang w:val="zh-TW"/>
        </w:rPr>
        <w:t>（四）征求意见阶段</w:t>
      </w:r>
    </w:p>
    <w:p w14:paraId="51865A53">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在征求意见阶段，主要工作包括：</w:t>
      </w:r>
    </w:p>
    <w:p w14:paraId="2A440D4D">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1. 公开征求意见：通过信函、会议、挂网公开征求意见等多种形式，向相关企业、政府部门、行业协会等广泛征求意见。</w:t>
      </w:r>
    </w:p>
    <w:p w14:paraId="0445268B">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2. 意见汇总与处理：2025年</w:t>
      </w:r>
      <w:r>
        <w:rPr>
          <w:rFonts w:ascii="宋体" w:hAnsi="宋体" w:eastAsia="宋体" w:cs="宋体"/>
          <w:sz w:val="24"/>
          <w:szCs w:val="24"/>
        </w:rPr>
        <w:t>12</w:t>
      </w:r>
      <w:r>
        <w:rPr>
          <w:rFonts w:ascii="宋体" w:hAnsi="宋体" w:eastAsia="宋体" w:cs="宋体"/>
          <w:sz w:val="24"/>
          <w:szCs w:val="24"/>
          <w:lang w:val="zh-TW"/>
        </w:rPr>
        <w:t>月，我们将对收集到的意见进行汇总和分析，对合理的意见进行采纳，对不合理的意见进行解释说明，并对标准草案进行相应修改。</w:t>
      </w:r>
    </w:p>
    <w:p w14:paraId="6BE467BA">
      <w:pPr>
        <w:framePr w:wrap="auto" w:vAnchor="margin" w:hAnchor="text" w:yAlign="inline"/>
        <w:adjustRightInd w:val="0"/>
        <w:spacing w:line="360" w:lineRule="auto"/>
        <w:ind w:firstLine="480"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四、标准的主要内容和依据</w:t>
      </w:r>
    </w:p>
    <w:p w14:paraId="346C447B">
      <w:pPr>
        <w:framePr w:wrap="auto" w:vAnchor="margin" w:hAnchor="text" w:yAlign="inline"/>
        <w:adjustRightIn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（一）</w:t>
      </w:r>
      <w:r>
        <w:rPr>
          <w:rFonts w:ascii="宋体" w:hAnsi="宋体" w:eastAsia="宋体" w:cs="宋体"/>
          <w:color w:val="auto"/>
          <w:sz w:val="24"/>
          <w:szCs w:val="24"/>
          <w:lang w:val="zh-TW"/>
        </w:rPr>
        <w:t>制定原则</w:t>
      </w:r>
    </w:p>
    <w:p w14:paraId="388BEA8A">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1. 合理性原则</w:t>
      </w:r>
    </w:p>
    <w:p w14:paraId="6AB19163">
      <w:pPr>
        <w:framePr w:wrap="auto" w:vAnchor="margin" w:hAnchor="text" w:yAlign="inline"/>
        <w:adjustRightInd w:val="0"/>
        <w:spacing w:line="360" w:lineRule="auto"/>
        <w:ind w:firstLine="480" w:firstLineChars="200"/>
        <w:rPr>
          <w:rFonts w:hint="default"/>
          <w:lang w:val="zh-TW"/>
        </w:rPr>
      </w:pPr>
      <w:r>
        <w:rPr>
          <w:rFonts w:ascii="宋体" w:hAnsi="宋体" w:eastAsia="宋体" w:cs="宋体"/>
          <w:color w:val="auto"/>
          <w:sz w:val="24"/>
          <w:szCs w:val="24"/>
        </w:rPr>
        <w:t>本文件应当符合法律、行政法规等上位法以及国家政策文件的要求，符合理性、适当的要求。</w:t>
      </w:r>
    </w:p>
    <w:p w14:paraId="39237A54">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2. 开放性原则</w:t>
      </w:r>
    </w:p>
    <w:p w14:paraId="2118A98E">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本文件的制定过程应对所有利益相关者开放，鼓励社会各界的参与和贡献，确保标准的制定基于广泛的讨论和协商。</w:t>
      </w:r>
    </w:p>
    <w:p w14:paraId="4A2D7989">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3. 透明性原则</w:t>
      </w:r>
    </w:p>
    <w:p w14:paraId="4D9C6B83">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本文件制定的所有相关信息，包括制定过程、技术内容等应向公众公开，便于社会监督和参与，增加标准的可信度和认可度。</w:t>
      </w:r>
    </w:p>
    <w:p w14:paraId="04D56C44">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4. 公平性原则</w:t>
      </w:r>
    </w:p>
    <w:p w14:paraId="0AA720DB">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在制定过程中，应确保所有参与者都有平等的机会发表意见和建议，避免任何形式的偏袒或歧视，以保证标准的公正性。</w:t>
      </w:r>
    </w:p>
    <w:p w14:paraId="48A43538">
      <w:pPr>
        <w:pStyle w:val="17"/>
        <w:adjustRightInd w:val="0"/>
        <w:spacing w:line="360" w:lineRule="auto"/>
        <w:ind w:firstLine="480"/>
        <w:rPr>
          <w:rFonts w:hint="eastAsia" w:hAnsi="宋体" w:cs="宋体"/>
          <w:sz w:val="24"/>
          <w:szCs w:val="24"/>
          <w:lang w:val="zh-TW"/>
        </w:rPr>
      </w:pPr>
      <w:r>
        <w:rPr>
          <w:rFonts w:hint="eastAsia" w:hAnsi="宋体" w:cs="宋体"/>
          <w:sz w:val="24"/>
          <w:szCs w:val="24"/>
          <w:lang w:val="zh-TW"/>
        </w:rPr>
        <w:t>5. 科学性原则</w:t>
      </w:r>
    </w:p>
    <w:p w14:paraId="5E9A8001">
      <w:pPr>
        <w:pStyle w:val="17"/>
        <w:adjustRightInd w:val="0"/>
        <w:spacing w:line="360" w:lineRule="auto"/>
        <w:ind w:firstLine="480"/>
        <w:rPr>
          <w:rFonts w:hint="eastAsia" w:hAnsi="宋体" w:cs="宋体"/>
          <w:sz w:val="24"/>
          <w:szCs w:val="24"/>
          <w:lang w:val="zh-TW"/>
        </w:rPr>
      </w:pPr>
      <w:r>
        <w:rPr>
          <w:rFonts w:hint="eastAsia" w:hAnsi="宋体" w:cs="宋体"/>
          <w:sz w:val="24"/>
          <w:szCs w:val="24"/>
          <w:lang w:val="zh-TW"/>
        </w:rPr>
        <w:t>本文件应遵循科学性原则，评价指标的选取应具有科学合理的理论基础和实证依据，能全面反映公共服务的各个方面和层次，确保评价结果的客观性和可信度</w:t>
      </w:r>
    </w:p>
    <w:p w14:paraId="682D9E52">
      <w:pPr>
        <w:pStyle w:val="16"/>
        <w:numPr>
          <w:ilvl w:val="0"/>
          <w:numId w:val="0"/>
        </w:numPr>
        <w:tabs>
          <w:tab w:val="left" w:pos="312"/>
        </w:tabs>
        <w:adjustRightInd w:val="0"/>
        <w:spacing w:before="0" w:beforeLines="0" w:after="0" w:afterLines="0" w:line="360" w:lineRule="auto"/>
        <w:ind w:firstLine="480" w:firstLineChars="200"/>
      </w:pPr>
      <w:r>
        <w:rPr>
          <w:rFonts w:hint="eastAsia" w:ascii="宋体" w:hAnsi="宋体" w:eastAsia="宋体" w:cs="宋体"/>
          <w:sz w:val="24"/>
          <w:szCs w:val="24"/>
          <w:lang w:val="zh-TW"/>
        </w:rPr>
        <w:t>（二）</w:t>
      </w:r>
      <w:r>
        <w:rPr>
          <w:rFonts w:ascii="宋体" w:hAnsi="宋体" w:eastAsia="宋体" w:cs="宋体"/>
          <w:sz w:val="24"/>
          <w:szCs w:val="24"/>
          <w:lang w:val="zh-TW"/>
        </w:rPr>
        <w:t>主要技术内容的说</w:t>
      </w:r>
      <w:r>
        <w:rPr>
          <w:rFonts w:hint="eastAsia" w:ascii="宋体" w:hAnsi="宋体" w:eastAsia="宋体" w:cs="宋体"/>
          <w:sz w:val="24"/>
          <w:szCs w:val="24"/>
          <w:lang w:val="zh-TW"/>
        </w:rPr>
        <w:t>明</w:t>
      </w:r>
    </w:p>
    <w:p w14:paraId="391FA893">
      <w:pPr>
        <w:pStyle w:val="17"/>
        <w:adjustRightInd w:val="0"/>
        <w:spacing w:line="360" w:lineRule="auto"/>
        <w:ind w:firstLine="480"/>
        <w:rPr>
          <w:rFonts w:hint="eastAsia" w:hAnsi="宋体" w:cs="宋体"/>
          <w:kern w:val="2"/>
          <w:sz w:val="24"/>
          <w:szCs w:val="24"/>
          <w:u w:color="000000"/>
          <w:lang w:val="zh-TW"/>
        </w:rPr>
      </w:pPr>
      <w:r>
        <w:rPr>
          <w:rFonts w:hint="cs" w:hAnsi="宋体" w:cs="宋体"/>
          <w:kern w:val="2"/>
          <w:sz w:val="24"/>
          <w:szCs w:val="24"/>
          <w:u w:color="000000"/>
          <w:lang w:val="zh-TW"/>
        </w:rPr>
        <w:t>《营商环境监测能力要求》团体标准的核心技术内容围绕监测能力</w:t>
      </w:r>
      <w:r>
        <w:rPr>
          <w:rFonts w:hint="eastAsia" w:hAnsi="宋体" w:cs="宋体"/>
          <w:kern w:val="2"/>
          <w:sz w:val="24"/>
          <w:szCs w:val="24"/>
          <w:u w:color="000000"/>
          <w:lang w:val="zh-TW"/>
        </w:rPr>
        <w:t>要求</w:t>
      </w:r>
      <w:r>
        <w:rPr>
          <w:rFonts w:hint="cs" w:hAnsi="宋体" w:cs="宋体"/>
          <w:kern w:val="2"/>
          <w:sz w:val="24"/>
          <w:szCs w:val="24"/>
          <w:u w:color="000000"/>
          <w:lang w:val="zh-TW"/>
        </w:rPr>
        <w:t>、</w:t>
      </w:r>
      <w:r>
        <w:rPr>
          <w:rFonts w:hint="eastAsia" w:hAnsi="宋体" w:cs="宋体"/>
          <w:kern w:val="2"/>
          <w:sz w:val="24"/>
          <w:szCs w:val="24"/>
          <w:u w:color="000000"/>
          <w:lang w:val="zh-TW"/>
        </w:rPr>
        <w:t>工作流程要求、质量控制、保障条件、监测能力评价等五</w:t>
      </w:r>
      <w:r>
        <w:rPr>
          <w:rFonts w:hint="cs" w:hAnsi="宋体" w:cs="宋体"/>
          <w:kern w:val="2"/>
          <w:sz w:val="24"/>
          <w:szCs w:val="24"/>
          <w:u w:color="000000"/>
          <w:lang w:val="zh-TW"/>
        </w:rPr>
        <w:t>大维度展开。</w:t>
      </w:r>
      <w:r>
        <w:rPr>
          <w:rFonts w:hint="eastAsia" w:hAnsi="宋体" w:cs="宋体"/>
          <w:kern w:val="2"/>
          <w:sz w:val="24"/>
          <w:szCs w:val="24"/>
          <w:u w:color="000000"/>
          <w:lang w:val="zh-TW"/>
        </w:rPr>
        <w:t>可根据实际情况选择全部或部分领域开展相关能力建设活动</w:t>
      </w:r>
      <w:r>
        <w:rPr>
          <w:rFonts w:hint="cs" w:hAnsi="宋体" w:cs="宋体"/>
          <w:kern w:val="2"/>
          <w:sz w:val="24"/>
          <w:szCs w:val="24"/>
          <w:u w:color="000000"/>
          <w:lang w:val="zh-TW"/>
        </w:rPr>
        <w:t>。</w:t>
      </w:r>
    </w:p>
    <w:p w14:paraId="0E92E1C0">
      <w:pPr>
        <w:framePr w:wrap="auto" w:vAnchor="margin" w:hAnchor="text" w:yAlign="inline"/>
        <w:adjustRightInd w:val="0"/>
        <w:spacing w:line="360" w:lineRule="auto"/>
        <w:ind w:firstLine="480"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五、标准的水平</w:t>
      </w:r>
    </w:p>
    <w:p w14:paraId="33EB4E21">
      <w:pPr>
        <w:framePr w:wrap="auto" w:vAnchor="margin" w:hAnchor="text" w:yAlign="inline"/>
        <w:spacing w:line="360" w:lineRule="auto"/>
        <w:ind w:firstLine="480" w:firstLineChars="200"/>
        <w:rPr>
          <w:rFonts w:ascii="宋体" w:hAnsi="宋体" w:eastAsia="宋体" w:cs="宋体"/>
          <w:sz w:val="24"/>
          <w:szCs w:val="24"/>
        </w:rPr>
      </w:pPr>
      <w:r>
        <w:rPr>
          <w:rFonts w:hint="default" w:ascii="宋体" w:hAnsi="宋体" w:eastAsia="宋体" w:cs="宋体"/>
          <w:color w:val="auto"/>
          <w:sz w:val="24"/>
          <w:szCs w:val="24"/>
          <w:lang w:val="zh-TW"/>
        </w:rPr>
        <w:t>该团体标准作为营商环境监测能力要求，其水平应定位于国内先进水平或国际先进水平，具体取决于标准制定过程中所参考的国内外相关标准、技术发展趋势以及</w:t>
      </w:r>
      <w:r>
        <w:rPr>
          <w:rFonts w:ascii="宋体" w:hAnsi="宋体" w:eastAsia="宋体" w:cs="宋体"/>
          <w:color w:val="auto"/>
          <w:sz w:val="24"/>
          <w:szCs w:val="24"/>
          <w:lang w:val="zh-TW"/>
        </w:rPr>
        <w:t>营商环境服务</w:t>
      </w:r>
      <w:r>
        <w:rPr>
          <w:rFonts w:hint="default" w:ascii="宋体" w:hAnsi="宋体" w:eastAsia="宋体" w:cs="宋体"/>
          <w:color w:val="auto"/>
          <w:sz w:val="24"/>
          <w:szCs w:val="24"/>
          <w:lang w:val="zh-TW"/>
        </w:rPr>
        <w:t>的实际需求。该标准将结合</w:t>
      </w:r>
      <w:r>
        <w:rPr>
          <w:rFonts w:ascii="宋体" w:hAnsi="宋体" w:eastAsia="宋体" w:cs="宋体"/>
          <w:color w:val="auto"/>
          <w:sz w:val="24"/>
          <w:szCs w:val="24"/>
          <w:lang w:val="zh-TW"/>
        </w:rPr>
        <w:t>营商环境监测服务</w:t>
      </w:r>
      <w:r>
        <w:rPr>
          <w:rFonts w:hint="default" w:ascii="宋体" w:hAnsi="宋体" w:eastAsia="宋体" w:cs="宋体"/>
          <w:color w:val="auto"/>
          <w:sz w:val="24"/>
          <w:szCs w:val="24"/>
          <w:lang w:val="zh-TW"/>
        </w:rPr>
        <w:t>的要求，提出具有科学性、合理性和可操作性的评估指标体系和方法，为</w:t>
      </w:r>
      <w:r>
        <w:rPr>
          <w:rFonts w:ascii="宋体" w:hAnsi="宋体" w:eastAsia="宋体" w:cs="宋体"/>
          <w:color w:val="auto"/>
          <w:sz w:val="24"/>
          <w:szCs w:val="24"/>
          <w:lang w:val="zh-TW"/>
        </w:rPr>
        <w:t>营商环境监测服务能力的</w:t>
      </w:r>
      <w:r>
        <w:rPr>
          <w:rFonts w:hint="default" w:ascii="宋体" w:hAnsi="宋体" w:eastAsia="宋体" w:cs="宋体"/>
          <w:color w:val="auto"/>
          <w:sz w:val="24"/>
          <w:szCs w:val="24"/>
          <w:lang w:val="zh-TW"/>
        </w:rPr>
        <w:t>优化和提升提供有力支撑。</w:t>
      </w:r>
    </w:p>
    <w:p w14:paraId="6521177C">
      <w:pPr>
        <w:framePr w:wrap="auto" w:vAnchor="margin" w:hAnchor="text" w:yAlign="inline"/>
        <w:adjustRightInd w:val="0"/>
        <w:spacing w:line="360" w:lineRule="auto"/>
        <w:ind w:firstLine="480"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六、与有关的现行法律、法规和强制性国家标准的关系</w:t>
      </w:r>
    </w:p>
    <w:p w14:paraId="418EE589">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（一）</w:t>
      </w:r>
      <w:r>
        <w:rPr>
          <w:rFonts w:hint="default" w:ascii="宋体" w:hAnsi="宋体" w:eastAsia="宋体" w:cs="宋体"/>
          <w:color w:val="auto"/>
          <w:sz w:val="24"/>
          <w:szCs w:val="24"/>
          <w:lang w:val="zh-TW"/>
        </w:rPr>
        <w:t>与现行法律、法规的关系</w:t>
      </w:r>
    </w:p>
    <w:p w14:paraId="22088B6B">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hint="default" w:ascii="宋体" w:hAnsi="宋体" w:eastAsia="宋体" w:cs="宋体"/>
          <w:color w:val="auto"/>
          <w:sz w:val="24"/>
          <w:szCs w:val="24"/>
          <w:lang w:val="zh-TW"/>
        </w:rPr>
        <w:t>该团体标准应严格遵循国家现行的相关法律、法规，确保</w:t>
      </w:r>
      <w:r>
        <w:rPr>
          <w:rFonts w:ascii="宋体" w:hAnsi="宋体" w:eastAsia="宋体" w:cs="宋体"/>
          <w:color w:val="auto"/>
          <w:sz w:val="24"/>
          <w:szCs w:val="24"/>
          <w:lang w:val="zh-TW"/>
        </w:rPr>
        <w:t>评价</w:t>
      </w:r>
      <w:r>
        <w:rPr>
          <w:rFonts w:hint="default" w:ascii="宋体" w:hAnsi="宋体" w:eastAsia="宋体" w:cs="宋体"/>
          <w:color w:val="auto"/>
          <w:sz w:val="24"/>
          <w:szCs w:val="24"/>
          <w:lang w:val="zh-TW"/>
        </w:rPr>
        <w:t>工作的合法性和合规性。在遵循国家法律、法规的基础上，该标准将进一步细化营商环境</w:t>
      </w:r>
      <w:r>
        <w:rPr>
          <w:rFonts w:ascii="宋体" w:hAnsi="宋体" w:eastAsia="宋体" w:cs="宋体"/>
          <w:color w:val="auto"/>
          <w:sz w:val="24"/>
          <w:szCs w:val="24"/>
          <w:lang w:val="zh-TW"/>
        </w:rPr>
        <w:t>监测</w:t>
      </w:r>
      <w:r>
        <w:rPr>
          <w:rFonts w:hint="default" w:ascii="宋体" w:hAnsi="宋体" w:eastAsia="宋体" w:cs="宋体"/>
          <w:color w:val="auto"/>
          <w:sz w:val="24"/>
          <w:szCs w:val="24"/>
          <w:lang w:val="zh-TW"/>
        </w:rPr>
        <w:t>服务</w:t>
      </w:r>
      <w:r>
        <w:rPr>
          <w:rFonts w:ascii="宋体" w:hAnsi="宋体" w:eastAsia="宋体" w:cs="宋体"/>
          <w:color w:val="auto"/>
          <w:sz w:val="24"/>
          <w:szCs w:val="24"/>
          <w:lang w:val="zh-TW"/>
        </w:rPr>
        <w:t>评价</w:t>
      </w:r>
      <w:r>
        <w:rPr>
          <w:rFonts w:hint="default" w:ascii="宋体" w:hAnsi="宋体" w:eastAsia="宋体" w:cs="宋体"/>
          <w:color w:val="auto"/>
          <w:sz w:val="24"/>
          <w:szCs w:val="24"/>
          <w:lang w:val="zh-TW"/>
        </w:rPr>
        <w:t>的指标</w:t>
      </w:r>
      <w:r>
        <w:rPr>
          <w:rFonts w:ascii="宋体" w:hAnsi="宋体" w:eastAsia="宋体" w:cs="宋体"/>
          <w:color w:val="auto"/>
          <w:sz w:val="24"/>
          <w:szCs w:val="24"/>
          <w:lang w:val="zh-TW"/>
        </w:rPr>
        <w:t>内容</w:t>
      </w:r>
      <w:r>
        <w:rPr>
          <w:rFonts w:hint="default" w:ascii="宋体" w:hAnsi="宋体" w:eastAsia="宋体" w:cs="宋体"/>
          <w:color w:val="auto"/>
          <w:sz w:val="24"/>
          <w:szCs w:val="24"/>
          <w:lang w:val="zh-TW"/>
        </w:rPr>
        <w:t>，为相关方提供更加详细、具体的指导。</w:t>
      </w:r>
    </w:p>
    <w:p w14:paraId="3CD948C2">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（二）</w:t>
      </w:r>
      <w:r>
        <w:rPr>
          <w:rFonts w:hint="default" w:ascii="宋体" w:hAnsi="宋体" w:eastAsia="宋体" w:cs="宋体"/>
          <w:color w:val="auto"/>
          <w:sz w:val="24"/>
          <w:szCs w:val="24"/>
          <w:lang w:val="zh-TW"/>
        </w:rPr>
        <w:t>与强制性国家标准的关系</w:t>
      </w:r>
    </w:p>
    <w:p w14:paraId="76C91FDA">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目前该领域尚无强制性国家标准。</w:t>
      </w:r>
      <w:r>
        <w:rPr>
          <w:rFonts w:hint="default" w:ascii="宋体" w:hAnsi="宋体" w:eastAsia="宋体" w:cs="宋体"/>
          <w:color w:val="auto"/>
          <w:sz w:val="24"/>
          <w:szCs w:val="24"/>
          <w:lang w:val="zh-TW"/>
        </w:rPr>
        <w:t>该团体标准将填补营商环境</w:t>
      </w:r>
      <w:r>
        <w:rPr>
          <w:rFonts w:ascii="宋体" w:hAnsi="宋体" w:eastAsia="宋体" w:cs="宋体"/>
          <w:color w:val="auto"/>
          <w:sz w:val="24"/>
          <w:szCs w:val="24"/>
          <w:lang w:val="zh-TW"/>
        </w:rPr>
        <w:t>监测能力方面</w:t>
      </w:r>
      <w:r>
        <w:rPr>
          <w:rFonts w:hint="default" w:ascii="宋体" w:hAnsi="宋体" w:eastAsia="宋体" w:cs="宋体"/>
          <w:color w:val="auto"/>
          <w:sz w:val="24"/>
          <w:szCs w:val="24"/>
          <w:lang w:val="zh-TW"/>
        </w:rPr>
        <w:t>的标准空白，为行业的健康发展提供有力保障。</w:t>
      </w:r>
    </w:p>
    <w:p w14:paraId="1CD7E52F">
      <w:pPr>
        <w:framePr w:wrap="auto" w:vAnchor="margin" w:hAnchor="text" w:yAlign="inline"/>
        <w:adjustRightInd w:val="0"/>
        <w:spacing w:line="360" w:lineRule="auto"/>
        <w:ind w:firstLine="480"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七、贯彻标准的要求和措施建议</w:t>
      </w:r>
    </w:p>
    <w:p w14:paraId="218000A3">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（一）</w:t>
      </w:r>
      <w:r>
        <w:rPr>
          <w:rFonts w:hint="default" w:ascii="宋体" w:hAnsi="宋体" w:eastAsia="宋体" w:cs="宋体"/>
          <w:color w:val="auto"/>
          <w:sz w:val="24"/>
          <w:szCs w:val="24"/>
          <w:lang w:val="zh-TW"/>
        </w:rPr>
        <w:t>贯彻标准的要求</w:t>
      </w:r>
    </w:p>
    <w:p w14:paraId="46A52868">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1. </w:t>
      </w:r>
      <w:r>
        <w:rPr>
          <w:rFonts w:hint="default" w:ascii="宋体" w:hAnsi="宋体" w:eastAsia="宋体" w:cs="宋体"/>
          <w:color w:val="auto"/>
          <w:sz w:val="24"/>
          <w:szCs w:val="24"/>
          <w:lang w:val="zh-TW"/>
        </w:rPr>
        <w:t>广泛宣传：通过多种渠道和方式，广泛宣传该团体标准的重要性和必要性，提高相关方的认知度和接受度。</w:t>
      </w:r>
    </w:p>
    <w:p w14:paraId="490C0AA7">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2. </w:t>
      </w:r>
      <w:r>
        <w:rPr>
          <w:rFonts w:hint="default" w:ascii="宋体" w:hAnsi="宋体" w:eastAsia="宋体" w:cs="宋体"/>
          <w:color w:val="auto"/>
          <w:sz w:val="24"/>
          <w:szCs w:val="24"/>
          <w:lang w:val="zh-TW"/>
        </w:rPr>
        <w:t>培训教育：组织专题培训和交流活动，提高相关方对标准的理解和应用能力。</w:t>
      </w:r>
    </w:p>
    <w:p w14:paraId="6E017F95">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3. </w:t>
      </w:r>
      <w:r>
        <w:rPr>
          <w:rFonts w:hint="default" w:ascii="宋体" w:hAnsi="宋体" w:eastAsia="宋体" w:cs="宋体"/>
          <w:color w:val="auto"/>
          <w:sz w:val="24"/>
          <w:szCs w:val="24"/>
          <w:lang w:val="zh-TW"/>
        </w:rPr>
        <w:t>严格实施：要求相关方在评估工作中严格按照标准执行，确保评估结果的客观性和准确性。</w:t>
      </w:r>
    </w:p>
    <w:p w14:paraId="4A886BF1">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（二）</w:t>
      </w:r>
      <w:r>
        <w:rPr>
          <w:rFonts w:hint="default" w:ascii="宋体" w:hAnsi="宋体" w:eastAsia="宋体" w:cs="宋体"/>
          <w:color w:val="auto"/>
          <w:sz w:val="24"/>
          <w:szCs w:val="24"/>
          <w:lang w:val="zh-TW"/>
        </w:rPr>
        <w:t>措施建议</w:t>
      </w:r>
    </w:p>
    <w:p w14:paraId="6EA1DD48">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1. </w:t>
      </w:r>
      <w:r>
        <w:rPr>
          <w:rFonts w:hint="default" w:ascii="宋体" w:hAnsi="宋体" w:eastAsia="宋体" w:cs="宋体"/>
          <w:color w:val="auto"/>
          <w:sz w:val="24"/>
          <w:szCs w:val="24"/>
          <w:lang w:val="zh-TW"/>
        </w:rPr>
        <w:t>建立监督机制：建立健全的监督机制，对标准的实施情况进行定期检查和评估，确保标准的有效执行。</w:t>
      </w:r>
    </w:p>
    <w:p w14:paraId="52B3001A">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2. </w:t>
      </w:r>
      <w:r>
        <w:rPr>
          <w:rFonts w:hint="default" w:ascii="宋体" w:hAnsi="宋体" w:eastAsia="宋体" w:cs="宋体"/>
          <w:color w:val="auto"/>
          <w:sz w:val="24"/>
          <w:szCs w:val="24"/>
          <w:lang w:val="zh-TW"/>
        </w:rPr>
        <w:t>加强协调合作：加强政府、企业、行业协会等各方之间的协调合作，</w:t>
      </w:r>
      <w:r>
        <w:rPr>
          <w:rFonts w:ascii="宋体" w:hAnsi="宋体" w:eastAsia="宋体" w:cs="宋体"/>
          <w:color w:val="auto"/>
          <w:sz w:val="24"/>
          <w:szCs w:val="24"/>
          <w:lang w:val="zh-TW"/>
        </w:rPr>
        <w:t>共同</w:t>
      </w:r>
      <w:r>
        <w:rPr>
          <w:rFonts w:hint="default" w:ascii="宋体" w:hAnsi="宋体" w:eastAsia="宋体" w:cs="宋体"/>
          <w:color w:val="auto"/>
          <w:sz w:val="24"/>
          <w:szCs w:val="24"/>
          <w:lang w:val="zh-TW"/>
        </w:rPr>
        <w:t>推动标准的贯彻实施。</w:t>
      </w:r>
    </w:p>
    <w:p w14:paraId="3817C37B">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3. </w:t>
      </w:r>
      <w:r>
        <w:rPr>
          <w:rFonts w:hint="default" w:ascii="宋体" w:hAnsi="宋体" w:eastAsia="宋体" w:cs="宋体"/>
          <w:color w:val="auto"/>
          <w:sz w:val="24"/>
          <w:szCs w:val="24"/>
          <w:lang w:val="zh-TW"/>
        </w:rPr>
        <w:t>鼓励创新：鼓励相关方在标准实施过程中积极创新，探索更加高效、便捷的评估方法和技术手段。</w:t>
      </w:r>
    </w:p>
    <w:p w14:paraId="02B31DF4">
      <w:pPr>
        <w:framePr w:wrap="auto" w:vAnchor="margin" w:hAnchor="text" w:yAlign="inline"/>
        <w:adjustRightInd w:val="0"/>
        <w:spacing w:line="360" w:lineRule="auto"/>
        <w:ind w:firstLine="480"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八、标准实施的预期效果</w:t>
      </w:r>
    </w:p>
    <w:p w14:paraId="2C90CC12">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（一）</w:t>
      </w:r>
      <w:r>
        <w:rPr>
          <w:rFonts w:ascii="宋体" w:hAnsi="宋体" w:eastAsia="宋体" w:cs="宋体"/>
          <w:color w:val="auto"/>
          <w:sz w:val="24"/>
          <w:szCs w:val="24"/>
          <w:lang w:val="zh-TW"/>
        </w:rPr>
        <w:t>提升服务效率和质量：通过实施本文件，可以规范和提升营商环境监测服务的质量和效率。这包括但不限于提高企业注册和设立效率、优化营商服务流程、改善地区基础设施等，从而为企业提供更加便利、高效的经营环境。</w:t>
      </w:r>
    </w:p>
    <w:p w14:paraId="49F18B62">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（二）</w:t>
      </w:r>
      <w:r>
        <w:rPr>
          <w:rFonts w:ascii="宋体" w:hAnsi="宋体" w:eastAsia="宋体" w:cs="宋体"/>
          <w:color w:val="auto"/>
          <w:sz w:val="24"/>
          <w:szCs w:val="24"/>
          <w:lang w:val="zh-TW"/>
        </w:rPr>
        <w:t>降低成本：实施本文件有助于降低企业经营成本。例如，通过推行电子化管理、优化审批流程等措施，可以缩短审批时间，提高办理效率，进而减少企业的等待时间和经济负担。</w:t>
      </w:r>
    </w:p>
    <w:p w14:paraId="527D0BF6">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（三）</w:t>
      </w:r>
      <w:r>
        <w:rPr>
          <w:rFonts w:ascii="宋体" w:hAnsi="宋体" w:eastAsia="宋体" w:cs="宋体"/>
          <w:color w:val="auto"/>
          <w:sz w:val="24"/>
          <w:szCs w:val="24"/>
          <w:lang w:val="zh-TW"/>
        </w:rPr>
        <w:t>增强地区竞争力：通过提升服务质量和效率，降低企业经营成本，可以增强其国际竞争力。这包括提高地区的整体品质和形象，为企业提供更加有吸引力的经营场所，以及形成良好的地区营商环境建设合力。</w:t>
      </w:r>
    </w:p>
    <w:p w14:paraId="2240C2A5">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（四）</w:t>
      </w:r>
      <w:r>
        <w:rPr>
          <w:rFonts w:ascii="宋体" w:hAnsi="宋体" w:eastAsia="宋体" w:cs="宋体"/>
          <w:color w:val="auto"/>
          <w:sz w:val="24"/>
          <w:szCs w:val="24"/>
          <w:lang w:val="zh-TW"/>
        </w:rPr>
        <w:t>促进经济发展：优化营商环境有助于吸引更多投资，促进经济发展。通过实施本文件，可以加快产业结构优化升级和新旧动能转换，不断推动经济高质量发展，为区域经济发展注入新的活力。</w:t>
      </w:r>
    </w:p>
    <w:p w14:paraId="29780B76">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（五）</w:t>
      </w:r>
      <w:r>
        <w:rPr>
          <w:rFonts w:hint="default" w:ascii="宋体" w:hAnsi="宋体" w:eastAsia="宋体" w:cs="宋体"/>
          <w:color w:val="auto"/>
          <w:sz w:val="24"/>
          <w:szCs w:val="24"/>
          <w:lang w:val="zh-TW"/>
        </w:rPr>
        <w:t>积累宝贵经验：</w:t>
      </w:r>
      <w:r>
        <w:rPr>
          <w:rFonts w:ascii="宋体" w:hAnsi="宋体" w:eastAsia="宋体" w:cs="宋体"/>
          <w:color w:val="auto"/>
          <w:sz w:val="24"/>
          <w:szCs w:val="24"/>
          <w:lang w:val="zh-TW"/>
        </w:rPr>
        <w:t>该</w:t>
      </w:r>
      <w:r>
        <w:rPr>
          <w:rFonts w:hint="default" w:ascii="宋体" w:hAnsi="宋体" w:eastAsia="宋体" w:cs="宋体"/>
          <w:color w:val="auto"/>
          <w:sz w:val="24"/>
          <w:szCs w:val="24"/>
          <w:lang w:val="zh-TW"/>
        </w:rPr>
        <w:t>标准的制定和实施过程将为未来相关国家标准的制定和修订提供宝贵经验和数据支持</w:t>
      </w:r>
      <w:r>
        <w:rPr>
          <w:rFonts w:ascii="宋体" w:hAnsi="宋体" w:eastAsia="宋体" w:cs="宋体"/>
          <w:color w:val="auto"/>
          <w:sz w:val="24"/>
          <w:szCs w:val="24"/>
          <w:lang w:val="zh-TW"/>
        </w:rPr>
        <w:t>。</w:t>
      </w:r>
    </w:p>
    <w:sectPr>
      <w:headerReference r:id="rId3" w:type="default"/>
      <w:footerReference r:id="rId4" w:type="default"/>
      <w:pgSz w:w="11900" w:h="16840"/>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Arial Unicode MS">
    <w:panose1 w:val="020B0604020202020204"/>
    <w:charset w:val="86"/>
    <w:family w:val="swiss"/>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roman"/>
    <w:pitch w:val="default"/>
    <w:sig w:usb0="E50002FF" w:usb1="500079DB" w:usb2="0000001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PMingLiU">
    <w:altName w:val="宋体-繁"/>
    <w:panose1 w:val="02010601000101010101"/>
    <w:charset w:val="88"/>
    <w:family w:val="roman"/>
    <w:pitch w:val="default"/>
    <w:sig w:usb0="00000000" w:usb1="00000000" w:usb2="00000016" w:usb3="00000000" w:csb0="00100001" w:csb1="00000000"/>
  </w:font>
  <w:font w:name="宋体-繁">
    <w:panose1 w:val="02010600040101010101"/>
    <w:charset w:val="86"/>
    <w:family w:val="auto"/>
    <w:pitch w:val="default"/>
    <w:sig w:usb0="00000287" w:usb1="080F0000" w:usb2="00000000" w:usb3="00000000" w:csb0="0004009F" w:csb1="DFD7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4F96D">
    <w:pPr>
      <w:pStyle w:val="7"/>
      <w:framePr w:wrap="auto" w:vAnchor="margin" w:hAnchor="text" w:yAlign="inline"/>
      <w:tabs>
        <w:tab w:val="right" w:pos="8280"/>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56BF7">
    <w:pPr>
      <w:pStyle w:val="18"/>
      <w:framePr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975EF"/>
    <w:multiLevelType w:val="singleLevel"/>
    <w:tmpl w:val="E77975EF"/>
    <w:lvl w:ilvl="0" w:tentative="0">
      <w:start w:val="2"/>
      <w:numFmt w:val="decimal"/>
      <w:suff w:val="space"/>
      <w:lvlText w:val="%1."/>
      <w:lvlJc w:val="left"/>
    </w:lvl>
  </w:abstractNum>
  <w:abstractNum w:abstractNumId="1">
    <w:nsid w:val="1FC91163"/>
    <w:multiLevelType w:val="multilevel"/>
    <w:tmpl w:val="1FC91163"/>
    <w:lvl w:ilvl="0" w:tentative="0">
      <w:start w:val="1"/>
      <w:numFmt w:val="decimal"/>
      <w:pStyle w:val="16"/>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27DD5AD"/>
    <w:multiLevelType w:val="singleLevel"/>
    <w:tmpl w:val="227DD5AD"/>
    <w:lvl w:ilvl="0" w:tentative="0">
      <w:start w:val="1"/>
      <w:numFmt w:val="chineseCounting"/>
      <w:pStyle w:val="2"/>
      <w:suff w:val="nothing"/>
      <w:lvlText w:val="%1、"/>
      <w:lvlJc w:val="left"/>
      <w:pPr>
        <w:ind w:left="0" w:firstLine="42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pStyle w:val="1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wM2EwNjA4MmQ0NGVlM2NjYzViMTBiMWNjODFjNTgifQ=="/>
  </w:docVars>
  <w:rsids>
    <w:rsidRoot w:val="77590DAC"/>
    <w:rsid w:val="000804B9"/>
    <w:rsid w:val="000B1FE2"/>
    <w:rsid w:val="00292ADF"/>
    <w:rsid w:val="002A3AE6"/>
    <w:rsid w:val="002B6870"/>
    <w:rsid w:val="003B57D0"/>
    <w:rsid w:val="003F7A84"/>
    <w:rsid w:val="00462643"/>
    <w:rsid w:val="004E361C"/>
    <w:rsid w:val="00616733"/>
    <w:rsid w:val="006878AC"/>
    <w:rsid w:val="00707177"/>
    <w:rsid w:val="00723D36"/>
    <w:rsid w:val="0079402B"/>
    <w:rsid w:val="008E0A12"/>
    <w:rsid w:val="008F24B0"/>
    <w:rsid w:val="00A363BD"/>
    <w:rsid w:val="00A44524"/>
    <w:rsid w:val="00A75546"/>
    <w:rsid w:val="00BD1912"/>
    <w:rsid w:val="00DC31A6"/>
    <w:rsid w:val="00E45BC9"/>
    <w:rsid w:val="00EA033D"/>
    <w:rsid w:val="00F05CD5"/>
    <w:rsid w:val="00F41FA2"/>
    <w:rsid w:val="02EE5F7C"/>
    <w:rsid w:val="0389297A"/>
    <w:rsid w:val="051C7149"/>
    <w:rsid w:val="17C42743"/>
    <w:rsid w:val="19452DEE"/>
    <w:rsid w:val="19C54C55"/>
    <w:rsid w:val="27160EE4"/>
    <w:rsid w:val="2EB54B65"/>
    <w:rsid w:val="310E66FF"/>
    <w:rsid w:val="34D31A7F"/>
    <w:rsid w:val="35EB2246"/>
    <w:rsid w:val="362973EA"/>
    <w:rsid w:val="38B47396"/>
    <w:rsid w:val="3995213C"/>
    <w:rsid w:val="3C4D6CFE"/>
    <w:rsid w:val="3D163594"/>
    <w:rsid w:val="3F351971"/>
    <w:rsid w:val="45CA7F72"/>
    <w:rsid w:val="46193BA1"/>
    <w:rsid w:val="473D540E"/>
    <w:rsid w:val="4CDF14F9"/>
    <w:rsid w:val="51DE4358"/>
    <w:rsid w:val="538B5FEF"/>
    <w:rsid w:val="57CF08DA"/>
    <w:rsid w:val="597E4BF2"/>
    <w:rsid w:val="5CE335C4"/>
    <w:rsid w:val="5E3F3671"/>
    <w:rsid w:val="5F4F24EC"/>
    <w:rsid w:val="5FEB2206"/>
    <w:rsid w:val="627E09EE"/>
    <w:rsid w:val="64684CD1"/>
    <w:rsid w:val="685C492E"/>
    <w:rsid w:val="6B287C40"/>
    <w:rsid w:val="6C1F5711"/>
    <w:rsid w:val="6F166996"/>
    <w:rsid w:val="71701FFC"/>
    <w:rsid w:val="73B01345"/>
    <w:rsid w:val="7471740A"/>
    <w:rsid w:val="77590DAC"/>
    <w:rsid w:val="7C3C71AF"/>
    <w:rsid w:val="9CDF6AB1"/>
    <w:rsid w:val="B33E5C16"/>
    <w:rsid w:val="DD3F93ED"/>
    <w:rsid w:val="EFFBE7E5"/>
    <w:rsid w:val="FE779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2">
    <w:name w:val="heading 1"/>
    <w:basedOn w:val="1"/>
    <w:next w:val="1"/>
    <w:link w:val="13"/>
    <w:qFormat/>
    <w:uiPriority w:val="0"/>
    <w:pPr>
      <w:framePr w:wrap="around"/>
      <w:numPr>
        <w:ilvl w:val="0"/>
        <w:numId w:val="1"/>
      </w:numPr>
      <w:spacing w:beforeAutospacing="1" w:afterAutospacing="1"/>
      <w:jc w:val="left"/>
      <w:outlineLvl w:val="0"/>
    </w:pPr>
    <w:rPr>
      <w:rFonts w:ascii="宋体" w:hAnsi="宋体" w:eastAsia="黑体" w:cs="Times New Roman"/>
      <w:b/>
      <w:bCs/>
      <w:kern w:val="44"/>
      <w:sz w:val="32"/>
      <w:szCs w:val="48"/>
    </w:rPr>
  </w:style>
  <w:style w:type="paragraph" w:styleId="3">
    <w:name w:val="heading 2"/>
    <w:basedOn w:val="1"/>
    <w:next w:val="1"/>
    <w:link w:val="14"/>
    <w:semiHidden/>
    <w:unhideWhenUsed/>
    <w:qFormat/>
    <w:uiPriority w:val="0"/>
    <w:pPr>
      <w:keepNext/>
      <w:keepLines/>
      <w:framePr w:wrap="around"/>
      <w:spacing w:before="260" w:after="260" w:line="416" w:lineRule="auto"/>
      <w:outlineLvl w:val="1"/>
    </w:pPr>
    <w:rPr>
      <w:rFonts w:ascii="Times New Roman" w:hAnsi="Times New Roman" w:eastAsia="微软雅黑" w:cstheme="majorBidi"/>
      <w:b/>
      <w:bCs/>
      <w:sz w:val="28"/>
      <w:szCs w:val="32"/>
    </w:rPr>
  </w:style>
  <w:style w:type="paragraph" w:styleId="4">
    <w:name w:val="heading 3"/>
    <w:basedOn w:val="1"/>
    <w:next w:val="1"/>
    <w:semiHidden/>
    <w:unhideWhenUsed/>
    <w:qFormat/>
    <w:uiPriority w:val="0"/>
    <w:pPr>
      <w:framePr w:wrap="around"/>
      <w:spacing w:beforeAutospacing="1" w:afterAutospacing="1"/>
      <w:jc w:val="left"/>
      <w:outlineLvl w:val="2"/>
    </w:pPr>
    <w:rPr>
      <w:rFonts w:ascii="Times New Roman" w:hAnsi="Times New Roman" w:eastAsia="黑体" w:cs="Times New Roman"/>
      <w:b/>
      <w:kern w:val="0"/>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qFormat/>
    <w:uiPriority w:val="0"/>
    <w:pPr>
      <w:framePr w:wrap="around"/>
      <w:jc w:val="left"/>
    </w:pPr>
  </w:style>
  <w:style w:type="paragraph" w:styleId="6">
    <w:name w:val="Body Text"/>
    <w:next w:val="1"/>
    <w:qFormat/>
    <w:uiPriority w:val="0"/>
    <w:pPr>
      <w:widowControl w:val="0"/>
      <w:spacing w:after="120"/>
      <w:jc w:val="both"/>
    </w:pPr>
    <w:rPr>
      <w:rFonts w:ascii="Calibri" w:hAnsi="Calibri" w:eastAsia="仿宋_GB2312" w:cs="Times New Roman"/>
      <w:kern w:val="2"/>
      <w:sz w:val="28"/>
      <w:szCs w:val="24"/>
      <w:lang w:val="en-US" w:eastAsia="zh-CN" w:bidi="ar-SA"/>
    </w:rPr>
  </w:style>
  <w:style w:type="paragraph" w:styleId="7">
    <w:name w:val="footer"/>
    <w:link w:val="26"/>
    <w:qFormat/>
    <w:uiPriority w:val="99"/>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8">
    <w:name w:val="header"/>
    <w:basedOn w:val="1"/>
    <w:link w:val="25"/>
    <w:qFormat/>
    <w:uiPriority w:val="99"/>
    <w:pPr>
      <w:framePr w:wrap="around"/>
      <w:tabs>
        <w:tab w:val="center" w:pos="4153"/>
        <w:tab w:val="right" w:pos="8306"/>
      </w:tabs>
      <w:snapToGrid w:val="0"/>
      <w:jc w:val="center"/>
    </w:pPr>
    <w:rPr>
      <w:sz w:val="18"/>
      <w:szCs w:val="18"/>
    </w:rPr>
  </w:style>
  <w:style w:type="paragraph" w:styleId="9">
    <w:name w:val="annotation subject"/>
    <w:basedOn w:val="5"/>
    <w:next w:val="5"/>
    <w:link w:val="24"/>
    <w:qFormat/>
    <w:uiPriority w:val="0"/>
    <w:pPr>
      <w:framePr w:wrap="around"/>
    </w:pPr>
    <w:rPr>
      <w:b/>
      <w:bCs/>
    </w:rPr>
  </w:style>
  <w:style w:type="character" w:styleId="12">
    <w:name w:val="annotation reference"/>
    <w:basedOn w:val="11"/>
    <w:qFormat/>
    <w:uiPriority w:val="0"/>
    <w:rPr>
      <w:sz w:val="21"/>
      <w:szCs w:val="21"/>
    </w:rPr>
  </w:style>
  <w:style w:type="character" w:customStyle="1" w:styleId="13">
    <w:name w:val="标题 1 字符"/>
    <w:basedOn w:val="11"/>
    <w:link w:val="2"/>
    <w:qFormat/>
    <w:uiPriority w:val="9"/>
    <w:rPr>
      <w:rFonts w:eastAsia="黑体" w:asciiTheme="minorHAnsi" w:hAnsiTheme="minorHAnsi" w:cstheme="minorBidi"/>
      <w:b/>
      <w:bCs/>
      <w:kern w:val="44"/>
      <w:sz w:val="36"/>
      <w:szCs w:val="44"/>
    </w:rPr>
  </w:style>
  <w:style w:type="character" w:customStyle="1" w:styleId="14">
    <w:name w:val="标题 2 字符"/>
    <w:basedOn w:val="11"/>
    <w:link w:val="3"/>
    <w:qFormat/>
    <w:uiPriority w:val="9"/>
    <w:rPr>
      <w:rFonts w:ascii="Times New Roman" w:hAnsi="Times New Roman" w:eastAsia="微软雅黑" w:cstheme="majorBidi"/>
      <w:b/>
      <w:bCs/>
      <w:sz w:val="28"/>
      <w:szCs w:val="32"/>
    </w:rPr>
  </w:style>
  <w:style w:type="paragraph" w:customStyle="1" w:styleId="15">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6">
    <w:name w:val="章标题"/>
    <w:next w:val="17"/>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9">
    <w:name w:val="标准文件_一级条标题"/>
    <w:basedOn w:val="20"/>
    <w:next w:val="21"/>
    <w:qFormat/>
    <w:uiPriority w:val="0"/>
    <w:pPr>
      <w:numPr>
        <w:ilvl w:val="2"/>
      </w:numPr>
      <w:spacing w:beforeLines="50" w:afterLines="50"/>
      <w:outlineLvl w:val="1"/>
    </w:pPr>
  </w:style>
  <w:style w:type="paragraph" w:customStyle="1" w:styleId="20">
    <w:name w:val="标准文件_章标题"/>
    <w:next w:val="21"/>
    <w:qFormat/>
    <w:uiPriority w:val="0"/>
    <w:pPr>
      <w:numPr>
        <w:ilvl w:val="1"/>
        <w:numId w:val="3"/>
      </w:numPr>
      <w:spacing w:beforeLines="100" w:afterLines="100"/>
      <w:jc w:val="both"/>
      <w:outlineLvl w:val="0"/>
    </w:pPr>
    <w:rPr>
      <w:rFonts w:ascii="黑体" w:hAnsi="Times New Roman" w:eastAsia="黑体" w:cs="Times New Roman"/>
      <w:sz w:val="21"/>
      <w:lang w:val="en-US" w:eastAsia="zh-CN" w:bidi="ar-SA"/>
    </w:rPr>
  </w:style>
  <w:style w:type="paragraph" w:customStyle="1" w:styleId="2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修订1"/>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3">
    <w:name w:val="批注文字 字符"/>
    <w:basedOn w:val="11"/>
    <w:link w:val="5"/>
    <w:qFormat/>
    <w:uiPriority w:val="0"/>
    <w:rPr>
      <w:rFonts w:ascii="Arial Unicode MS" w:hAnsi="Arial Unicode MS" w:eastAsia="Times New Roman" w:cs="Arial Unicode MS"/>
      <w:color w:val="000000"/>
      <w:kern w:val="2"/>
      <w:sz w:val="21"/>
      <w:szCs w:val="21"/>
      <w:u w:color="000000"/>
    </w:rPr>
  </w:style>
  <w:style w:type="character" w:customStyle="1" w:styleId="24">
    <w:name w:val="批注主题 字符"/>
    <w:basedOn w:val="23"/>
    <w:link w:val="9"/>
    <w:qFormat/>
    <w:uiPriority w:val="0"/>
    <w:rPr>
      <w:rFonts w:ascii="Arial Unicode MS" w:hAnsi="Arial Unicode MS" w:eastAsia="Times New Roman" w:cs="Arial Unicode MS"/>
      <w:b/>
      <w:bCs/>
      <w:color w:val="000000"/>
      <w:kern w:val="2"/>
      <w:sz w:val="21"/>
      <w:szCs w:val="21"/>
      <w:u w:color="000000"/>
    </w:rPr>
  </w:style>
  <w:style w:type="character" w:customStyle="1" w:styleId="25">
    <w:name w:val="页眉 字符"/>
    <w:basedOn w:val="11"/>
    <w:link w:val="8"/>
    <w:qFormat/>
    <w:uiPriority w:val="99"/>
    <w:rPr>
      <w:rFonts w:ascii="Arial Unicode MS" w:hAnsi="Arial Unicode MS" w:eastAsia="Times New Roman" w:cs="Arial Unicode MS"/>
      <w:color w:val="000000"/>
      <w:kern w:val="2"/>
      <w:sz w:val="18"/>
      <w:szCs w:val="18"/>
      <w:u w:color="000000"/>
    </w:rPr>
  </w:style>
  <w:style w:type="character" w:customStyle="1" w:styleId="26">
    <w:name w:val="页脚 字符"/>
    <w:basedOn w:val="11"/>
    <w:link w:val="7"/>
    <w:qFormat/>
    <w:uiPriority w:val="99"/>
    <w:rPr>
      <w:rFonts w:eastAsia="Arial Unicode MS" w:cs="Arial Unicode MS"/>
      <w:color w:val="000000"/>
      <w:kern w:val="2"/>
      <w:sz w:val="18"/>
      <w:szCs w:val="18"/>
      <w:u w:color="000000"/>
    </w:rPr>
  </w:style>
  <w:style w:type="paragraph" w:customStyle="1" w:styleId="27">
    <w:name w:val="Revision"/>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1687</Words>
  <Characters>2009</Characters>
  <Lines>182</Lines>
  <Paragraphs>217</Paragraphs>
  <TotalTime>2</TotalTime>
  <ScaleCrop>false</ScaleCrop>
  <LinksUpToDate>false</LinksUpToDate>
  <CharactersWithSpaces>3479</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2025-06-11T17:18:00Z</dcterms:created>
  <dc:creator>王一一</dc:creator>
  <cp:lastModifiedBy>紫嫣</cp:lastModifiedBy>
  <dcterms:modified xsi:type="dcterms:W3CDTF">2025-11-07T10:34:04Z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E055CE323E451A317E0F0C698FD07BC1_43</vt:lpwstr>
  </property>
  <property fmtid="{D5CDD505-2E9C-101B-9397-08002B2CF9AE}" pid="4" name="KSOTemplateDocerSaveRecord">
    <vt:lpwstr>eyJoZGlkIjoiOTJlMDBlOWJiMzljNTUxODg0YTk2M2RjZjdjOTZjNzciLCJ1c2VySWQiOiIzNDU3NTYyMTIifQ==</vt:lpwstr>
  </property>
</Properties>
</file>