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8F518"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2AAF5237"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248D013B" w14:textId="77777777" w:rsidR="002B0CB4" w:rsidRDefault="002B0CB4">
      <w:pPr>
        <w:spacing w:line="120" w:lineRule="auto"/>
        <w:jc w:val="center"/>
        <w:rPr>
          <w:rFonts w:ascii="宋体" w:eastAsia="宋体" w:hAnsi="宋体" w:cs="方正小标宋简体"/>
          <w:sz w:val="40"/>
          <w:szCs w:val="40"/>
        </w:rPr>
      </w:pPr>
    </w:p>
    <w:p w14:paraId="34BD1018" w14:textId="77777777" w:rsidR="002B0CB4" w:rsidRDefault="002B0CB4">
      <w:pPr>
        <w:spacing w:line="120" w:lineRule="auto"/>
        <w:jc w:val="center"/>
        <w:rPr>
          <w:rFonts w:ascii="宋体" w:eastAsia="宋体" w:hAnsi="宋体" w:cs="方正小标宋简体"/>
          <w:sz w:val="40"/>
          <w:szCs w:val="40"/>
        </w:rPr>
      </w:pPr>
    </w:p>
    <w:p w14:paraId="22F1E02C" w14:textId="507507E7" w:rsidR="00547D89" w:rsidRPr="002B0CB4" w:rsidRDefault="00000000">
      <w:pPr>
        <w:spacing w:line="120" w:lineRule="auto"/>
        <w:jc w:val="center"/>
        <w:rPr>
          <w:rFonts w:ascii="宋体" w:eastAsia="宋体" w:hAnsi="宋体" w:cs="方正小标宋简体" w:hint="eastAsia"/>
          <w:sz w:val="40"/>
          <w:szCs w:val="40"/>
        </w:rPr>
      </w:pPr>
      <w:r w:rsidRPr="002B0CB4">
        <w:rPr>
          <w:rFonts w:ascii="宋体" w:eastAsia="宋体" w:hAnsi="宋体" w:cs="方正小标宋简体" w:hint="eastAsia"/>
          <w:sz w:val="40"/>
          <w:szCs w:val="40"/>
        </w:rPr>
        <w:t>团 体 标 准</w:t>
      </w:r>
    </w:p>
    <w:p w14:paraId="3431C9CF"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3B16A72D"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6F183C37" w14:textId="77777777" w:rsidR="00547D89" w:rsidRDefault="00000000">
      <w:pPr>
        <w:spacing w:beforeLines="100" w:before="312" w:afterLines="100" w:after="312" w:line="120" w:lineRule="auto"/>
        <w:jc w:val="center"/>
        <w:rPr>
          <w:rFonts w:ascii="方正小标宋简体" w:eastAsia="方正小标宋简体" w:hAnsi="方正小标宋简体" w:cs="方正小标宋简体" w:hint="eastAsia"/>
          <w:sz w:val="40"/>
          <w:szCs w:val="40"/>
        </w:rPr>
      </w:pPr>
      <w:r>
        <w:rPr>
          <w:rFonts w:ascii="方正小标宋简体" w:eastAsia="方正小标宋简体" w:hAnsi="方正小标宋简体" w:cs="方正小标宋简体" w:hint="eastAsia"/>
          <w:sz w:val="40"/>
          <w:szCs w:val="40"/>
        </w:rPr>
        <w:t>《青贮玉米与饲用甜高梁间作生产技术规程》</w:t>
      </w:r>
    </w:p>
    <w:p w14:paraId="0FCB0624" w14:textId="77777777" w:rsidR="00547D89" w:rsidRDefault="00000000">
      <w:pPr>
        <w:spacing w:beforeLines="100" w:before="312" w:afterLines="100" w:after="312" w:line="120" w:lineRule="auto"/>
        <w:jc w:val="center"/>
        <w:rPr>
          <w:rFonts w:ascii="方正小标宋简体" w:eastAsia="方正小标宋简体" w:hAnsi="方正小标宋简体" w:cs="方正小标宋简体" w:hint="eastAsia"/>
          <w:sz w:val="40"/>
          <w:szCs w:val="40"/>
        </w:rPr>
      </w:pPr>
      <w:r>
        <w:rPr>
          <w:rFonts w:ascii="方正小标宋简体" w:eastAsia="方正小标宋简体" w:hAnsi="方正小标宋简体" w:cs="方正小标宋简体" w:hint="eastAsia"/>
          <w:sz w:val="40"/>
          <w:szCs w:val="40"/>
        </w:rPr>
        <w:t>编制说明</w:t>
      </w:r>
    </w:p>
    <w:p w14:paraId="7AB745CD"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63FDC88D"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1A03A576"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18EF6A59"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33CFA0F0" w14:textId="77777777" w:rsidR="00547D89" w:rsidRDefault="00547D89">
      <w:pPr>
        <w:spacing w:line="120" w:lineRule="auto"/>
        <w:jc w:val="center"/>
        <w:rPr>
          <w:rFonts w:ascii="方正小标宋简体" w:eastAsia="方正小标宋简体" w:hAnsi="方正小标宋简体" w:cs="方正小标宋简体"/>
          <w:sz w:val="40"/>
          <w:szCs w:val="40"/>
        </w:rPr>
      </w:pPr>
    </w:p>
    <w:p w14:paraId="4EF891BB" w14:textId="77777777" w:rsidR="002B0CB4" w:rsidRDefault="002B0CB4">
      <w:pPr>
        <w:spacing w:line="120" w:lineRule="auto"/>
        <w:jc w:val="center"/>
        <w:rPr>
          <w:rFonts w:ascii="方正小标宋简体" w:eastAsia="方正小标宋简体" w:hAnsi="方正小标宋简体" w:cs="方正小标宋简体"/>
          <w:sz w:val="40"/>
          <w:szCs w:val="40"/>
        </w:rPr>
      </w:pPr>
    </w:p>
    <w:p w14:paraId="3FD55CC3" w14:textId="77777777" w:rsidR="002B0CB4" w:rsidRDefault="002B0CB4">
      <w:pPr>
        <w:spacing w:line="120" w:lineRule="auto"/>
        <w:jc w:val="center"/>
        <w:rPr>
          <w:rFonts w:ascii="方正小标宋简体" w:eastAsia="方正小标宋简体" w:hAnsi="方正小标宋简体" w:cs="方正小标宋简体"/>
          <w:sz w:val="40"/>
          <w:szCs w:val="40"/>
        </w:rPr>
      </w:pPr>
    </w:p>
    <w:p w14:paraId="7FBD88AE" w14:textId="77777777" w:rsidR="002B0CB4" w:rsidRDefault="002B0CB4">
      <w:pPr>
        <w:spacing w:line="120" w:lineRule="auto"/>
        <w:jc w:val="center"/>
        <w:rPr>
          <w:rFonts w:ascii="方正小标宋简体" w:eastAsia="方正小标宋简体" w:hAnsi="方正小标宋简体" w:cs="方正小标宋简体"/>
          <w:sz w:val="40"/>
          <w:szCs w:val="40"/>
        </w:rPr>
      </w:pPr>
    </w:p>
    <w:p w14:paraId="7749D863" w14:textId="77777777" w:rsidR="002B0CB4" w:rsidRDefault="002B0CB4">
      <w:pPr>
        <w:spacing w:line="120" w:lineRule="auto"/>
        <w:jc w:val="center"/>
        <w:rPr>
          <w:rFonts w:ascii="方正小标宋简体" w:eastAsia="方正小标宋简体" w:hAnsi="方正小标宋简体" w:cs="方正小标宋简体" w:hint="eastAsia"/>
          <w:sz w:val="40"/>
          <w:szCs w:val="40"/>
        </w:rPr>
      </w:pPr>
    </w:p>
    <w:p w14:paraId="3F5DF167" w14:textId="77777777" w:rsidR="00547D89" w:rsidRPr="002B0CB4" w:rsidRDefault="00000000">
      <w:pPr>
        <w:spacing w:beforeLines="100" w:before="312" w:afterLines="100" w:after="312" w:line="120" w:lineRule="auto"/>
        <w:jc w:val="center"/>
        <w:rPr>
          <w:rFonts w:ascii="方正小标宋简体" w:eastAsia="方正小标宋简体" w:hAnsi="方正小标宋简体" w:cs="方正小标宋简体" w:hint="eastAsia"/>
          <w:sz w:val="28"/>
          <w:szCs w:val="28"/>
        </w:rPr>
      </w:pPr>
      <w:r w:rsidRPr="002B0CB4">
        <w:rPr>
          <w:rFonts w:ascii="方正小标宋简体" w:eastAsia="方正小标宋简体" w:hAnsi="方正小标宋简体" w:cs="方正小标宋简体" w:hint="eastAsia"/>
          <w:sz w:val="28"/>
          <w:szCs w:val="28"/>
        </w:rPr>
        <w:t>《青贮玉米与饲用甜高梁间作生产技术规程》制定组</w:t>
      </w:r>
    </w:p>
    <w:p w14:paraId="1202CA92" w14:textId="77777777" w:rsidR="00547D89" w:rsidRPr="002B0CB4" w:rsidRDefault="00000000">
      <w:pPr>
        <w:spacing w:beforeLines="100" w:before="312" w:afterLines="100" w:after="312" w:line="120" w:lineRule="auto"/>
        <w:jc w:val="center"/>
        <w:rPr>
          <w:rFonts w:ascii="方正小标宋简体" w:eastAsia="方正小标宋简体" w:hAnsi="方正小标宋简体" w:cs="方正小标宋简体" w:hint="eastAsia"/>
          <w:sz w:val="28"/>
          <w:szCs w:val="28"/>
        </w:rPr>
      </w:pPr>
      <w:r w:rsidRPr="002B0CB4">
        <w:rPr>
          <w:rFonts w:ascii="方正小标宋简体" w:eastAsia="方正小标宋简体" w:hAnsi="方正小标宋简体" w:cs="方正小标宋简体" w:hint="eastAsia"/>
          <w:sz w:val="28"/>
          <w:szCs w:val="28"/>
        </w:rPr>
        <w:t>二零二五年十月</w:t>
      </w:r>
    </w:p>
    <w:p w14:paraId="102207D4"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sdt>
      <w:sdtPr>
        <w:rPr>
          <w:rFonts w:ascii="宋体" w:eastAsia="宋体" w:hAnsi="宋体"/>
          <w:sz w:val="21"/>
        </w:rPr>
        <w:id w:val="147474821"/>
        <w15:color w:val="DBDBDB"/>
        <w:docPartObj>
          <w:docPartGallery w:val="Table of Contents"/>
          <w:docPartUnique/>
        </w:docPartObj>
      </w:sdtPr>
      <w:sdtEndPr>
        <w:rPr>
          <w:rFonts w:ascii="方正小标宋简体" w:eastAsia="方正小标宋简体" w:hAnsi="方正小标宋简体" w:cs="方正小标宋简体" w:hint="eastAsia"/>
          <w:sz w:val="18"/>
          <w:szCs w:val="40"/>
        </w:rPr>
      </w:sdtEndPr>
      <w:sdtContent>
        <w:p w14:paraId="15841B43" w14:textId="6A4D7934" w:rsidR="00547D89" w:rsidRDefault="00000000">
          <w:pPr>
            <w:jc w:val="center"/>
            <w:rPr>
              <w:rFonts w:ascii="宋体" w:eastAsia="宋体" w:hAnsi="宋体" w:hint="eastAsia"/>
              <w:b/>
              <w:bCs/>
              <w:sz w:val="48"/>
              <w:szCs w:val="40"/>
            </w:rPr>
          </w:pPr>
          <w:r>
            <w:rPr>
              <w:rFonts w:ascii="宋体" w:eastAsia="宋体" w:hAnsi="宋体" w:hint="eastAsia"/>
              <w:b/>
              <w:bCs/>
              <w:sz w:val="48"/>
              <w:szCs w:val="40"/>
            </w:rPr>
            <w:t xml:space="preserve">目  </w:t>
          </w:r>
          <w:r w:rsidR="002B0CB4">
            <w:rPr>
              <w:rFonts w:ascii="宋体" w:eastAsia="宋体" w:hAnsi="宋体" w:hint="eastAsia"/>
              <w:b/>
              <w:bCs/>
              <w:sz w:val="48"/>
              <w:szCs w:val="40"/>
            </w:rPr>
            <w:t>次</w:t>
          </w:r>
        </w:p>
        <w:p w14:paraId="08168B05" w14:textId="77777777" w:rsidR="00547D89" w:rsidRDefault="00000000">
          <w:pPr>
            <w:pStyle w:val="TOC1"/>
            <w:tabs>
              <w:tab w:val="right" w:leader="dot" w:pos="8306"/>
            </w:tabs>
          </w:pPr>
          <w:r>
            <w:rPr>
              <w:rFonts w:ascii="方正小标宋简体" w:eastAsia="方正小标宋简体" w:hAnsi="方正小标宋简体" w:cs="方正小标宋简体" w:hint="eastAsia"/>
              <w:sz w:val="40"/>
              <w:szCs w:val="40"/>
            </w:rPr>
            <w:fldChar w:fldCharType="begin"/>
          </w:r>
          <w:r>
            <w:rPr>
              <w:rFonts w:ascii="方正小标宋简体" w:eastAsia="方正小标宋简体" w:hAnsi="方正小标宋简体" w:cs="方正小标宋简体" w:hint="eastAsia"/>
              <w:sz w:val="40"/>
              <w:szCs w:val="40"/>
            </w:rPr>
            <w:instrText xml:space="preserve">TOC \o "1-2" \h \u </w:instrText>
          </w:r>
          <w:r>
            <w:rPr>
              <w:rFonts w:ascii="方正小标宋简体" w:eastAsia="方正小标宋简体" w:hAnsi="方正小标宋简体" w:cs="方正小标宋简体" w:hint="eastAsia"/>
              <w:sz w:val="40"/>
              <w:szCs w:val="40"/>
            </w:rPr>
            <w:fldChar w:fldCharType="separate"/>
          </w:r>
          <w:hyperlink w:anchor="_Toc15337" w:history="1">
            <w:r>
              <w:rPr>
                <w:rFonts w:ascii="Times New Roman" w:hAnsi="Times New Roman" w:cs="Times New Roman" w:hint="eastAsia"/>
                <w:bCs/>
                <w:szCs w:val="96"/>
              </w:rPr>
              <w:t>一、</w:t>
            </w:r>
            <w:r>
              <w:rPr>
                <w:rFonts w:ascii="Times New Roman" w:hAnsi="Times New Roman" w:cs="Times New Roman" w:hint="eastAsia"/>
                <w:bCs/>
                <w:szCs w:val="96"/>
              </w:rPr>
              <w:t xml:space="preserve"> </w:t>
            </w:r>
            <w:r>
              <w:rPr>
                <w:rFonts w:ascii="Times New Roman" w:hAnsi="Times New Roman" w:cs="Times New Roman"/>
                <w:bCs/>
                <w:szCs w:val="96"/>
              </w:rPr>
              <w:t>任务来源及制定标准的背景和意义</w:t>
            </w:r>
            <w:r>
              <w:tab/>
            </w:r>
            <w:r>
              <w:fldChar w:fldCharType="begin"/>
            </w:r>
            <w:r>
              <w:instrText xml:space="preserve"> PAGEREF _Toc15337 \h </w:instrText>
            </w:r>
            <w:r>
              <w:fldChar w:fldCharType="separate"/>
            </w:r>
            <w:r>
              <w:t>3</w:t>
            </w:r>
            <w:r>
              <w:fldChar w:fldCharType="end"/>
            </w:r>
          </w:hyperlink>
        </w:p>
        <w:p w14:paraId="63E002B3" w14:textId="77777777" w:rsidR="00547D89" w:rsidRDefault="00000000">
          <w:pPr>
            <w:pStyle w:val="TOC2"/>
            <w:tabs>
              <w:tab w:val="right" w:leader="dot" w:pos="8306"/>
            </w:tabs>
            <w:ind w:left="360"/>
          </w:pPr>
          <w:hyperlink w:anchor="_Toc20699" w:history="1">
            <w:r>
              <w:rPr>
                <w:rFonts w:ascii="方正楷体_GB2312" w:eastAsia="方正楷体_GB2312" w:hAnsi="方正楷体_GB2312" w:cs="方正楷体_GB2312" w:hint="eastAsia"/>
                <w:bCs/>
                <w:szCs w:val="28"/>
              </w:rPr>
              <w:t>1、 任务来源与说明</w:t>
            </w:r>
            <w:r>
              <w:tab/>
            </w:r>
            <w:r>
              <w:fldChar w:fldCharType="begin"/>
            </w:r>
            <w:r>
              <w:instrText xml:space="preserve"> PAGEREF _Toc20699 \h </w:instrText>
            </w:r>
            <w:r>
              <w:fldChar w:fldCharType="separate"/>
            </w:r>
            <w:r>
              <w:t>3</w:t>
            </w:r>
            <w:r>
              <w:fldChar w:fldCharType="end"/>
            </w:r>
          </w:hyperlink>
        </w:p>
        <w:p w14:paraId="23D47C99" w14:textId="77777777" w:rsidR="00547D89" w:rsidRDefault="00000000">
          <w:pPr>
            <w:pStyle w:val="TOC2"/>
            <w:tabs>
              <w:tab w:val="right" w:leader="dot" w:pos="8306"/>
            </w:tabs>
            <w:ind w:left="360"/>
          </w:pPr>
          <w:hyperlink w:anchor="_Toc12928" w:history="1">
            <w:r>
              <w:rPr>
                <w:rFonts w:ascii="Times New Roman" w:eastAsia="宋体" w:hAnsi="Times New Roman" w:cs="Times New Roman"/>
                <w:kern w:val="0"/>
                <w:szCs w:val="28"/>
                <w:lang w:bidi="ar"/>
              </w:rPr>
              <w:t>2</w:t>
            </w:r>
            <w:r>
              <w:rPr>
                <w:rFonts w:ascii="Times New Roman" w:eastAsia="宋体" w:hAnsi="Times New Roman" w:cs="Times New Roman"/>
                <w:kern w:val="0"/>
                <w:szCs w:val="28"/>
                <w:lang w:bidi="ar"/>
              </w:rPr>
              <w:t>、</w:t>
            </w:r>
            <w:r>
              <w:rPr>
                <w:rFonts w:ascii="Times New Roman" w:eastAsia="宋体" w:hAnsi="Times New Roman" w:cs="Times New Roman"/>
                <w:kern w:val="0"/>
                <w:szCs w:val="28"/>
                <w:lang w:bidi="ar"/>
              </w:rPr>
              <w:t xml:space="preserve"> </w:t>
            </w:r>
            <w:r>
              <w:rPr>
                <w:rFonts w:ascii="方正楷体_GB2312" w:eastAsia="方正楷体_GB2312" w:hAnsi="方正楷体_GB2312" w:cs="方正楷体_GB2312"/>
                <w:bCs/>
                <w:szCs w:val="28"/>
              </w:rPr>
              <w:t>制定标准的背景和意义</w:t>
            </w:r>
            <w:r>
              <w:tab/>
            </w:r>
            <w:r>
              <w:fldChar w:fldCharType="begin"/>
            </w:r>
            <w:r>
              <w:instrText xml:space="preserve"> PAGEREF _Toc12928 \h </w:instrText>
            </w:r>
            <w:r>
              <w:fldChar w:fldCharType="separate"/>
            </w:r>
            <w:r>
              <w:t>3</w:t>
            </w:r>
            <w:r>
              <w:fldChar w:fldCharType="end"/>
            </w:r>
          </w:hyperlink>
        </w:p>
        <w:p w14:paraId="29BCBED1" w14:textId="77777777" w:rsidR="00547D89" w:rsidRDefault="00000000">
          <w:pPr>
            <w:pStyle w:val="TOC1"/>
            <w:tabs>
              <w:tab w:val="right" w:leader="dot" w:pos="8306"/>
            </w:tabs>
          </w:pPr>
          <w:hyperlink w:anchor="_Toc1810" w:history="1">
            <w:r>
              <w:rPr>
                <w:rFonts w:ascii="Times New Roman" w:hAnsi="Times New Roman" w:cs="Times New Roman" w:hint="eastAsia"/>
                <w:bCs/>
                <w:szCs w:val="96"/>
              </w:rPr>
              <w:t>二、</w:t>
            </w:r>
            <w:r>
              <w:rPr>
                <w:rFonts w:ascii="Times New Roman" w:hAnsi="Times New Roman" w:cs="Times New Roman" w:hint="eastAsia"/>
                <w:bCs/>
                <w:szCs w:val="96"/>
              </w:rPr>
              <w:t xml:space="preserve"> </w:t>
            </w:r>
            <w:r>
              <w:rPr>
                <w:rFonts w:ascii="Times New Roman" w:hAnsi="Times New Roman" w:cs="Times New Roman"/>
                <w:bCs/>
                <w:szCs w:val="96"/>
              </w:rPr>
              <w:t>主要工作过程</w:t>
            </w:r>
            <w:r>
              <w:tab/>
            </w:r>
            <w:r>
              <w:fldChar w:fldCharType="begin"/>
            </w:r>
            <w:r>
              <w:instrText xml:space="preserve"> PAGEREF _Toc1810 \h </w:instrText>
            </w:r>
            <w:r>
              <w:fldChar w:fldCharType="separate"/>
            </w:r>
            <w:r>
              <w:t>4</w:t>
            </w:r>
            <w:r>
              <w:fldChar w:fldCharType="end"/>
            </w:r>
          </w:hyperlink>
        </w:p>
        <w:p w14:paraId="48F12B78" w14:textId="77777777" w:rsidR="00547D89" w:rsidRDefault="00000000">
          <w:pPr>
            <w:pStyle w:val="TOC2"/>
            <w:tabs>
              <w:tab w:val="right" w:leader="dot" w:pos="8306"/>
            </w:tabs>
            <w:ind w:left="360"/>
          </w:pPr>
          <w:hyperlink w:anchor="_Toc19463" w:history="1">
            <w:r>
              <w:rPr>
                <w:rFonts w:ascii="方正楷体_GB2312" w:eastAsia="方正楷体_GB2312" w:hAnsi="方正楷体_GB2312" w:cs="方正楷体_GB2312" w:hint="eastAsia"/>
                <w:bCs/>
                <w:szCs w:val="28"/>
              </w:rPr>
              <w:t>1、 主要起草单位</w:t>
            </w:r>
            <w:r>
              <w:tab/>
            </w:r>
            <w:r>
              <w:fldChar w:fldCharType="begin"/>
            </w:r>
            <w:r>
              <w:instrText xml:space="preserve"> PAGEREF _Toc19463 \h </w:instrText>
            </w:r>
            <w:r>
              <w:fldChar w:fldCharType="separate"/>
            </w:r>
            <w:r>
              <w:t>4</w:t>
            </w:r>
            <w:r>
              <w:fldChar w:fldCharType="end"/>
            </w:r>
          </w:hyperlink>
        </w:p>
        <w:p w14:paraId="671D88BC" w14:textId="77777777" w:rsidR="00547D89" w:rsidRDefault="00000000">
          <w:pPr>
            <w:pStyle w:val="TOC2"/>
            <w:tabs>
              <w:tab w:val="right" w:leader="dot" w:pos="8306"/>
            </w:tabs>
            <w:ind w:left="360"/>
          </w:pPr>
          <w:hyperlink w:anchor="_Toc26522" w:history="1">
            <w:r>
              <w:rPr>
                <w:rFonts w:ascii="方正楷体_GB2312" w:eastAsia="方正楷体_GB2312" w:hAnsi="方正楷体_GB2312" w:cs="方正楷体_GB2312"/>
                <w:bCs/>
                <w:szCs w:val="28"/>
              </w:rPr>
              <w:t>2、 起草组成员及</w:t>
            </w:r>
            <w:r>
              <w:rPr>
                <w:rFonts w:ascii="方正楷体_GB2312" w:eastAsia="方正楷体_GB2312" w:hAnsi="方正楷体_GB2312" w:cs="方正楷体_GB2312" w:hint="eastAsia"/>
                <w:bCs/>
                <w:szCs w:val="28"/>
              </w:rPr>
              <w:t>分工</w:t>
            </w:r>
            <w:r>
              <w:tab/>
            </w:r>
            <w:r>
              <w:fldChar w:fldCharType="begin"/>
            </w:r>
            <w:r>
              <w:instrText xml:space="preserve"> PAGEREF _Toc26522 \h </w:instrText>
            </w:r>
            <w:r>
              <w:fldChar w:fldCharType="separate"/>
            </w:r>
            <w:r>
              <w:t>4</w:t>
            </w:r>
            <w:r>
              <w:fldChar w:fldCharType="end"/>
            </w:r>
          </w:hyperlink>
        </w:p>
        <w:p w14:paraId="731394F2" w14:textId="77777777" w:rsidR="00547D89" w:rsidRDefault="00000000">
          <w:pPr>
            <w:pStyle w:val="TOC2"/>
            <w:tabs>
              <w:tab w:val="right" w:leader="dot" w:pos="8306"/>
            </w:tabs>
            <w:ind w:left="360"/>
          </w:pPr>
          <w:hyperlink w:anchor="_Toc32315" w:history="1">
            <w:r>
              <w:rPr>
                <w:rFonts w:ascii="方正楷体_GB2312" w:eastAsia="方正楷体_GB2312" w:hAnsi="方正楷体_GB2312" w:cs="方正楷体_GB2312"/>
                <w:bCs/>
                <w:szCs w:val="28"/>
              </w:rPr>
              <w:t xml:space="preserve">3、 </w:t>
            </w:r>
            <w:r>
              <w:rPr>
                <w:rFonts w:ascii="方正楷体_GB2312" w:eastAsia="方正楷体_GB2312" w:hAnsi="方正楷体_GB2312" w:cs="方正楷体_GB2312" w:hint="eastAsia"/>
                <w:bCs/>
                <w:szCs w:val="28"/>
              </w:rPr>
              <w:t>主要起草过程</w:t>
            </w:r>
            <w:r>
              <w:tab/>
            </w:r>
            <w:r>
              <w:fldChar w:fldCharType="begin"/>
            </w:r>
            <w:r>
              <w:instrText xml:space="preserve"> PAGEREF _Toc32315 \h </w:instrText>
            </w:r>
            <w:r>
              <w:fldChar w:fldCharType="separate"/>
            </w:r>
            <w:r>
              <w:t>5</w:t>
            </w:r>
            <w:r>
              <w:fldChar w:fldCharType="end"/>
            </w:r>
          </w:hyperlink>
        </w:p>
        <w:p w14:paraId="51460365" w14:textId="77777777" w:rsidR="00547D89" w:rsidRDefault="00000000">
          <w:pPr>
            <w:pStyle w:val="TOC1"/>
            <w:tabs>
              <w:tab w:val="right" w:leader="dot" w:pos="8306"/>
            </w:tabs>
          </w:pPr>
          <w:hyperlink w:anchor="_Toc17470" w:history="1">
            <w:r>
              <w:rPr>
                <w:rFonts w:ascii="Times New Roman" w:hAnsi="Times New Roman" w:cs="Times New Roman" w:hint="eastAsia"/>
                <w:bCs/>
                <w:szCs w:val="96"/>
              </w:rPr>
              <w:t>三、</w:t>
            </w:r>
            <w:r>
              <w:rPr>
                <w:rFonts w:ascii="Times New Roman" w:hAnsi="Times New Roman" w:cs="Times New Roman" w:hint="eastAsia"/>
                <w:bCs/>
                <w:szCs w:val="96"/>
              </w:rPr>
              <w:t xml:space="preserve"> </w:t>
            </w:r>
            <w:r>
              <w:rPr>
                <w:rFonts w:ascii="Times New Roman" w:hAnsi="Times New Roman" w:cs="Times New Roman" w:hint="eastAsia"/>
                <w:bCs/>
                <w:szCs w:val="96"/>
              </w:rPr>
              <w:t>标准编制原则和确定标准主要内容</w:t>
            </w:r>
            <w:r>
              <w:tab/>
            </w:r>
            <w:r>
              <w:fldChar w:fldCharType="begin"/>
            </w:r>
            <w:r>
              <w:instrText xml:space="preserve"> PAGEREF _Toc17470 \h </w:instrText>
            </w:r>
            <w:r>
              <w:fldChar w:fldCharType="separate"/>
            </w:r>
            <w:r>
              <w:t>6</w:t>
            </w:r>
            <w:r>
              <w:fldChar w:fldCharType="end"/>
            </w:r>
          </w:hyperlink>
        </w:p>
        <w:p w14:paraId="05FD20B9" w14:textId="77777777" w:rsidR="00547D89" w:rsidRDefault="00000000">
          <w:pPr>
            <w:pStyle w:val="TOC2"/>
            <w:tabs>
              <w:tab w:val="right" w:leader="dot" w:pos="8306"/>
            </w:tabs>
            <w:ind w:left="360"/>
          </w:pPr>
          <w:hyperlink w:anchor="_Toc17074" w:history="1">
            <w:r>
              <w:rPr>
                <w:rFonts w:ascii="方正楷体_GB2312" w:eastAsia="方正楷体_GB2312" w:hAnsi="方正楷体_GB2312" w:cs="方正楷体_GB2312" w:hint="eastAsia"/>
                <w:bCs/>
                <w:szCs w:val="28"/>
              </w:rPr>
              <w:t>1、 编写原则</w:t>
            </w:r>
            <w:r>
              <w:tab/>
            </w:r>
            <w:r>
              <w:fldChar w:fldCharType="begin"/>
            </w:r>
            <w:r>
              <w:instrText xml:space="preserve"> PAGEREF _Toc17074 \h </w:instrText>
            </w:r>
            <w:r>
              <w:fldChar w:fldCharType="separate"/>
            </w:r>
            <w:r>
              <w:t>6</w:t>
            </w:r>
            <w:r>
              <w:fldChar w:fldCharType="end"/>
            </w:r>
          </w:hyperlink>
        </w:p>
        <w:p w14:paraId="5ADD0351" w14:textId="77777777" w:rsidR="00547D89" w:rsidRDefault="00000000">
          <w:pPr>
            <w:pStyle w:val="TOC2"/>
            <w:tabs>
              <w:tab w:val="right" w:leader="dot" w:pos="8306"/>
            </w:tabs>
            <w:ind w:left="360"/>
          </w:pPr>
          <w:hyperlink w:anchor="_Toc19274" w:history="1">
            <w:r>
              <w:rPr>
                <w:rFonts w:ascii="方正楷体_GB2312" w:eastAsia="方正楷体_GB2312" w:hAnsi="方正楷体_GB2312" w:cs="方正楷体_GB2312" w:hint="eastAsia"/>
                <w:bCs/>
                <w:szCs w:val="28"/>
              </w:rPr>
              <w:t>2、 制定依据</w:t>
            </w:r>
            <w:r>
              <w:tab/>
            </w:r>
            <w:r>
              <w:fldChar w:fldCharType="begin"/>
            </w:r>
            <w:r>
              <w:instrText xml:space="preserve"> PAGEREF _Toc19274 \h </w:instrText>
            </w:r>
            <w:r>
              <w:fldChar w:fldCharType="separate"/>
            </w:r>
            <w:r>
              <w:t>7</w:t>
            </w:r>
            <w:r>
              <w:fldChar w:fldCharType="end"/>
            </w:r>
          </w:hyperlink>
        </w:p>
        <w:p w14:paraId="6BD51769" w14:textId="77777777" w:rsidR="00547D89" w:rsidRDefault="00000000">
          <w:pPr>
            <w:pStyle w:val="TOC1"/>
            <w:tabs>
              <w:tab w:val="right" w:leader="dot" w:pos="8306"/>
            </w:tabs>
          </w:pPr>
          <w:hyperlink w:anchor="_Toc1367" w:history="1">
            <w:r>
              <w:rPr>
                <w:rFonts w:ascii="Times New Roman" w:hAnsi="Times New Roman" w:cs="Times New Roman" w:hint="eastAsia"/>
                <w:bCs/>
                <w:szCs w:val="96"/>
              </w:rPr>
              <w:t>四、</w:t>
            </w:r>
            <w:r>
              <w:rPr>
                <w:rFonts w:ascii="Times New Roman" w:hAnsi="Times New Roman" w:cs="Times New Roman" w:hint="eastAsia"/>
                <w:bCs/>
                <w:szCs w:val="96"/>
              </w:rPr>
              <w:t xml:space="preserve"> </w:t>
            </w:r>
            <w:r>
              <w:rPr>
                <w:rFonts w:ascii="Times New Roman" w:hAnsi="Times New Roman" w:cs="Times New Roman" w:hint="eastAsia"/>
                <w:bCs/>
                <w:szCs w:val="96"/>
              </w:rPr>
              <w:t>试验验证</w:t>
            </w:r>
            <w:r>
              <w:tab/>
            </w:r>
            <w:r>
              <w:fldChar w:fldCharType="begin"/>
            </w:r>
            <w:r>
              <w:instrText xml:space="preserve"> PAGEREF _Toc1367 \h </w:instrText>
            </w:r>
            <w:r>
              <w:fldChar w:fldCharType="separate"/>
            </w:r>
            <w:r>
              <w:t>10</w:t>
            </w:r>
            <w:r>
              <w:fldChar w:fldCharType="end"/>
            </w:r>
          </w:hyperlink>
        </w:p>
        <w:p w14:paraId="68F000F1" w14:textId="77777777" w:rsidR="00547D89" w:rsidRDefault="00000000">
          <w:pPr>
            <w:pStyle w:val="TOC2"/>
            <w:tabs>
              <w:tab w:val="right" w:leader="dot" w:pos="8306"/>
            </w:tabs>
            <w:ind w:left="360"/>
          </w:pPr>
          <w:hyperlink w:anchor="_Toc31910" w:history="1">
            <w:r>
              <w:rPr>
                <w:rFonts w:ascii="方正楷体_GB2312" w:eastAsia="方正楷体_GB2312" w:hAnsi="方正楷体_GB2312" w:cs="方正楷体_GB2312" w:hint="eastAsia"/>
                <w:bCs/>
                <w:szCs w:val="28"/>
              </w:rPr>
              <w:t>1、 田间株行配置模式筛选试验</w:t>
            </w:r>
            <w:r>
              <w:tab/>
            </w:r>
            <w:r>
              <w:fldChar w:fldCharType="begin"/>
            </w:r>
            <w:r>
              <w:instrText xml:space="preserve"> PAGEREF _Toc31910 \h </w:instrText>
            </w:r>
            <w:r>
              <w:fldChar w:fldCharType="separate"/>
            </w:r>
            <w:r>
              <w:t>10</w:t>
            </w:r>
            <w:r>
              <w:fldChar w:fldCharType="end"/>
            </w:r>
          </w:hyperlink>
        </w:p>
        <w:p w14:paraId="5A6109AC" w14:textId="77777777" w:rsidR="00547D89" w:rsidRDefault="00000000">
          <w:pPr>
            <w:pStyle w:val="TOC2"/>
            <w:tabs>
              <w:tab w:val="right" w:leader="dot" w:pos="8306"/>
            </w:tabs>
            <w:ind w:left="360"/>
          </w:pPr>
          <w:hyperlink w:anchor="_Toc904" w:history="1">
            <w:r>
              <w:rPr>
                <w:rFonts w:ascii="方正楷体_GB2312" w:eastAsia="方正楷体_GB2312" w:hAnsi="方正楷体_GB2312" w:cs="方正楷体_GB2312" w:hint="eastAsia"/>
                <w:bCs/>
                <w:szCs w:val="28"/>
              </w:rPr>
              <w:t>2、 适宜播期试验</w:t>
            </w:r>
            <w:r>
              <w:tab/>
            </w:r>
            <w:r>
              <w:fldChar w:fldCharType="begin"/>
            </w:r>
            <w:r>
              <w:instrText xml:space="preserve"> PAGEREF _Toc904 \h </w:instrText>
            </w:r>
            <w:r>
              <w:fldChar w:fldCharType="separate"/>
            </w:r>
            <w:r>
              <w:t>12</w:t>
            </w:r>
            <w:r>
              <w:fldChar w:fldCharType="end"/>
            </w:r>
          </w:hyperlink>
        </w:p>
        <w:p w14:paraId="57BCE971" w14:textId="77777777" w:rsidR="00547D89" w:rsidRDefault="00000000">
          <w:pPr>
            <w:pStyle w:val="TOC2"/>
            <w:tabs>
              <w:tab w:val="right" w:leader="dot" w:pos="8306"/>
            </w:tabs>
            <w:ind w:left="360"/>
          </w:pPr>
          <w:hyperlink w:anchor="_Toc20706" w:history="1">
            <w:r>
              <w:rPr>
                <w:rFonts w:ascii="方正楷体_GB2312" w:eastAsia="方正楷体_GB2312" w:hAnsi="方正楷体_GB2312" w:cs="方正楷体_GB2312" w:hint="eastAsia"/>
                <w:bCs/>
                <w:szCs w:val="28"/>
              </w:rPr>
              <w:t>3、 施氮量优化试验</w:t>
            </w:r>
            <w:r>
              <w:tab/>
            </w:r>
            <w:r>
              <w:fldChar w:fldCharType="begin"/>
            </w:r>
            <w:r>
              <w:instrText xml:space="preserve"> PAGEREF _Toc20706 \h </w:instrText>
            </w:r>
            <w:r>
              <w:fldChar w:fldCharType="separate"/>
            </w:r>
            <w:r>
              <w:t>12</w:t>
            </w:r>
            <w:r>
              <w:fldChar w:fldCharType="end"/>
            </w:r>
          </w:hyperlink>
        </w:p>
        <w:p w14:paraId="05548BB7" w14:textId="77777777" w:rsidR="00547D89" w:rsidRDefault="00000000">
          <w:pPr>
            <w:pStyle w:val="TOC2"/>
            <w:tabs>
              <w:tab w:val="right" w:leader="dot" w:pos="8306"/>
            </w:tabs>
            <w:ind w:left="360"/>
          </w:pPr>
          <w:hyperlink w:anchor="_Toc2432" w:history="1">
            <w:r>
              <w:rPr>
                <w:rFonts w:ascii="方正楷体_GB2312" w:eastAsia="方正楷体_GB2312" w:hAnsi="方正楷体_GB2312" w:cs="方正楷体_GB2312" w:hint="eastAsia"/>
                <w:bCs/>
                <w:szCs w:val="28"/>
              </w:rPr>
              <w:t>4、 生产示范</w:t>
            </w:r>
            <w:r>
              <w:tab/>
            </w:r>
            <w:r>
              <w:fldChar w:fldCharType="begin"/>
            </w:r>
            <w:r>
              <w:instrText xml:space="preserve"> PAGEREF _Toc2432 \h </w:instrText>
            </w:r>
            <w:r>
              <w:fldChar w:fldCharType="separate"/>
            </w:r>
            <w:r>
              <w:t>14</w:t>
            </w:r>
            <w:r>
              <w:fldChar w:fldCharType="end"/>
            </w:r>
          </w:hyperlink>
        </w:p>
        <w:p w14:paraId="1780A208" w14:textId="77777777" w:rsidR="00547D89" w:rsidRDefault="00000000">
          <w:pPr>
            <w:pStyle w:val="TOC1"/>
            <w:tabs>
              <w:tab w:val="right" w:leader="dot" w:pos="8306"/>
            </w:tabs>
          </w:pPr>
          <w:hyperlink w:anchor="_Toc27030" w:history="1">
            <w:r>
              <w:rPr>
                <w:rFonts w:ascii="Times New Roman" w:hAnsi="Times New Roman" w:cs="Times New Roman" w:hint="eastAsia"/>
                <w:bCs/>
                <w:szCs w:val="96"/>
              </w:rPr>
              <w:t>五、</w:t>
            </w:r>
            <w:r>
              <w:rPr>
                <w:rFonts w:ascii="Times New Roman" w:hAnsi="Times New Roman" w:cs="Times New Roman" w:hint="eastAsia"/>
                <w:bCs/>
                <w:szCs w:val="96"/>
              </w:rPr>
              <w:t xml:space="preserve"> </w:t>
            </w:r>
            <w:r>
              <w:rPr>
                <w:rFonts w:ascii="Times New Roman" w:hAnsi="Times New Roman" w:cs="Times New Roman" w:hint="eastAsia"/>
                <w:bCs/>
                <w:szCs w:val="96"/>
              </w:rPr>
              <w:t>知识产权说明</w:t>
            </w:r>
            <w:r>
              <w:tab/>
            </w:r>
            <w:r>
              <w:fldChar w:fldCharType="begin"/>
            </w:r>
            <w:r>
              <w:instrText xml:space="preserve"> PAGEREF _Toc27030 \h </w:instrText>
            </w:r>
            <w:r>
              <w:fldChar w:fldCharType="separate"/>
            </w:r>
            <w:r>
              <w:t>14</w:t>
            </w:r>
            <w:r>
              <w:fldChar w:fldCharType="end"/>
            </w:r>
          </w:hyperlink>
        </w:p>
        <w:p w14:paraId="3CD4C960" w14:textId="77777777" w:rsidR="00547D89" w:rsidRDefault="00000000">
          <w:pPr>
            <w:pStyle w:val="TOC1"/>
            <w:tabs>
              <w:tab w:val="right" w:leader="dot" w:pos="8306"/>
            </w:tabs>
          </w:pPr>
          <w:hyperlink w:anchor="_Toc10160" w:history="1">
            <w:r>
              <w:rPr>
                <w:rFonts w:ascii="Times New Roman" w:hAnsi="Times New Roman" w:cs="Times New Roman" w:hint="eastAsia"/>
                <w:bCs/>
                <w:szCs w:val="96"/>
              </w:rPr>
              <w:t>六、</w:t>
            </w:r>
            <w:r>
              <w:rPr>
                <w:rFonts w:ascii="Times New Roman" w:hAnsi="Times New Roman" w:cs="Times New Roman" w:hint="eastAsia"/>
                <w:bCs/>
                <w:szCs w:val="96"/>
              </w:rPr>
              <w:t xml:space="preserve"> </w:t>
            </w:r>
            <w:r>
              <w:rPr>
                <w:rFonts w:ascii="Times New Roman" w:hAnsi="Times New Roman" w:cs="Times New Roman" w:hint="eastAsia"/>
                <w:bCs/>
                <w:szCs w:val="96"/>
              </w:rPr>
              <w:t>采标情况</w:t>
            </w:r>
            <w:r>
              <w:tab/>
            </w:r>
            <w:r>
              <w:fldChar w:fldCharType="begin"/>
            </w:r>
            <w:r>
              <w:instrText xml:space="preserve"> PAGEREF _Toc10160 \h </w:instrText>
            </w:r>
            <w:r>
              <w:fldChar w:fldCharType="separate"/>
            </w:r>
            <w:r>
              <w:t>14</w:t>
            </w:r>
            <w:r>
              <w:fldChar w:fldCharType="end"/>
            </w:r>
          </w:hyperlink>
        </w:p>
        <w:p w14:paraId="4A3E31C1" w14:textId="77777777" w:rsidR="00547D89" w:rsidRDefault="00000000">
          <w:pPr>
            <w:pStyle w:val="TOC2"/>
            <w:tabs>
              <w:tab w:val="right" w:leader="dot" w:pos="8306"/>
            </w:tabs>
            <w:ind w:left="360"/>
          </w:pPr>
          <w:hyperlink w:anchor="_Toc7616" w:history="1">
            <w:r>
              <w:rPr>
                <w:rFonts w:ascii="方正楷体_GB2312" w:eastAsia="方正楷体_GB2312" w:hAnsi="方正楷体_GB2312" w:cs="方正楷体_GB2312" w:hint="eastAsia"/>
                <w:bCs/>
                <w:szCs w:val="28"/>
              </w:rPr>
              <w:t>1、 国际标准与国外先进标准采用情况</w:t>
            </w:r>
            <w:r>
              <w:tab/>
            </w:r>
            <w:r>
              <w:fldChar w:fldCharType="begin"/>
            </w:r>
            <w:r>
              <w:instrText xml:space="preserve"> PAGEREF _Toc7616 \h </w:instrText>
            </w:r>
            <w:r>
              <w:fldChar w:fldCharType="separate"/>
            </w:r>
            <w:r>
              <w:t>14</w:t>
            </w:r>
            <w:r>
              <w:fldChar w:fldCharType="end"/>
            </w:r>
          </w:hyperlink>
        </w:p>
        <w:p w14:paraId="4F0796B3" w14:textId="77777777" w:rsidR="00547D89" w:rsidRDefault="00000000">
          <w:pPr>
            <w:pStyle w:val="TOC2"/>
            <w:tabs>
              <w:tab w:val="right" w:leader="dot" w:pos="8306"/>
            </w:tabs>
            <w:ind w:left="360"/>
          </w:pPr>
          <w:hyperlink w:anchor="_Toc2092" w:history="1">
            <w:r>
              <w:rPr>
                <w:rFonts w:ascii="方正楷体_GB2312" w:eastAsia="方正楷体_GB2312" w:hAnsi="方正楷体_GB2312" w:cs="方正楷体_GB2312" w:hint="eastAsia"/>
                <w:bCs/>
                <w:szCs w:val="28"/>
              </w:rPr>
              <w:t>2、 与国内同类标准水平的比较</w:t>
            </w:r>
            <w:r>
              <w:tab/>
            </w:r>
            <w:r>
              <w:fldChar w:fldCharType="begin"/>
            </w:r>
            <w:r>
              <w:instrText xml:space="preserve"> PAGEREF _Toc2092 \h </w:instrText>
            </w:r>
            <w:r>
              <w:fldChar w:fldCharType="separate"/>
            </w:r>
            <w:r>
              <w:t>15</w:t>
            </w:r>
            <w:r>
              <w:fldChar w:fldCharType="end"/>
            </w:r>
          </w:hyperlink>
        </w:p>
        <w:p w14:paraId="712D25D8" w14:textId="77777777" w:rsidR="00547D89" w:rsidRDefault="00000000">
          <w:pPr>
            <w:pStyle w:val="TOC1"/>
            <w:tabs>
              <w:tab w:val="right" w:leader="dot" w:pos="8306"/>
            </w:tabs>
          </w:pPr>
          <w:hyperlink w:anchor="_Toc2560" w:history="1">
            <w:r>
              <w:rPr>
                <w:rFonts w:ascii="Times New Roman" w:hAnsi="Times New Roman" w:cs="Times New Roman" w:hint="eastAsia"/>
                <w:bCs/>
                <w:szCs w:val="96"/>
              </w:rPr>
              <w:t>七、</w:t>
            </w:r>
            <w:r>
              <w:rPr>
                <w:rFonts w:ascii="Times New Roman" w:hAnsi="Times New Roman" w:cs="Times New Roman" w:hint="eastAsia"/>
                <w:bCs/>
                <w:szCs w:val="96"/>
              </w:rPr>
              <w:t xml:space="preserve"> </w:t>
            </w:r>
            <w:r>
              <w:rPr>
                <w:rFonts w:ascii="Times New Roman" w:hAnsi="Times New Roman" w:cs="Times New Roman" w:hint="eastAsia"/>
                <w:bCs/>
                <w:szCs w:val="96"/>
              </w:rPr>
              <w:t>重大意见分歧的处理</w:t>
            </w:r>
            <w:r>
              <w:tab/>
            </w:r>
            <w:r>
              <w:fldChar w:fldCharType="begin"/>
            </w:r>
            <w:r>
              <w:instrText xml:space="preserve"> PAGEREF _Toc2560 \h </w:instrText>
            </w:r>
            <w:r>
              <w:fldChar w:fldCharType="separate"/>
            </w:r>
            <w:r>
              <w:t>15</w:t>
            </w:r>
            <w:r>
              <w:fldChar w:fldCharType="end"/>
            </w:r>
          </w:hyperlink>
        </w:p>
        <w:p w14:paraId="6C11C0FC" w14:textId="77777777" w:rsidR="00547D89" w:rsidRDefault="00000000">
          <w:pPr>
            <w:pStyle w:val="TOC1"/>
            <w:tabs>
              <w:tab w:val="right" w:leader="dot" w:pos="8306"/>
            </w:tabs>
          </w:pPr>
          <w:hyperlink w:anchor="_Toc3178" w:history="1">
            <w:r>
              <w:rPr>
                <w:rFonts w:ascii="Times New Roman" w:hAnsi="Times New Roman" w:cs="Times New Roman" w:hint="eastAsia"/>
                <w:bCs/>
                <w:szCs w:val="96"/>
              </w:rPr>
              <w:t>八、</w:t>
            </w:r>
            <w:r>
              <w:rPr>
                <w:rFonts w:ascii="Times New Roman" w:hAnsi="Times New Roman" w:cs="Times New Roman" w:hint="eastAsia"/>
                <w:bCs/>
                <w:szCs w:val="96"/>
              </w:rPr>
              <w:t xml:space="preserve"> </w:t>
            </w:r>
            <w:r>
              <w:rPr>
                <w:rFonts w:ascii="Times New Roman" w:hAnsi="Times New Roman" w:cs="Times New Roman" w:hint="eastAsia"/>
                <w:bCs/>
                <w:szCs w:val="96"/>
              </w:rPr>
              <w:t>标准性质的建议说明</w:t>
            </w:r>
            <w:r>
              <w:tab/>
            </w:r>
            <w:r>
              <w:fldChar w:fldCharType="begin"/>
            </w:r>
            <w:r>
              <w:instrText xml:space="preserve"> PAGEREF _Toc3178 \h </w:instrText>
            </w:r>
            <w:r>
              <w:fldChar w:fldCharType="separate"/>
            </w:r>
            <w:r>
              <w:t>16</w:t>
            </w:r>
            <w:r>
              <w:fldChar w:fldCharType="end"/>
            </w:r>
          </w:hyperlink>
        </w:p>
        <w:p w14:paraId="00256495" w14:textId="77777777" w:rsidR="00547D89" w:rsidRDefault="00000000">
          <w:pPr>
            <w:pStyle w:val="TOC1"/>
            <w:tabs>
              <w:tab w:val="right" w:leader="dot" w:pos="8306"/>
            </w:tabs>
          </w:pPr>
          <w:hyperlink w:anchor="_Toc19437" w:history="1">
            <w:r>
              <w:rPr>
                <w:rFonts w:ascii="Times New Roman" w:hAnsi="Times New Roman" w:cs="Times New Roman" w:hint="eastAsia"/>
                <w:bCs/>
                <w:szCs w:val="96"/>
              </w:rPr>
              <w:t>九、</w:t>
            </w:r>
            <w:r>
              <w:rPr>
                <w:rFonts w:ascii="Times New Roman" w:hAnsi="Times New Roman" w:cs="Times New Roman" w:hint="eastAsia"/>
                <w:bCs/>
                <w:szCs w:val="96"/>
              </w:rPr>
              <w:t xml:space="preserve"> </w:t>
            </w:r>
            <w:r>
              <w:rPr>
                <w:rFonts w:ascii="Times New Roman" w:hAnsi="Times New Roman" w:cs="Times New Roman" w:hint="eastAsia"/>
                <w:bCs/>
                <w:szCs w:val="96"/>
              </w:rPr>
              <w:t>其他应予说明的事项。</w:t>
            </w:r>
            <w:r>
              <w:tab/>
            </w:r>
            <w:r>
              <w:fldChar w:fldCharType="begin"/>
            </w:r>
            <w:r>
              <w:instrText xml:space="preserve"> PAGEREF _Toc19437 \h </w:instrText>
            </w:r>
            <w:r>
              <w:fldChar w:fldCharType="separate"/>
            </w:r>
            <w:r>
              <w:t>16</w:t>
            </w:r>
            <w:r>
              <w:fldChar w:fldCharType="end"/>
            </w:r>
          </w:hyperlink>
        </w:p>
        <w:p w14:paraId="3590644C" w14:textId="77777777" w:rsidR="00547D89" w:rsidRDefault="00000000">
          <w:pPr>
            <w:spacing w:line="120" w:lineRule="auto"/>
            <w:jc w:val="center"/>
            <w:rPr>
              <w:rFonts w:ascii="方正小标宋简体" w:eastAsia="方正小标宋简体" w:hAnsi="方正小标宋简体" w:cs="方正小标宋简体" w:hint="eastAsia"/>
              <w:szCs w:val="40"/>
            </w:rPr>
          </w:pPr>
          <w:r>
            <w:rPr>
              <w:rFonts w:ascii="方正小标宋简体" w:eastAsia="方正小标宋简体" w:hAnsi="方正小标宋简体" w:cs="方正小标宋简体" w:hint="eastAsia"/>
              <w:szCs w:val="40"/>
            </w:rPr>
            <w:fldChar w:fldCharType="end"/>
          </w:r>
        </w:p>
      </w:sdtContent>
    </w:sdt>
    <w:p w14:paraId="7F648BFA" w14:textId="77777777" w:rsidR="00547D89" w:rsidRDefault="00547D89">
      <w:pPr>
        <w:spacing w:line="120" w:lineRule="auto"/>
        <w:jc w:val="center"/>
        <w:rPr>
          <w:rFonts w:ascii="方正小标宋简体" w:eastAsia="方正小标宋简体" w:hAnsi="方正小标宋简体" w:cs="方正小标宋简体" w:hint="eastAsia"/>
          <w:szCs w:val="40"/>
        </w:rPr>
      </w:pPr>
    </w:p>
    <w:p w14:paraId="4F5AF247"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6F0D5C64" w14:textId="77777777" w:rsidR="00547D89" w:rsidRDefault="00547D89">
      <w:pPr>
        <w:spacing w:line="120" w:lineRule="auto"/>
        <w:jc w:val="center"/>
        <w:rPr>
          <w:rFonts w:ascii="方正小标宋简体" w:eastAsia="方正小标宋简体" w:hAnsi="方正小标宋简体" w:cs="方正小标宋简体" w:hint="eastAsia"/>
          <w:sz w:val="40"/>
          <w:szCs w:val="40"/>
        </w:rPr>
        <w:sectPr w:rsidR="00547D89">
          <w:pgSz w:w="11906" w:h="16838"/>
          <w:pgMar w:top="1440" w:right="1800" w:bottom="1440" w:left="1800" w:header="851" w:footer="992" w:gutter="0"/>
          <w:cols w:space="425"/>
          <w:docGrid w:type="lines" w:linePitch="312"/>
        </w:sectPr>
      </w:pPr>
    </w:p>
    <w:p w14:paraId="6E9E56EB" w14:textId="77777777" w:rsidR="00547D89" w:rsidRDefault="00547D89">
      <w:pPr>
        <w:spacing w:line="120" w:lineRule="auto"/>
        <w:jc w:val="center"/>
        <w:rPr>
          <w:rFonts w:ascii="方正小标宋简体" w:eastAsia="方正小标宋简体" w:hAnsi="方正小标宋简体" w:cs="方正小标宋简体" w:hint="eastAsia"/>
          <w:sz w:val="40"/>
          <w:szCs w:val="40"/>
        </w:rPr>
      </w:pPr>
    </w:p>
    <w:p w14:paraId="4B797978" w14:textId="77777777" w:rsidR="00547D89" w:rsidRDefault="00000000">
      <w:pPr>
        <w:pStyle w:val="1"/>
        <w:numPr>
          <w:ilvl w:val="0"/>
          <w:numId w:val="2"/>
        </w:numPr>
        <w:spacing w:before="156" w:after="156"/>
        <w:rPr>
          <w:rFonts w:ascii="Times New Roman" w:hAnsi="Times New Roman"/>
          <w:b/>
          <w:bCs/>
          <w:sz w:val="32"/>
          <w:szCs w:val="96"/>
        </w:rPr>
      </w:pPr>
      <w:bookmarkStart w:id="0" w:name="_Toc2893"/>
      <w:bookmarkStart w:id="1" w:name="_Toc15313"/>
      <w:bookmarkStart w:id="2" w:name="_Toc15337"/>
      <w:r>
        <w:rPr>
          <w:rFonts w:ascii="Times New Roman" w:hAnsi="Times New Roman"/>
          <w:b/>
          <w:bCs/>
          <w:sz w:val="32"/>
          <w:szCs w:val="96"/>
        </w:rPr>
        <w:t>任务来源及制定标准的背景和意义</w:t>
      </w:r>
      <w:bookmarkEnd w:id="0"/>
      <w:bookmarkEnd w:id="1"/>
      <w:bookmarkEnd w:id="2"/>
    </w:p>
    <w:p w14:paraId="0E35D36D" w14:textId="77777777" w:rsidR="00547D89" w:rsidRDefault="00000000">
      <w:pPr>
        <w:pStyle w:val="2"/>
        <w:numPr>
          <w:ilvl w:val="0"/>
          <w:numId w:val="3"/>
        </w:numPr>
        <w:spacing w:before="140" w:after="20" w:line="240" w:lineRule="auto"/>
        <w:rPr>
          <w:rFonts w:ascii="方正楷体_GB2312" w:eastAsia="方正楷体_GB2312" w:hAnsi="方正楷体_GB2312" w:cs="方正楷体_GB2312" w:hint="eastAsia"/>
          <w:bCs/>
          <w:sz w:val="28"/>
          <w:szCs w:val="28"/>
        </w:rPr>
      </w:pPr>
      <w:bookmarkStart w:id="3" w:name="_Toc20699"/>
      <w:r>
        <w:rPr>
          <w:rFonts w:ascii="方正楷体_GB2312" w:eastAsia="方正楷体_GB2312" w:hAnsi="方正楷体_GB2312" w:cs="方正楷体_GB2312" w:hint="eastAsia"/>
          <w:bCs/>
          <w:sz w:val="28"/>
          <w:szCs w:val="28"/>
        </w:rPr>
        <w:t>任务来源与说明</w:t>
      </w:r>
      <w:bookmarkEnd w:id="3"/>
    </w:p>
    <w:p w14:paraId="41FCC67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新疆农业大学等单位首次提出了一种青贮玉米与饲用甜高粱间作、混收、混贮、混喂技术模式。</w:t>
      </w:r>
      <w:r>
        <w:rPr>
          <w:rFonts w:ascii="Times New Roman" w:eastAsia="宋体" w:hAnsi="Times New Roman" w:cs="Times New Roman" w:hint="eastAsia"/>
          <w:color w:val="000000"/>
          <w:kern w:val="0"/>
          <w:sz w:val="28"/>
          <w:szCs w:val="28"/>
          <w:lang w:bidi="ar"/>
        </w:rPr>
        <w:t>2022</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年系统开展了青贮玉米与甜高粱间作的株行配置、水肥优化模式比较等系列单因素试验和多因素栽培试验研究，通过生产示范进行技术参数校正，并在生产实践中进行了验证。</w:t>
      </w:r>
      <w:r>
        <w:rPr>
          <w:rFonts w:ascii="Times New Roman" w:eastAsia="宋体" w:hAnsi="Times New Roman" w:cs="Times New Roman"/>
          <w:color w:val="000000"/>
          <w:kern w:val="0"/>
          <w:sz w:val="28"/>
          <w:szCs w:val="28"/>
          <w:lang w:bidi="ar"/>
        </w:rPr>
        <w:t>由</w:t>
      </w:r>
      <w:r>
        <w:rPr>
          <w:rFonts w:ascii="Times New Roman" w:eastAsia="宋体" w:hAnsi="Times New Roman" w:cs="Times New Roman" w:hint="eastAsia"/>
          <w:color w:val="000000"/>
          <w:kern w:val="0"/>
          <w:sz w:val="28"/>
          <w:szCs w:val="28"/>
          <w:lang w:bidi="ar"/>
        </w:rPr>
        <w:t>新疆农业大学、兰州大学、石河子大学、西安理工大学、新疆畜牧科学院、东北师范大学、等单位于</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年共同起草完成了《青贮玉米与甜高粱间作生产技术规程》（征求意见稿）撰写。于</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9</w:t>
      </w:r>
      <w:r>
        <w:rPr>
          <w:rFonts w:ascii="Times New Roman" w:eastAsia="宋体" w:hAnsi="Times New Roman" w:cs="Times New Roman" w:hint="eastAsia"/>
          <w:color w:val="000000"/>
          <w:kern w:val="0"/>
          <w:sz w:val="28"/>
          <w:szCs w:val="28"/>
          <w:lang w:bidi="ar"/>
        </w:rPr>
        <w:t>月首次向</w:t>
      </w:r>
      <w:r>
        <w:rPr>
          <w:rFonts w:ascii="Times New Roman" w:eastAsia="宋体" w:hAnsi="Times New Roman" w:cs="Times New Roman"/>
          <w:color w:val="000000"/>
          <w:kern w:val="0"/>
          <w:sz w:val="28"/>
          <w:szCs w:val="28"/>
          <w:lang w:bidi="ar"/>
        </w:rPr>
        <w:t>由北京华夏草业产业技术创新战略联盟</w:t>
      </w:r>
      <w:r>
        <w:rPr>
          <w:rFonts w:ascii="Times New Roman" w:eastAsia="宋体" w:hAnsi="Times New Roman" w:cs="Times New Roman" w:hint="eastAsia"/>
          <w:color w:val="000000"/>
          <w:kern w:val="0"/>
          <w:sz w:val="28"/>
          <w:szCs w:val="28"/>
          <w:lang w:bidi="ar"/>
        </w:rPr>
        <w:t>申请立项。</w:t>
      </w:r>
      <w:r>
        <w:rPr>
          <w:rFonts w:ascii="Times New Roman" w:eastAsia="宋体" w:hAnsi="Times New Roman" w:cs="Times New Roman"/>
          <w:color w:val="000000"/>
          <w:kern w:val="0"/>
          <w:sz w:val="28"/>
          <w:szCs w:val="28"/>
          <w:lang w:bidi="ar"/>
        </w:rPr>
        <w:t>由北京华夏草业产业技术创新战略联盟根据《中华人民共和国标准化法》和《团体标准管理规定》的相关要求，于</w:t>
      </w:r>
      <w:r>
        <w:rPr>
          <w:rFonts w:ascii="Times New Roman" w:eastAsia="宋体" w:hAnsi="Times New Roman" w:cs="Times New Roman"/>
          <w:color w:val="000000"/>
          <w:kern w:val="0"/>
          <w:sz w:val="28"/>
          <w:szCs w:val="28"/>
          <w:lang w:bidi="ar"/>
        </w:rPr>
        <w:t>2025</w:t>
      </w:r>
      <w:r>
        <w:rPr>
          <w:rFonts w:ascii="Times New Roman" w:eastAsia="宋体" w:hAnsi="Times New Roman" w:cs="Times New Roman"/>
          <w:color w:val="000000"/>
          <w:kern w:val="0"/>
          <w:sz w:val="28"/>
          <w:szCs w:val="28"/>
          <w:lang w:bidi="ar"/>
        </w:rPr>
        <w:t>年</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13</w:t>
      </w:r>
      <w:r>
        <w:rPr>
          <w:rFonts w:ascii="Times New Roman" w:eastAsia="宋体" w:hAnsi="Times New Roman" w:cs="Times New Roman" w:hint="eastAsia"/>
          <w:color w:val="000000"/>
          <w:kern w:val="0"/>
          <w:sz w:val="28"/>
          <w:szCs w:val="28"/>
          <w:lang w:bidi="ar"/>
        </w:rPr>
        <w:t>日</w:t>
      </w:r>
      <w:r>
        <w:rPr>
          <w:rFonts w:ascii="Times New Roman" w:eastAsia="宋体" w:hAnsi="Times New Roman" w:cs="Times New Roman"/>
          <w:color w:val="000000"/>
          <w:kern w:val="0"/>
          <w:sz w:val="28"/>
          <w:szCs w:val="28"/>
          <w:lang w:bidi="ar"/>
        </w:rPr>
        <w:t>立项。</w:t>
      </w:r>
    </w:p>
    <w:p w14:paraId="195713E9" w14:textId="77777777" w:rsidR="00547D89" w:rsidRDefault="00000000">
      <w:pPr>
        <w:pStyle w:val="2"/>
        <w:numPr>
          <w:ilvl w:val="0"/>
          <w:numId w:val="3"/>
        </w:numPr>
        <w:spacing w:before="140" w:after="20" w:line="240" w:lineRule="auto"/>
        <w:rPr>
          <w:rFonts w:ascii="Times New Roman" w:eastAsia="宋体" w:hAnsi="Times New Roman" w:cs="Times New Roman"/>
          <w:color w:val="000000"/>
          <w:kern w:val="0"/>
          <w:sz w:val="28"/>
          <w:szCs w:val="28"/>
          <w:lang w:bidi="ar"/>
        </w:rPr>
      </w:pPr>
      <w:bookmarkStart w:id="4" w:name="_Toc12869"/>
      <w:bookmarkStart w:id="5" w:name="_Toc12928"/>
      <w:r>
        <w:rPr>
          <w:rFonts w:ascii="方正楷体_GB2312" w:eastAsia="方正楷体_GB2312" w:hAnsi="方正楷体_GB2312" w:cs="方正楷体_GB2312"/>
          <w:bCs/>
          <w:sz w:val="28"/>
          <w:szCs w:val="28"/>
        </w:rPr>
        <w:t>制定标准的背景和意义</w:t>
      </w:r>
      <w:bookmarkEnd w:id="4"/>
      <w:bookmarkEnd w:id="5"/>
    </w:p>
    <w:p w14:paraId="3CA3801A"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1</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保障</w:t>
      </w:r>
      <w:r>
        <w:rPr>
          <w:rFonts w:ascii="Times New Roman" w:eastAsia="宋体" w:hAnsi="Times New Roman" w:cs="Times New Roman" w:hint="eastAsia"/>
          <w:b/>
          <w:bCs/>
          <w:color w:val="000000"/>
          <w:kern w:val="0"/>
          <w:sz w:val="28"/>
          <w:szCs w:val="28"/>
          <w:lang w:bidi="ar"/>
        </w:rPr>
        <w:t>国家</w:t>
      </w:r>
      <w:r>
        <w:rPr>
          <w:rFonts w:ascii="Times New Roman" w:eastAsia="宋体" w:hAnsi="Times New Roman" w:cs="Times New Roman"/>
          <w:b/>
          <w:bCs/>
          <w:color w:val="000000"/>
          <w:kern w:val="0"/>
          <w:sz w:val="28"/>
          <w:szCs w:val="28"/>
          <w:lang w:bidi="ar"/>
        </w:rPr>
        <w:t>饲料粮安全与推动</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b/>
          <w:bCs/>
          <w:color w:val="000000"/>
          <w:kern w:val="0"/>
          <w:sz w:val="28"/>
          <w:szCs w:val="28"/>
          <w:lang w:bidi="ar"/>
        </w:rPr>
        <w:t>节粮型畜牧业</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b/>
          <w:bCs/>
          <w:color w:val="000000"/>
          <w:kern w:val="0"/>
          <w:sz w:val="28"/>
          <w:szCs w:val="28"/>
          <w:lang w:bidi="ar"/>
        </w:rPr>
        <w:t>发展战略</w:t>
      </w:r>
      <w:r>
        <w:rPr>
          <w:rFonts w:ascii="Times New Roman" w:eastAsia="宋体" w:hAnsi="Times New Roman" w:cs="Times New Roman" w:hint="eastAsia"/>
          <w:b/>
          <w:bCs/>
          <w:color w:val="000000"/>
          <w:kern w:val="0"/>
          <w:sz w:val="28"/>
          <w:szCs w:val="28"/>
          <w:lang w:bidi="ar"/>
        </w:rPr>
        <w:t>的</w:t>
      </w:r>
      <w:r>
        <w:rPr>
          <w:rFonts w:ascii="Times New Roman" w:eastAsia="宋体" w:hAnsi="Times New Roman" w:cs="Times New Roman"/>
          <w:b/>
          <w:bCs/>
          <w:color w:val="000000"/>
          <w:kern w:val="0"/>
          <w:sz w:val="28"/>
          <w:szCs w:val="28"/>
          <w:lang w:bidi="ar"/>
        </w:rPr>
        <w:t>需求</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中央一号文件持续强调保障粮食和重要农产品稳定安全供给，并深入推进豆粕减量替代行动，构建多元化饲料供给体系。饲用甜高粱作为耐旱、耐瘠薄、耐盐碱的先锋作物，生物产量高，富含可发酵糖分，是弥补玉米饲料季节性短缺、降低生产风险的理想选择。</w:t>
      </w:r>
    </w:p>
    <w:p w14:paraId="67763099"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充分利用边际土地的需要</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为守住耕地红线，充分挖掘和利用盐碱地、干旱半干旱地区等边际土地的生产潜力已成为国家重要战略方向。饲用甜高粱因其强大的抗逆性，可在不适宜玉米高产的区域生长，通过与玉米间作，能够将传统农业的</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非优生区</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转化为有效的饲料生产基地，极大地增强了饲草料生产的稳定性。</w:t>
      </w:r>
    </w:p>
    <w:p w14:paraId="3C333E8A" w14:textId="77777777" w:rsidR="00547D89" w:rsidRDefault="00547D89">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p>
    <w:p w14:paraId="14F30FA0" w14:textId="77777777" w:rsidR="00547D89" w:rsidRDefault="00000000">
      <w:pPr>
        <w:widowControl/>
        <w:numPr>
          <w:ilvl w:val="0"/>
          <w:numId w:val="4"/>
        </w:numPr>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b/>
          <w:bCs/>
          <w:color w:val="000000"/>
          <w:kern w:val="0"/>
          <w:sz w:val="28"/>
          <w:szCs w:val="28"/>
          <w:lang w:bidi="ar"/>
        </w:rPr>
        <w:t>技术集成与标准化缺失的产业现状</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color w:val="000000"/>
          <w:kern w:val="0"/>
          <w:sz w:val="28"/>
          <w:szCs w:val="28"/>
          <w:lang w:bidi="ar"/>
        </w:rPr>
        <w:t>青贮玉米与饲用甜高粱间作模式，能实现优势互补</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即</w:t>
      </w:r>
      <w:r>
        <w:rPr>
          <w:rFonts w:ascii="Times New Roman" w:eastAsia="宋体" w:hAnsi="Times New Roman" w:cs="Times New Roman" w:hint="eastAsia"/>
          <w:color w:val="000000"/>
          <w:kern w:val="0"/>
          <w:sz w:val="28"/>
          <w:szCs w:val="28"/>
          <w:lang w:bidi="ar"/>
        </w:rPr>
        <w:t>青贮</w:t>
      </w:r>
      <w:r>
        <w:rPr>
          <w:rFonts w:ascii="Times New Roman" w:eastAsia="宋体" w:hAnsi="Times New Roman" w:cs="Times New Roman"/>
          <w:color w:val="000000"/>
          <w:kern w:val="0"/>
          <w:sz w:val="28"/>
          <w:szCs w:val="28"/>
          <w:lang w:bidi="ar"/>
        </w:rPr>
        <w:t>玉米提供高淀粉，甜高粱提供高生物量和可溶性糖，</w:t>
      </w:r>
      <w:r>
        <w:rPr>
          <w:rFonts w:ascii="Times New Roman" w:eastAsia="宋体" w:hAnsi="Times New Roman" w:cs="Times New Roman" w:hint="eastAsia"/>
          <w:color w:val="000000"/>
          <w:kern w:val="0"/>
          <w:sz w:val="28"/>
          <w:szCs w:val="28"/>
          <w:lang w:bidi="ar"/>
        </w:rPr>
        <w:t>可生产</w:t>
      </w:r>
      <w:r>
        <w:rPr>
          <w:rFonts w:ascii="Times New Roman" w:eastAsia="宋体" w:hAnsi="Times New Roman" w:cs="Times New Roman"/>
          <w:color w:val="000000"/>
          <w:kern w:val="0"/>
          <w:sz w:val="28"/>
          <w:szCs w:val="28"/>
          <w:lang w:bidi="ar"/>
        </w:rPr>
        <w:t>淀粉与糖分均衡的优质青贮饲料</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但在生产实践中，缺乏统一的技术规范。在品种选择、行比配置、错期播种、水肥协同、以及最佳刈割时期等方面均存在巨大随意性，导致该模式的增产增质潜力无法稳定发挥，制约了其规模化、产业化发展。本标准的制定将系统集成和规范两种作物间作的关键技术。</w:t>
      </w:r>
    </w:p>
    <w:p w14:paraId="4BAB1849"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综上所述，制定《青贮玉米与饲用甜高粱间作生产技术规程》团体标准，是响应国家多元化饲料战略、推动边际土地资源利用的关键技术支撑。对提升我国粗饲料自给保障能力、促进畜牧业节本增效与可持续发展具有重要而深远的意义。</w:t>
      </w:r>
    </w:p>
    <w:p w14:paraId="7DCF73F8" w14:textId="77777777" w:rsidR="00547D89" w:rsidRDefault="00000000">
      <w:pPr>
        <w:pStyle w:val="1"/>
        <w:numPr>
          <w:ilvl w:val="0"/>
          <w:numId w:val="2"/>
        </w:numPr>
        <w:spacing w:before="156" w:after="156"/>
        <w:rPr>
          <w:rFonts w:ascii="Times New Roman" w:hAnsi="Times New Roman"/>
          <w:b/>
          <w:bCs/>
          <w:sz w:val="32"/>
          <w:szCs w:val="96"/>
        </w:rPr>
      </w:pPr>
      <w:bookmarkStart w:id="6" w:name="_Toc1810"/>
      <w:r>
        <w:rPr>
          <w:rFonts w:ascii="Times New Roman" w:hAnsi="Times New Roman"/>
          <w:b/>
          <w:bCs/>
          <w:sz w:val="32"/>
          <w:szCs w:val="96"/>
        </w:rPr>
        <w:t>主要工作过程</w:t>
      </w:r>
      <w:bookmarkEnd w:id="6"/>
    </w:p>
    <w:p w14:paraId="1AA0EDED" w14:textId="77777777" w:rsidR="00547D89" w:rsidRDefault="00000000">
      <w:pPr>
        <w:pStyle w:val="2"/>
        <w:numPr>
          <w:ilvl w:val="0"/>
          <w:numId w:val="5"/>
        </w:numPr>
        <w:spacing w:before="140" w:after="20" w:line="240" w:lineRule="auto"/>
        <w:rPr>
          <w:rFonts w:ascii="方正楷体_GB2312" w:eastAsia="方正楷体_GB2312" w:hAnsi="方正楷体_GB2312" w:cs="方正楷体_GB2312" w:hint="eastAsia"/>
          <w:bCs/>
          <w:sz w:val="28"/>
          <w:szCs w:val="28"/>
        </w:rPr>
      </w:pPr>
      <w:bookmarkStart w:id="7" w:name="_Toc19463"/>
      <w:r>
        <w:rPr>
          <w:rFonts w:ascii="方正楷体_GB2312" w:eastAsia="方正楷体_GB2312" w:hAnsi="方正楷体_GB2312" w:cs="方正楷体_GB2312" w:hint="eastAsia"/>
          <w:bCs/>
          <w:sz w:val="28"/>
          <w:szCs w:val="28"/>
        </w:rPr>
        <w:t>主要起草单位</w:t>
      </w:r>
      <w:bookmarkEnd w:id="7"/>
    </w:p>
    <w:p w14:paraId="2AD46841"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起草单位：新疆农业大学</w:t>
      </w:r>
    </w:p>
    <w:p w14:paraId="31B04035"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参与单位：兰州大学、西安理工大学、新疆畜牧科学院、东北师范大学、中国科学院动物研究所</w:t>
      </w:r>
    </w:p>
    <w:p w14:paraId="519C0CBE" w14:textId="77777777" w:rsidR="00547D89" w:rsidRDefault="00000000">
      <w:pPr>
        <w:pStyle w:val="2"/>
        <w:numPr>
          <w:ilvl w:val="0"/>
          <w:numId w:val="5"/>
        </w:numPr>
        <w:spacing w:before="140" w:after="20" w:line="240" w:lineRule="auto"/>
        <w:rPr>
          <w:rFonts w:ascii="方正楷体_GB2312" w:eastAsia="方正楷体_GB2312" w:hAnsi="方正楷体_GB2312" w:cs="方正楷体_GB2312" w:hint="eastAsia"/>
          <w:bCs/>
          <w:sz w:val="28"/>
          <w:szCs w:val="28"/>
        </w:rPr>
      </w:pPr>
      <w:bookmarkStart w:id="8" w:name="_Toc26522"/>
      <w:r>
        <w:rPr>
          <w:rFonts w:ascii="方正楷体_GB2312" w:eastAsia="方正楷体_GB2312" w:hAnsi="方正楷体_GB2312" w:cs="方正楷体_GB2312"/>
          <w:bCs/>
          <w:sz w:val="28"/>
          <w:szCs w:val="28"/>
        </w:rPr>
        <w:t>起草组成员及</w:t>
      </w:r>
      <w:r>
        <w:rPr>
          <w:rFonts w:ascii="方正楷体_GB2312" w:eastAsia="方正楷体_GB2312" w:hAnsi="方正楷体_GB2312" w:cs="方正楷体_GB2312" w:hint="eastAsia"/>
          <w:bCs/>
          <w:sz w:val="28"/>
          <w:szCs w:val="28"/>
        </w:rPr>
        <w:t>分工</w:t>
      </w:r>
      <w:bookmarkEnd w:id="8"/>
    </w:p>
    <w:p w14:paraId="6AA1A68B"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）起草组成员如下</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705"/>
        <w:gridCol w:w="1043"/>
        <w:gridCol w:w="1872"/>
        <w:gridCol w:w="2971"/>
      </w:tblGrid>
      <w:tr w:rsidR="00547D89" w14:paraId="0A825AB0" w14:textId="77777777">
        <w:trPr>
          <w:jc w:val="center"/>
        </w:trPr>
        <w:tc>
          <w:tcPr>
            <w:tcW w:w="544" w:type="pct"/>
            <w:vAlign w:val="center"/>
          </w:tcPr>
          <w:p w14:paraId="567F1450"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序号</w:t>
            </w:r>
          </w:p>
        </w:tc>
        <w:tc>
          <w:tcPr>
            <w:tcW w:w="1000" w:type="pct"/>
            <w:vAlign w:val="center"/>
          </w:tcPr>
          <w:p w14:paraId="643B178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姓名</w:t>
            </w:r>
          </w:p>
        </w:tc>
        <w:tc>
          <w:tcPr>
            <w:tcW w:w="612" w:type="pct"/>
            <w:vAlign w:val="center"/>
          </w:tcPr>
          <w:p w14:paraId="4A028769"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性别</w:t>
            </w:r>
          </w:p>
        </w:tc>
        <w:tc>
          <w:tcPr>
            <w:tcW w:w="1099" w:type="pct"/>
            <w:vAlign w:val="center"/>
          </w:tcPr>
          <w:p w14:paraId="5E119A2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职务</w:t>
            </w: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hint="eastAsia"/>
                <w:color w:val="000000"/>
                <w:kern w:val="0"/>
                <w:sz w:val="22"/>
                <w:szCs w:val="22"/>
                <w:lang w:bidi="ar"/>
              </w:rPr>
              <w:t>职称</w:t>
            </w:r>
          </w:p>
        </w:tc>
        <w:tc>
          <w:tcPr>
            <w:tcW w:w="1744" w:type="pct"/>
            <w:vAlign w:val="center"/>
          </w:tcPr>
          <w:p w14:paraId="645420F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工作单位</w:t>
            </w:r>
          </w:p>
        </w:tc>
      </w:tr>
      <w:tr w:rsidR="00547D89" w14:paraId="498BF34E" w14:textId="77777777">
        <w:trPr>
          <w:jc w:val="center"/>
        </w:trPr>
        <w:tc>
          <w:tcPr>
            <w:tcW w:w="544" w:type="pct"/>
            <w:vAlign w:val="center"/>
          </w:tcPr>
          <w:p w14:paraId="45DDBE1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w:t>
            </w:r>
          </w:p>
        </w:tc>
        <w:tc>
          <w:tcPr>
            <w:tcW w:w="1000" w:type="pct"/>
            <w:vAlign w:val="center"/>
          </w:tcPr>
          <w:p w14:paraId="66D191D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颜</w:t>
            </w:r>
            <w:r>
              <w:rPr>
                <w:rFonts w:ascii="Times New Roman" w:eastAsia="宋体" w:hAnsi="Times New Roman" w:cs="Times New Roman" w:hint="eastAsia"/>
                <w:color w:val="000000"/>
                <w:kern w:val="0"/>
                <w:sz w:val="22"/>
                <w:szCs w:val="22"/>
                <w:lang w:bidi="ar"/>
              </w:rPr>
              <w:t xml:space="preserve">  </w:t>
            </w:r>
            <w:r>
              <w:rPr>
                <w:rFonts w:ascii="Times New Roman" w:eastAsia="宋体" w:hAnsi="Times New Roman" w:cs="Times New Roman" w:hint="eastAsia"/>
                <w:color w:val="000000"/>
                <w:kern w:val="0"/>
                <w:sz w:val="22"/>
                <w:szCs w:val="22"/>
                <w:lang w:bidi="ar"/>
              </w:rPr>
              <w:t>安</w:t>
            </w:r>
          </w:p>
        </w:tc>
        <w:tc>
          <w:tcPr>
            <w:tcW w:w="612" w:type="pct"/>
            <w:vAlign w:val="center"/>
          </w:tcPr>
          <w:p w14:paraId="10D545D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60E432C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院长</w:t>
            </w:r>
            <w:r>
              <w:rPr>
                <w:rFonts w:ascii="Times New Roman" w:eastAsia="宋体" w:hAnsi="Times New Roman" w:cs="Times New Roman" w:hint="eastAsia"/>
                <w:color w:val="000000"/>
                <w:kern w:val="0"/>
                <w:sz w:val="22"/>
                <w:szCs w:val="22"/>
                <w:lang w:bidi="ar"/>
              </w:rPr>
              <w:t>/</w:t>
            </w:r>
            <w:r>
              <w:rPr>
                <w:rFonts w:ascii="Times New Roman" w:eastAsia="宋体" w:hAnsi="Times New Roman" w:cs="Times New Roman" w:hint="eastAsia"/>
                <w:color w:val="000000"/>
                <w:kern w:val="0"/>
                <w:sz w:val="22"/>
                <w:szCs w:val="22"/>
                <w:lang w:bidi="ar"/>
              </w:rPr>
              <w:t>教授</w:t>
            </w:r>
          </w:p>
        </w:tc>
        <w:tc>
          <w:tcPr>
            <w:tcW w:w="1744" w:type="pct"/>
            <w:vAlign w:val="center"/>
          </w:tcPr>
          <w:p w14:paraId="2D7DAE14"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547D89" w14:paraId="13016279" w14:textId="77777777">
        <w:trPr>
          <w:jc w:val="center"/>
        </w:trPr>
        <w:tc>
          <w:tcPr>
            <w:tcW w:w="544" w:type="pct"/>
            <w:vAlign w:val="center"/>
          </w:tcPr>
          <w:p w14:paraId="1901E07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2</w:t>
            </w:r>
          </w:p>
        </w:tc>
        <w:tc>
          <w:tcPr>
            <w:tcW w:w="1000" w:type="pct"/>
            <w:vAlign w:val="center"/>
          </w:tcPr>
          <w:p w14:paraId="780CE2A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谢开云</w:t>
            </w:r>
          </w:p>
        </w:tc>
        <w:tc>
          <w:tcPr>
            <w:tcW w:w="612" w:type="pct"/>
            <w:vAlign w:val="center"/>
          </w:tcPr>
          <w:p w14:paraId="215F63E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638862EB"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0247AE9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547D89" w14:paraId="0D4A8EA9" w14:textId="77777777">
        <w:trPr>
          <w:jc w:val="center"/>
        </w:trPr>
        <w:tc>
          <w:tcPr>
            <w:tcW w:w="544" w:type="pct"/>
            <w:vAlign w:val="center"/>
          </w:tcPr>
          <w:p w14:paraId="372B755B"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3</w:t>
            </w:r>
          </w:p>
        </w:tc>
        <w:tc>
          <w:tcPr>
            <w:tcW w:w="1000" w:type="pct"/>
            <w:vAlign w:val="center"/>
          </w:tcPr>
          <w:p w14:paraId="1941F3C9"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宁松瑞</w:t>
            </w:r>
          </w:p>
        </w:tc>
        <w:tc>
          <w:tcPr>
            <w:tcW w:w="612" w:type="pct"/>
            <w:vAlign w:val="center"/>
          </w:tcPr>
          <w:p w14:paraId="123223B0"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288FDD39"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322695B8"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西安理工大学</w:t>
            </w:r>
          </w:p>
        </w:tc>
      </w:tr>
      <w:tr w:rsidR="00547D89" w14:paraId="023D19E9" w14:textId="77777777">
        <w:trPr>
          <w:jc w:val="center"/>
        </w:trPr>
        <w:tc>
          <w:tcPr>
            <w:tcW w:w="544" w:type="pct"/>
            <w:vAlign w:val="center"/>
          </w:tcPr>
          <w:p w14:paraId="004FA29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4</w:t>
            </w:r>
          </w:p>
        </w:tc>
        <w:tc>
          <w:tcPr>
            <w:tcW w:w="1000" w:type="pct"/>
            <w:vAlign w:val="center"/>
          </w:tcPr>
          <w:p w14:paraId="0A1C5ED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王自奎</w:t>
            </w:r>
          </w:p>
        </w:tc>
        <w:tc>
          <w:tcPr>
            <w:tcW w:w="612" w:type="pct"/>
            <w:vAlign w:val="center"/>
          </w:tcPr>
          <w:p w14:paraId="7D6FCAA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44BE61BE"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56B8951B"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兰州大学</w:t>
            </w:r>
          </w:p>
        </w:tc>
      </w:tr>
      <w:tr w:rsidR="00547D89" w14:paraId="3D12F49B" w14:textId="77777777">
        <w:trPr>
          <w:jc w:val="center"/>
        </w:trPr>
        <w:tc>
          <w:tcPr>
            <w:tcW w:w="544" w:type="pct"/>
            <w:vAlign w:val="center"/>
          </w:tcPr>
          <w:p w14:paraId="7D179EBD"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5</w:t>
            </w:r>
          </w:p>
        </w:tc>
        <w:tc>
          <w:tcPr>
            <w:tcW w:w="1000" w:type="pct"/>
            <w:vAlign w:val="center"/>
          </w:tcPr>
          <w:p w14:paraId="0E31A11E"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杨宪龙</w:t>
            </w:r>
          </w:p>
        </w:tc>
        <w:tc>
          <w:tcPr>
            <w:tcW w:w="612" w:type="pct"/>
            <w:vAlign w:val="center"/>
          </w:tcPr>
          <w:p w14:paraId="20FEA809"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64811438"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46F195F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兰州大学</w:t>
            </w:r>
          </w:p>
        </w:tc>
      </w:tr>
      <w:tr w:rsidR="00547D89" w14:paraId="3996B009" w14:textId="77777777">
        <w:trPr>
          <w:jc w:val="center"/>
        </w:trPr>
        <w:tc>
          <w:tcPr>
            <w:tcW w:w="544" w:type="pct"/>
            <w:vAlign w:val="center"/>
          </w:tcPr>
          <w:p w14:paraId="1B3EA9E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6</w:t>
            </w:r>
          </w:p>
        </w:tc>
        <w:tc>
          <w:tcPr>
            <w:tcW w:w="1000" w:type="pct"/>
            <w:vAlign w:val="center"/>
          </w:tcPr>
          <w:p w14:paraId="4E09340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张前兵</w:t>
            </w:r>
          </w:p>
        </w:tc>
        <w:tc>
          <w:tcPr>
            <w:tcW w:w="612" w:type="pct"/>
            <w:vAlign w:val="center"/>
          </w:tcPr>
          <w:p w14:paraId="521E997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7AF2FDD0"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5700179C"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石河子大学</w:t>
            </w:r>
          </w:p>
        </w:tc>
      </w:tr>
      <w:tr w:rsidR="00547D89" w14:paraId="68C2C8B7" w14:textId="77777777">
        <w:trPr>
          <w:jc w:val="center"/>
        </w:trPr>
        <w:tc>
          <w:tcPr>
            <w:tcW w:w="544" w:type="pct"/>
            <w:vAlign w:val="center"/>
          </w:tcPr>
          <w:p w14:paraId="64EC267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7</w:t>
            </w:r>
          </w:p>
        </w:tc>
        <w:tc>
          <w:tcPr>
            <w:tcW w:w="1000" w:type="pct"/>
            <w:vAlign w:val="center"/>
          </w:tcPr>
          <w:p w14:paraId="528D150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高英志</w:t>
            </w:r>
          </w:p>
        </w:tc>
        <w:tc>
          <w:tcPr>
            <w:tcW w:w="612" w:type="pct"/>
            <w:vAlign w:val="center"/>
          </w:tcPr>
          <w:p w14:paraId="096C66F1"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1EB5E44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教授</w:t>
            </w:r>
          </w:p>
        </w:tc>
        <w:tc>
          <w:tcPr>
            <w:tcW w:w="1744" w:type="pct"/>
            <w:vAlign w:val="center"/>
          </w:tcPr>
          <w:p w14:paraId="4303182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东北师范大学</w:t>
            </w:r>
          </w:p>
        </w:tc>
      </w:tr>
      <w:tr w:rsidR="00547D89" w14:paraId="3E6FC5AD" w14:textId="77777777">
        <w:trPr>
          <w:jc w:val="center"/>
        </w:trPr>
        <w:tc>
          <w:tcPr>
            <w:tcW w:w="544" w:type="pct"/>
            <w:vAlign w:val="center"/>
          </w:tcPr>
          <w:p w14:paraId="139AFCE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8</w:t>
            </w:r>
          </w:p>
        </w:tc>
        <w:tc>
          <w:tcPr>
            <w:tcW w:w="1000" w:type="pct"/>
            <w:vAlign w:val="center"/>
          </w:tcPr>
          <w:p w14:paraId="3BE6183E"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刘美君</w:t>
            </w:r>
          </w:p>
        </w:tc>
        <w:tc>
          <w:tcPr>
            <w:tcW w:w="612" w:type="pct"/>
            <w:vAlign w:val="center"/>
          </w:tcPr>
          <w:p w14:paraId="053CDDF1"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0B1B0AB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2777EA99"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547D89" w14:paraId="4373EC12" w14:textId="77777777">
        <w:trPr>
          <w:jc w:val="center"/>
        </w:trPr>
        <w:tc>
          <w:tcPr>
            <w:tcW w:w="544" w:type="pct"/>
            <w:vAlign w:val="center"/>
          </w:tcPr>
          <w:p w14:paraId="60FF4C5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9</w:t>
            </w:r>
          </w:p>
        </w:tc>
        <w:tc>
          <w:tcPr>
            <w:tcW w:w="1000" w:type="pct"/>
            <w:vAlign w:val="center"/>
          </w:tcPr>
          <w:p w14:paraId="3D21C023"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王</w:t>
            </w:r>
            <w:r>
              <w:rPr>
                <w:rFonts w:ascii="Times New Roman" w:eastAsia="宋体" w:hAnsi="Times New Roman" w:cs="Times New Roman" w:hint="eastAsia"/>
                <w:color w:val="000000"/>
                <w:kern w:val="0"/>
                <w:sz w:val="22"/>
                <w:szCs w:val="22"/>
                <w:lang w:bidi="ar"/>
              </w:rPr>
              <w:t xml:space="preserve">  </w:t>
            </w:r>
            <w:r>
              <w:rPr>
                <w:rFonts w:ascii="Times New Roman" w:eastAsia="宋体" w:hAnsi="Times New Roman" w:cs="Times New Roman" w:hint="eastAsia"/>
                <w:color w:val="000000"/>
                <w:kern w:val="0"/>
                <w:sz w:val="22"/>
                <w:szCs w:val="22"/>
                <w:lang w:bidi="ar"/>
              </w:rPr>
              <w:t>岚</w:t>
            </w:r>
          </w:p>
        </w:tc>
        <w:tc>
          <w:tcPr>
            <w:tcW w:w="612" w:type="pct"/>
            <w:vAlign w:val="center"/>
          </w:tcPr>
          <w:p w14:paraId="52D4E09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女</w:t>
            </w:r>
          </w:p>
        </w:tc>
        <w:tc>
          <w:tcPr>
            <w:tcW w:w="1099" w:type="pct"/>
            <w:vAlign w:val="center"/>
          </w:tcPr>
          <w:p w14:paraId="4BB8236B"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7233ACAA"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547D89" w14:paraId="1C7F1BCA" w14:textId="77777777">
        <w:trPr>
          <w:jc w:val="center"/>
        </w:trPr>
        <w:tc>
          <w:tcPr>
            <w:tcW w:w="544" w:type="pct"/>
            <w:vAlign w:val="center"/>
          </w:tcPr>
          <w:p w14:paraId="5134412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10</w:t>
            </w:r>
          </w:p>
        </w:tc>
        <w:tc>
          <w:tcPr>
            <w:tcW w:w="1000" w:type="pct"/>
            <w:vAlign w:val="center"/>
          </w:tcPr>
          <w:p w14:paraId="5CB58F53"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才</w:t>
            </w:r>
            <w:r>
              <w:rPr>
                <w:rFonts w:ascii="Times New Roman" w:eastAsia="宋体" w:hAnsi="Times New Roman" w:cs="Times New Roman" w:hint="eastAsia"/>
                <w:color w:val="000000"/>
                <w:kern w:val="0"/>
                <w:sz w:val="22"/>
                <w:szCs w:val="22"/>
                <w:lang w:bidi="ar"/>
              </w:rPr>
              <w:t xml:space="preserve">  </w:t>
            </w:r>
            <w:r>
              <w:rPr>
                <w:rFonts w:ascii="Times New Roman" w:eastAsia="宋体" w:hAnsi="Times New Roman" w:cs="Times New Roman" w:hint="eastAsia"/>
                <w:color w:val="000000"/>
                <w:kern w:val="0"/>
                <w:sz w:val="22"/>
                <w:szCs w:val="22"/>
                <w:lang w:bidi="ar"/>
              </w:rPr>
              <w:t>璐</w:t>
            </w:r>
          </w:p>
        </w:tc>
        <w:tc>
          <w:tcPr>
            <w:tcW w:w="612" w:type="pct"/>
            <w:vAlign w:val="center"/>
          </w:tcPr>
          <w:p w14:paraId="3C484888"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3C135A08"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副教授</w:t>
            </w:r>
          </w:p>
        </w:tc>
        <w:tc>
          <w:tcPr>
            <w:tcW w:w="1744" w:type="pct"/>
            <w:vAlign w:val="center"/>
          </w:tcPr>
          <w:p w14:paraId="4D71A97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新疆农业大学</w:t>
            </w:r>
          </w:p>
        </w:tc>
      </w:tr>
      <w:tr w:rsidR="00547D89" w14:paraId="7F3DEDFC" w14:textId="77777777">
        <w:trPr>
          <w:jc w:val="center"/>
        </w:trPr>
        <w:tc>
          <w:tcPr>
            <w:tcW w:w="544" w:type="pct"/>
            <w:vAlign w:val="center"/>
          </w:tcPr>
          <w:p w14:paraId="5359DAE4"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11</w:t>
            </w:r>
          </w:p>
        </w:tc>
        <w:tc>
          <w:tcPr>
            <w:tcW w:w="1000" w:type="pct"/>
            <w:vAlign w:val="center"/>
          </w:tcPr>
          <w:p w14:paraId="392F33B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粱维维</w:t>
            </w:r>
          </w:p>
        </w:tc>
        <w:tc>
          <w:tcPr>
            <w:tcW w:w="612" w:type="pct"/>
            <w:vAlign w:val="center"/>
          </w:tcPr>
          <w:p w14:paraId="62E0F4D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女</w:t>
            </w:r>
          </w:p>
        </w:tc>
        <w:tc>
          <w:tcPr>
            <w:tcW w:w="1099" w:type="pct"/>
            <w:vAlign w:val="center"/>
          </w:tcPr>
          <w:p w14:paraId="6B1D966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副研究员</w:t>
            </w:r>
          </w:p>
        </w:tc>
        <w:tc>
          <w:tcPr>
            <w:tcW w:w="1744" w:type="pct"/>
            <w:vAlign w:val="center"/>
          </w:tcPr>
          <w:p w14:paraId="691FAD08"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新疆畜牧科学院</w:t>
            </w:r>
          </w:p>
        </w:tc>
      </w:tr>
      <w:tr w:rsidR="00547D89" w14:paraId="333C0CAC" w14:textId="77777777">
        <w:trPr>
          <w:jc w:val="center"/>
        </w:trPr>
        <w:tc>
          <w:tcPr>
            <w:tcW w:w="544" w:type="pct"/>
            <w:vAlign w:val="center"/>
          </w:tcPr>
          <w:p w14:paraId="05DFD3D6"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12</w:t>
            </w:r>
          </w:p>
        </w:tc>
        <w:tc>
          <w:tcPr>
            <w:tcW w:w="1000" w:type="pct"/>
            <w:vAlign w:val="center"/>
          </w:tcPr>
          <w:p w14:paraId="76CE72C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陈金锋</w:t>
            </w:r>
          </w:p>
        </w:tc>
        <w:tc>
          <w:tcPr>
            <w:tcW w:w="612" w:type="pct"/>
            <w:vAlign w:val="center"/>
          </w:tcPr>
          <w:p w14:paraId="691766A2"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男</w:t>
            </w:r>
          </w:p>
        </w:tc>
        <w:tc>
          <w:tcPr>
            <w:tcW w:w="1099" w:type="pct"/>
            <w:vAlign w:val="center"/>
          </w:tcPr>
          <w:p w14:paraId="41C9435F"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研究院</w:t>
            </w:r>
          </w:p>
        </w:tc>
        <w:tc>
          <w:tcPr>
            <w:tcW w:w="1744" w:type="pct"/>
            <w:vAlign w:val="center"/>
          </w:tcPr>
          <w:p w14:paraId="612A6A47" w14:textId="77777777" w:rsidR="00547D89" w:rsidRDefault="00000000">
            <w:pPr>
              <w:widowControl/>
              <w:spacing w:line="360" w:lineRule="exact"/>
              <w:jc w:val="center"/>
              <w:rPr>
                <w:rFonts w:ascii="Times New Roman" w:eastAsia="宋体" w:hAnsi="Times New Roman" w:cs="Times New Roman"/>
                <w:color w:val="000000"/>
                <w:kern w:val="0"/>
                <w:sz w:val="22"/>
                <w:szCs w:val="22"/>
                <w:lang w:bidi="ar"/>
              </w:rPr>
            </w:pPr>
            <w:r>
              <w:rPr>
                <w:rFonts w:ascii="Times New Roman" w:eastAsia="宋体" w:hAnsi="Times New Roman" w:cs="Times New Roman" w:hint="eastAsia"/>
                <w:color w:val="000000"/>
                <w:kern w:val="0"/>
                <w:sz w:val="22"/>
                <w:szCs w:val="22"/>
                <w:lang w:bidi="ar"/>
              </w:rPr>
              <w:t>中国科学院动物研究所</w:t>
            </w:r>
          </w:p>
        </w:tc>
      </w:tr>
    </w:tbl>
    <w:p w14:paraId="21BEE506"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hint="eastAsia"/>
          <w:color w:val="000000"/>
          <w:kern w:val="0"/>
          <w:sz w:val="28"/>
          <w:szCs w:val="28"/>
          <w:lang w:bidi="ar"/>
        </w:rPr>
        <w:t>）主要分工</w:t>
      </w:r>
    </w:p>
    <w:p w14:paraId="3364D60C"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青贮玉米与甜高粱间作生产技术规程》由新疆农业大学、兰州大学、西安理工大学、新疆畜牧科学院、东北师范大学、中国科学院动物研究所等单位共同承担编制。颜安，新疆农业大学教授，作为项目核心负责人，负责标准的整体设计、技术路线规划、全程组织协调及各阶段文稿的最终审定。谢开云，新疆农业大学副教授，主要负责播期试验、施肥试验及数据处理分析，各阶段文稿的汇总整理。王自奎、杨宪龙主要负责田间试验方案的设计与实施，主要负责间作配置模式核心章节技术内容。宁松瑞和张前兵主要负责田间试验方案的设计与实施，主要负责间作配置模式核心章节技术内容。刘美君、王岚、才璐、粱维维，主要负责品种选择、播种、田间管理等章节的起草与数据支撑。高英志教授和陈金锋研究院，主要</w:t>
      </w:r>
      <w:r>
        <w:rPr>
          <w:rFonts w:ascii="Times New Roman" w:eastAsia="宋体" w:hAnsi="Times New Roman" w:cs="Times New Roman"/>
          <w:color w:val="000000"/>
          <w:kern w:val="0"/>
          <w:sz w:val="28"/>
          <w:szCs w:val="28"/>
          <w:lang w:bidi="ar"/>
        </w:rPr>
        <w:t>承担了</w:t>
      </w:r>
      <w:r>
        <w:rPr>
          <w:rFonts w:ascii="Times New Roman" w:eastAsia="宋体" w:hAnsi="Times New Roman" w:cs="Times New Roman" w:hint="eastAsia"/>
          <w:color w:val="000000"/>
          <w:kern w:val="0"/>
          <w:sz w:val="28"/>
          <w:szCs w:val="28"/>
          <w:lang w:bidi="ar"/>
        </w:rPr>
        <w:t>数据审核和文稿的最终审定</w:t>
      </w:r>
      <w:r>
        <w:rPr>
          <w:rFonts w:ascii="Times New Roman" w:eastAsia="宋体" w:hAnsi="Times New Roman" w:cs="Times New Roman"/>
          <w:color w:val="000000"/>
          <w:kern w:val="0"/>
          <w:sz w:val="28"/>
          <w:szCs w:val="28"/>
          <w:lang w:bidi="ar"/>
        </w:rPr>
        <w:t>。</w:t>
      </w:r>
    </w:p>
    <w:p w14:paraId="3E744D0C" w14:textId="77777777" w:rsidR="00547D89" w:rsidRDefault="00000000">
      <w:pPr>
        <w:pStyle w:val="2"/>
        <w:numPr>
          <w:ilvl w:val="0"/>
          <w:numId w:val="5"/>
        </w:numPr>
        <w:spacing w:before="140" w:after="20" w:line="240" w:lineRule="auto"/>
        <w:rPr>
          <w:rFonts w:ascii="方正楷体_GB2312" w:eastAsia="方正楷体_GB2312" w:hAnsi="方正楷体_GB2312" w:cs="方正楷体_GB2312" w:hint="eastAsia"/>
          <w:bCs/>
          <w:sz w:val="28"/>
          <w:szCs w:val="28"/>
        </w:rPr>
      </w:pPr>
      <w:bookmarkStart w:id="9" w:name="_Toc32315"/>
      <w:r>
        <w:rPr>
          <w:rFonts w:ascii="方正楷体_GB2312" w:eastAsia="方正楷体_GB2312" w:hAnsi="方正楷体_GB2312" w:cs="方正楷体_GB2312" w:hint="eastAsia"/>
          <w:bCs/>
          <w:sz w:val="28"/>
          <w:szCs w:val="28"/>
        </w:rPr>
        <w:t>主要起草过程</w:t>
      </w:r>
      <w:bookmarkEnd w:id="9"/>
    </w:p>
    <w:p w14:paraId="0EBC922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标准起草工作自</w:t>
      </w:r>
      <w:r>
        <w:rPr>
          <w:rFonts w:ascii="Times New Roman" w:eastAsia="宋体" w:hAnsi="Times New Roman" w:cs="Times New Roman"/>
          <w:color w:val="000000"/>
          <w:kern w:val="0"/>
          <w:sz w:val="28"/>
          <w:szCs w:val="28"/>
          <w:lang w:bidi="ar"/>
        </w:rPr>
        <w:t>202</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color w:val="000000"/>
          <w:kern w:val="0"/>
          <w:sz w:val="28"/>
          <w:szCs w:val="28"/>
          <w:lang w:bidi="ar"/>
        </w:rPr>
        <w:t>年启动，主要过程如下：</w:t>
      </w:r>
    </w:p>
    <w:p w14:paraId="73400FB3"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1</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前期调研（</w:t>
      </w:r>
      <w:r>
        <w:rPr>
          <w:rFonts w:ascii="Times New Roman" w:eastAsia="宋体" w:hAnsi="Times New Roman" w:cs="Times New Roman"/>
          <w:b/>
          <w:bCs/>
          <w:color w:val="000000"/>
          <w:kern w:val="0"/>
          <w:sz w:val="28"/>
          <w:szCs w:val="28"/>
          <w:lang w:bidi="ar"/>
        </w:rPr>
        <w:t>202</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9</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color w:val="000000"/>
          <w:kern w:val="0"/>
          <w:sz w:val="28"/>
          <w:szCs w:val="28"/>
          <w:lang w:bidi="ar"/>
        </w:rPr>
        <w:t>：起草组系统收集、整理了国内外玉米间作相关研究成果与技术规范，并对新疆</w:t>
      </w:r>
      <w:r>
        <w:rPr>
          <w:rFonts w:ascii="Times New Roman" w:eastAsia="宋体" w:hAnsi="Times New Roman" w:cs="Times New Roman" w:hint="eastAsia"/>
          <w:color w:val="000000"/>
          <w:kern w:val="0"/>
          <w:sz w:val="28"/>
          <w:szCs w:val="28"/>
          <w:lang w:bidi="ar"/>
        </w:rPr>
        <w:t>青贮</w:t>
      </w:r>
      <w:r>
        <w:rPr>
          <w:rFonts w:ascii="Times New Roman" w:eastAsia="宋体" w:hAnsi="Times New Roman" w:cs="Times New Roman"/>
          <w:color w:val="000000"/>
          <w:kern w:val="0"/>
          <w:sz w:val="28"/>
          <w:szCs w:val="28"/>
          <w:lang w:bidi="ar"/>
        </w:rPr>
        <w:t>玉米主要产区的生产现状、技术需求及现有问题进行了深入调研，明确了标准制定的技术框架与核心内容。</w:t>
      </w:r>
    </w:p>
    <w:p w14:paraId="7BA739F0"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试验验证与数据积累（</w:t>
      </w:r>
      <w:r>
        <w:rPr>
          <w:rFonts w:ascii="Times New Roman" w:eastAsia="宋体" w:hAnsi="Times New Roman" w:cs="Times New Roman"/>
          <w:b/>
          <w:bCs/>
          <w:color w:val="000000"/>
          <w:kern w:val="0"/>
          <w:sz w:val="28"/>
          <w:szCs w:val="28"/>
          <w:lang w:bidi="ar"/>
        </w:rPr>
        <w:t>2023-202</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color w:val="000000"/>
          <w:kern w:val="0"/>
          <w:sz w:val="28"/>
          <w:szCs w:val="28"/>
          <w:lang w:bidi="ar"/>
        </w:rPr>
        <w:t>各协作单位在新疆乌鲁木齐、策勒、洛浦、巴楚等地设立了</w:t>
      </w:r>
      <w:r>
        <w:rPr>
          <w:rFonts w:ascii="Times New Roman" w:eastAsia="宋体" w:hAnsi="Times New Roman" w:cs="Times New Roman"/>
          <w:color w:val="000000"/>
          <w:kern w:val="0"/>
          <w:sz w:val="28"/>
          <w:szCs w:val="28"/>
          <w:lang w:bidi="ar"/>
        </w:rPr>
        <w:t>6</w:t>
      </w:r>
      <w:r>
        <w:rPr>
          <w:rFonts w:ascii="Times New Roman" w:eastAsia="宋体" w:hAnsi="Times New Roman" w:cs="Times New Roman"/>
          <w:color w:val="000000"/>
          <w:kern w:val="0"/>
          <w:sz w:val="28"/>
          <w:szCs w:val="28"/>
          <w:lang w:bidi="ar"/>
        </w:rPr>
        <w:t>个核心试验点，围绕间作配置模式、播期、密度、除草剂筛选等关键技术开展了连续两年的田间试验与数据采集，为本标准所有核心技术参数的确定提供了试验依据。</w:t>
      </w:r>
    </w:p>
    <w:p w14:paraId="5966AC63"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初稿起草与内部讨论（</w:t>
      </w:r>
      <w:r>
        <w:rPr>
          <w:rFonts w:ascii="Times New Roman" w:eastAsia="宋体" w:hAnsi="Times New Roman" w:cs="Times New Roman"/>
          <w:b/>
          <w:bCs/>
          <w:color w:val="000000"/>
          <w:kern w:val="0"/>
          <w:sz w:val="28"/>
          <w:szCs w:val="28"/>
          <w:lang w:bidi="ar"/>
        </w:rPr>
        <w:t>2024</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12</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color w:val="000000"/>
          <w:kern w:val="0"/>
          <w:sz w:val="28"/>
          <w:szCs w:val="28"/>
          <w:lang w:bidi="ar"/>
        </w:rPr>
        <w:t>：在集成分析试验数据和生产实践的基础上，由新疆农业大学执笔形成了标准草案初稿。起草组内部通过多次线上、线下会议对草案的结构、技术内容和表述进行了反复讨论与修改。</w:t>
      </w:r>
    </w:p>
    <w:p w14:paraId="52F04A13"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4</w:t>
      </w: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b/>
          <w:bCs/>
          <w:color w:val="000000"/>
          <w:kern w:val="0"/>
          <w:sz w:val="28"/>
          <w:szCs w:val="28"/>
          <w:lang w:bidi="ar"/>
        </w:rPr>
        <w:t>征求意见与修改完善（</w:t>
      </w:r>
      <w:r>
        <w:rPr>
          <w:rFonts w:ascii="Times New Roman" w:eastAsia="宋体" w:hAnsi="Times New Roman" w:cs="Times New Roman"/>
          <w:b/>
          <w:bCs/>
          <w:color w:val="000000"/>
          <w:kern w:val="0"/>
          <w:sz w:val="28"/>
          <w:szCs w:val="28"/>
          <w:lang w:bidi="ar"/>
        </w:rPr>
        <w:t>202</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b/>
          <w:bCs/>
          <w:color w:val="000000"/>
          <w:kern w:val="0"/>
          <w:sz w:val="28"/>
          <w:szCs w:val="28"/>
          <w:lang w:bidi="ar"/>
        </w:rPr>
        <w:t>年</w:t>
      </w:r>
      <w:r>
        <w:rPr>
          <w:rFonts w:ascii="Times New Roman" w:eastAsia="宋体" w:hAnsi="Times New Roman" w:cs="Times New Roman" w:hint="eastAsia"/>
          <w:b/>
          <w:bCs/>
          <w:color w:val="000000"/>
          <w:kern w:val="0"/>
          <w:sz w:val="28"/>
          <w:szCs w:val="28"/>
          <w:lang w:bidi="ar"/>
        </w:rPr>
        <w:t>3</w:t>
      </w:r>
      <w:r>
        <w:rPr>
          <w:rFonts w:ascii="Times New Roman" w:eastAsia="宋体" w:hAnsi="Times New Roman" w:cs="Times New Roman"/>
          <w:b/>
          <w:bCs/>
          <w:color w:val="000000"/>
          <w:kern w:val="0"/>
          <w:sz w:val="28"/>
          <w:szCs w:val="28"/>
          <w:lang w:bidi="ar"/>
        </w:rPr>
        <w:t>月</w:t>
      </w:r>
      <w:r>
        <w:rPr>
          <w:rFonts w:ascii="Times New Roman" w:eastAsia="宋体" w:hAnsi="Times New Roman" w:cs="Times New Roman" w:hint="eastAsia"/>
          <w:b/>
          <w:bCs/>
          <w:color w:val="000000"/>
          <w:kern w:val="0"/>
          <w:sz w:val="28"/>
          <w:szCs w:val="28"/>
          <w:lang w:bidi="ar"/>
        </w:rPr>
        <w:t>-5</w:t>
      </w:r>
      <w:r>
        <w:rPr>
          <w:rFonts w:ascii="Times New Roman" w:eastAsia="宋体" w:hAnsi="Times New Roman" w:cs="Times New Roman" w:hint="eastAsia"/>
          <w:b/>
          <w:bCs/>
          <w:color w:val="000000"/>
          <w:kern w:val="0"/>
          <w:sz w:val="28"/>
          <w:szCs w:val="28"/>
          <w:lang w:bidi="ar"/>
        </w:rPr>
        <w:t>月</w:t>
      </w:r>
      <w:r>
        <w:rPr>
          <w:rFonts w:ascii="Times New Roman" w:eastAsia="宋体" w:hAnsi="Times New Roman" w:cs="Times New Roman"/>
          <w:b/>
          <w:bCs/>
          <w:color w:val="000000"/>
          <w:kern w:val="0"/>
          <w:sz w:val="28"/>
          <w:szCs w:val="28"/>
          <w:lang w:bidi="ar"/>
        </w:rPr>
        <w:t>）</w:t>
      </w:r>
      <w:r>
        <w:rPr>
          <w:rFonts w:ascii="Times New Roman" w:eastAsia="宋体" w:hAnsi="Times New Roman" w:cs="Times New Roman"/>
          <w:color w:val="000000"/>
          <w:kern w:val="0"/>
          <w:sz w:val="28"/>
          <w:szCs w:val="28"/>
          <w:lang w:bidi="ar"/>
        </w:rPr>
        <w:t>：根据起草组内部共识形成征求意见稿，面向相关科研院所、技术推广单位、农业合作社及行业专家广泛征求意见。起草组对收集到的反馈意见进行了逐条分析和处理，并对标准文本进行了相应修改，形成</w:t>
      </w:r>
      <w:r>
        <w:rPr>
          <w:rFonts w:ascii="Times New Roman" w:eastAsia="宋体" w:hAnsi="Times New Roman" w:cs="Times New Roman" w:hint="eastAsia"/>
          <w:color w:val="000000"/>
          <w:kern w:val="0"/>
          <w:sz w:val="28"/>
          <w:szCs w:val="28"/>
          <w:lang w:bidi="ar"/>
        </w:rPr>
        <w:t>申请稿</w:t>
      </w:r>
      <w:r>
        <w:rPr>
          <w:rFonts w:ascii="Times New Roman" w:eastAsia="宋体" w:hAnsi="Times New Roman" w:cs="Times New Roman"/>
          <w:color w:val="000000"/>
          <w:kern w:val="0"/>
          <w:sz w:val="28"/>
          <w:szCs w:val="28"/>
          <w:lang w:bidi="ar"/>
        </w:rPr>
        <w:t>。</w:t>
      </w:r>
    </w:p>
    <w:p w14:paraId="67569B42" w14:textId="77777777" w:rsidR="00547D89" w:rsidRDefault="00000000">
      <w:pPr>
        <w:pStyle w:val="1"/>
        <w:numPr>
          <w:ilvl w:val="0"/>
          <w:numId w:val="2"/>
        </w:numPr>
        <w:spacing w:before="156" w:after="156"/>
        <w:rPr>
          <w:rFonts w:ascii="Times New Roman" w:hAnsi="Times New Roman"/>
          <w:b/>
          <w:bCs/>
          <w:sz w:val="32"/>
          <w:szCs w:val="96"/>
        </w:rPr>
      </w:pPr>
      <w:bookmarkStart w:id="10" w:name="_Toc17470"/>
      <w:r>
        <w:rPr>
          <w:rFonts w:ascii="Times New Roman" w:hAnsi="Times New Roman" w:hint="eastAsia"/>
          <w:b/>
          <w:bCs/>
          <w:sz w:val="32"/>
          <w:szCs w:val="96"/>
        </w:rPr>
        <w:t>标准编制原则和确定标准主要内容</w:t>
      </w:r>
      <w:bookmarkEnd w:id="10"/>
    </w:p>
    <w:p w14:paraId="008F2373" w14:textId="77777777" w:rsidR="00547D89" w:rsidRDefault="00000000">
      <w:pPr>
        <w:pStyle w:val="2"/>
        <w:numPr>
          <w:ilvl w:val="0"/>
          <w:numId w:val="6"/>
        </w:numPr>
        <w:spacing w:before="140" w:after="20" w:line="240" w:lineRule="auto"/>
        <w:rPr>
          <w:rFonts w:ascii="方正楷体_GB2312" w:eastAsia="方正楷体_GB2312" w:hAnsi="方正楷体_GB2312" w:cs="方正楷体_GB2312" w:hint="eastAsia"/>
          <w:bCs/>
          <w:sz w:val="28"/>
          <w:szCs w:val="28"/>
        </w:rPr>
      </w:pPr>
      <w:bookmarkStart w:id="11" w:name="_Toc17074"/>
      <w:r>
        <w:rPr>
          <w:rFonts w:ascii="方正楷体_GB2312" w:eastAsia="方正楷体_GB2312" w:hAnsi="方正楷体_GB2312" w:cs="方正楷体_GB2312" w:hint="eastAsia"/>
          <w:bCs/>
          <w:sz w:val="28"/>
          <w:szCs w:val="28"/>
        </w:rPr>
        <w:t>编写原则</w:t>
      </w:r>
      <w:bookmarkEnd w:id="11"/>
      <w:r>
        <w:rPr>
          <w:rFonts w:ascii="方正楷体_GB2312" w:eastAsia="方正楷体_GB2312" w:hAnsi="方正楷体_GB2312" w:cs="方正楷体_GB2312" w:hint="eastAsia"/>
          <w:bCs/>
          <w:sz w:val="28"/>
          <w:szCs w:val="28"/>
        </w:rPr>
        <w:t xml:space="preserve"> </w:t>
      </w:r>
    </w:p>
    <w:p w14:paraId="0E4F988B"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适应形势原则：本规程的制定积极响应了新疆维吾尔自治区政府“稳粮、优棉、强果、兴畜、促特色”的总体部署，并将服务“优质畜产品”这一自治区着力打造的“九大产业集群”作为核心目标。规程围绕新疆耕地和水资源紧张、优质饲草短缺的产业痛点，通过推广青贮玉米与饲用甜高粱间作这一高效生产模式，旨在提高单位土地面积的饲草产量和品质，为新疆现代畜牧业发展提供坚实的饲料保障，具有鲜明的时代性和战略必要性。</w:t>
      </w:r>
    </w:p>
    <w:p w14:paraId="1E9BD4F5"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w:t>
      </w:r>
      <w:r>
        <w:rPr>
          <w:rFonts w:ascii="Times New Roman" w:eastAsia="宋体" w:hAnsi="Times New Roman" w:cs="Times New Roman" w:hint="eastAsia"/>
          <w:color w:val="000000"/>
          <w:kern w:val="0"/>
          <w:sz w:val="28"/>
          <w:szCs w:val="28"/>
          <w:lang w:bidi="ar"/>
        </w:rPr>
        <w:t>）通用性原则：在起草过程中，规程充分引用和借鉴了如</w:t>
      </w:r>
      <w:r>
        <w:rPr>
          <w:rFonts w:ascii="Times New Roman" w:eastAsia="宋体" w:hAnsi="Times New Roman" w:cs="Times New Roman" w:hint="eastAsia"/>
          <w:color w:val="000000"/>
          <w:kern w:val="0"/>
          <w:sz w:val="28"/>
          <w:szCs w:val="28"/>
          <w:lang w:bidi="ar"/>
        </w:rPr>
        <w:t>GB 4404.1</w:t>
      </w:r>
      <w:r>
        <w:rPr>
          <w:rFonts w:ascii="Times New Roman" w:eastAsia="宋体" w:hAnsi="Times New Roman" w:cs="Times New Roman" w:hint="eastAsia"/>
          <w:color w:val="000000"/>
          <w:kern w:val="0"/>
          <w:sz w:val="28"/>
          <w:szCs w:val="28"/>
          <w:lang w:bidi="ar"/>
        </w:rPr>
        <w:t>（种子质量标准）、</w:t>
      </w:r>
      <w:r>
        <w:rPr>
          <w:rFonts w:ascii="Times New Roman" w:eastAsia="宋体" w:hAnsi="Times New Roman" w:cs="Times New Roman" w:hint="eastAsia"/>
          <w:color w:val="000000"/>
          <w:kern w:val="0"/>
          <w:sz w:val="28"/>
          <w:szCs w:val="28"/>
          <w:lang w:bidi="ar"/>
        </w:rPr>
        <w:t>GB/T 8321</w:t>
      </w:r>
      <w:r>
        <w:rPr>
          <w:rFonts w:ascii="Times New Roman" w:eastAsia="宋体" w:hAnsi="Times New Roman" w:cs="Times New Roman" w:hint="eastAsia"/>
          <w:color w:val="000000"/>
          <w:kern w:val="0"/>
          <w:sz w:val="28"/>
          <w:szCs w:val="28"/>
          <w:lang w:bidi="ar"/>
        </w:rPr>
        <w:t>（农药使用准则）等一系列国家和行业基础标准，同时参考了相似生态区的地方标准。确保了本规程建立在通用农业标准之上的专项技术规范，其技术参数适用于≥</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℃活动积温在</w:t>
      </w:r>
      <w:r>
        <w:rPr>
          <w:rFonts w:ascii="Times New Roman" w:eastAsia="宋体" w:hAnsi="Times New Roman" w:cs="Times New Roman" w:hint="eastAsia"/>
          <w:color w:val="000000"/>
          <w:kern w:val="0"/>
          <w:sz w:val="28"/>
          <w:szCs w:val="28"/>
          <w:lang w:bidi="ar"/>
        </w:rPr>
        <w:t>2600</w:t>
      </w:r>
      <w:r>
        <w:rPr>
          <w:rFonts w:ascii="Times New Roman" w:eastAsia="宋体" w:hAnsi="Times New Roman" w:cs="Times New Roman" w:hint="eastAsia"/>
          <w:color w:val="000000"/>
          <w:kern w:val="0"/>
          <w:sz w:val="28"/>
          <w:szCs w:val="28"/>
          <w:lang w:bidi="ar"/>
        </w:rPr>
        <w:t>℃以上、有灌溉条件的干旱绿洲区，并可为我国西北同类生态区提供重要技术参考，具备了跨区域的通用价值。</w:t>
      </w:r>
    </w:p>
    <w:p w14:paraId="5B456C6B"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auto"/>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）先进性原则：本规程集成了多项经过试验验证的先进技术，体现了技术的领先性：首创了青贮玉米与甜高粱的间作混收技术模式，克服了甜高粱单独青贮含水量过高的生产难题。所有关键技术参数（如</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行比模式下甜高粱行距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）均源于严格的单因素与多因素田间配置试验，实现了光、水、肥资源在时空上的优化配置。</w:t>
      </w:r>
      <w:r>
        <w:rPr>
          <w:rFonts w:ascii="Times New Roman" w:eastAsia="宋体" w:hAnsi="Times New Roman" w:cs="Times New Roman" w:hint="eastAsia"/>
          <w:color w:val="auto"/>
          <w:kern w:val="0"/>
          <w:sz w:val="28"/>
          <w:szCs w:val="28"/>
          <w:lang w:bidi="ar"/>
        </w:rPr>
        <w:t>该间作模式较单播青贮玉米和单播甜高粱生物量分别提高</w:t>
      </w:r>
      <w:r>
        <w:rPr>
          <w:rFonts w:ascii="Times New Roman" w:eastAsia="宋体" w:hAnsi="Times New Roman" w:cs="Times New Roman" w:hint="eastAsia"/>
          <w:color w:val="auto"/>
          <w:kern w:val="0"/>
          <w:sz w:val="28"/>
          <w:szCs w:val="28"/>
          <w:lang w:bidi="ar"/>
        </w:rPr>
        <w:t>22.8%</w:t>
      </w:r>
      <w:r>
        <w:rPr>
          <w:rFonts w:ascii="Times New Roman" w:eastAsia="宋体" w:hAnsi="Times New Roman" w:cs="Times New Roman" w:hint="eastAsia"/>
          <w:color w:val="auto"/>
          <w:kern w:val="0"/>
          <w:sz w:val="28"/>
          <w:szCs w:val="28"/>
          <w:lang w:bidi="ar"/>
        </w:rPr>
        <w:t>和</w:t>
      </w:r>
      <w:r>
        <w:rPr>
          <w:rFonts w:ascii="Times New Roman" w:eastAsia="宋体" w:hAnsi="Times New Roman" w:cs="Times New Roman" w:hint="eastAsia"/>
          <w:color w:val="auto"/>
          <w:kern w:val="0"/>
          <w:sz w:val="28"/>
          <w:szCs w:val="28"/>
          <w:lang w:bidi="ar"/>
        </w:rPr>
        <w:t>1.4%</w:t>
      </w:r>
      <w:r>
        <w:rPr>
          <w:rFonts w:ascii="Times New Roman" w:eastAsia="宋体" w:hAnsi="Times New Roman" w:cs="Times New Roman" w:hint="eastAsia"/>
          <w:color w:val="auto"/>
          <w:kern w:val="0"/>
          <w:sz w:val="28"/>
          <w:szCs w:val="28"/>
          <w:lang w:bidi="ar"/>
        </w:rPr>
        <w:t>。实现了生物量的显著提升，技术经济指标先进。</w:t>
      </w:r>
    </w:p>
    <w:p w14:paraId="115D29E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可操作性原则：本规程从选种、整地、播种到收获，各个环节的技术要求表述明确，操作步骤具体。推荐的除草剂配方、施肥方案、灌溉次数等均考虑了新疆当地的生产条件和农资成本，是“用得起、学得会、效果好”的实用技术。</w:t>
      </w:r>
      <w:r>
        <w:rPr>
          <w:rFonts w:ascii="Times New Roman" w:eastAsia="宋体" w:hAnsi="Times New Roman" w:cs="Times New Roman" w:hint="eastAsia"/>
          <w:color w:val="000000"/>
          <w:kern w:val="0"/>
          <w:sz w:val="28"/>
          <w:szCs w:val="28"/>
          <w:lang w:bidi="ar"/>
        </w:rPr>
        <w:t>2023-2024</w:t>
      </w:r>
      <w:r>
        <w:rPr>
          <w:rFonts w:ascii="Times New Roman" w:eastAsia="宋体" w:hAnsi="Times New Roman" w:cs="Times New Roman" w:hint="eastAsia"/>
          <w:color w:val="000000"/>
          <w:kern w:val="0"/>
          <w:sz w:val="28"/>
          <w:szCs w:val="28"/>
          <w:lang w:bidi="ar"/>
        </w:rPr>
        <w:t>年在乌鲁木齐、和田、喀什等地区累计示范推广</w:t>
      </w:r>
      <w:r>
        <w:rPr>
          <w:rFonts w:ascii="Times New Roman" w:eastAsia="宋体" w:hAnsi="Times New Roman" w:cs="Times New Roman" w:hint="eastAsia"/>
          <w:color w:val="000000"/>
          <w:kern w:val="0"/>
          <w:sz w:val="28"/>
          <w:szCs w:val="28"/>
          <w:lang w:bidi="ar"/>
        </w:rPr>
        <w:t>10000</w:t>
      </w:r>
      <w:r>
        <w:rPr>
          <w:rFonts w:ascii="Times New Roman" w:eastAsia="宋体" w:hAnsi="Times New Roman" w:cs="Times New Roman" w:hint="eastAsia"/>
          <w:color w:val="000000"/>
          <w:kern w:val="0"/>
          <w:sz w:val="28"/>
          <w:szCs w:val="28"/>
          <w:lang w:bidi="ar"/>
        </w:rPr>
        <w:t>余亩，平均亩产超过</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吨，增产增收效果稳定，充分证明了该规程在生产实践中的高度可行性。</w:t>
      </w:r>
    </w:p>
    <w:p w14:paraId="3E1DBA7E"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安全可靠原则：规程明确规定前茬作物未使用剧毒、高残留农药；推荐的农药品种和剂量严格遵循国家标准，防止面源污染。病虫害防治策略坚持“预防为主，综合防治”，注重农业措施（如精选种子、清除杂草）与化学防治相结合，确保饲草产品的质量安全。甜高粱本身具有耐贫瘠、耐盐碱的特性，该模式的推广有助于改良土壤、提高土地利用率，对农业生产环境是良性的、可持续的。</w:t>
      </w:r>
    </w:p>
    <w:p w14:paraId="15884E5D" w14:textId="77777777" w:rsidR="00547D89" w:rsidRDefault="00000000">
      <w:pPr>
        <w:pStyle w:val="2"/>
        <w:numPr>
          <w:ilvl w:val="0"/>
          <w:numId w:val="6"/>
        </w:numPr>
        <w:spacing w:before="140" w:after="20" w:line="240" w:lineRule="auto"/>
        <w:rPr>
          <w:rFonts w:ascii="方正楷体_GB2312" w:eastAsia="方正楷体_GB2312" w:hAnsi="方正楷体_GB2312" w:cs="方正楷体_GB2312" w:hint="eastAsia"/>
          <w:bCs/>
          <w:sz w:val="28"/>
          <w:szCs w:val="28"/>
        </w:rPr>
      </w:pPr>
      <w:bookmarkStart w:id="12" w:name="_Toc19274"/>
      <w:r>
        <w:rPr>
          <w:rFonts w:ascii="方正楷体_GB2312" w:eastAsia="方正楷体_GB2312" w:hAnsi="方正楷体_GB2312" w:cs="方正楷体_GB2312" w:hint="eastAsia"/>
          <w:bCs/>
          <w:sz w:val="28"/>
          <w:szCs w:val="28"/>
        </w:rPr>
        <w:t>制定依据</w:t>
      </w:r>
      <w:bookmarkEnd w:id="12"/>
    </w:p>
    <w:p w14:paraId="2933106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）技术指标确定依据</w:t>
      </w:r>
    </w:p>
    <w:p w14:paraId="2709890D"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本规程所有技术指标与参数的确定，均源于项目组在新疆干旱绿洲区进行的多年、多点、重复的田间试验与大规模生产示范所获得的数据支撑，确保了技术的先进性和创新性：</w:t>
      </w:r>
    </w:p>
    <w:p w14:paraId="33DB89B2"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①</w:t>
      </w:r>
      <w:r>
        <w:rPr>
          <w:rFonts w:ascii="Times New Roman" w:eastAsia="宋体" w:hAnsi="Times New Roman" w:cs="Times New Roman" w:hint="eastAsia"/>
          <w:color w:val="000000"/>
          <w:kern w:val="0"/>
          <w:sz w:val="28"/>
          <w:szCs w:val="28"/>
          <w:lang w:bidi="ar"/>
        </w:rPr>
        <w:t>品种选择指标：试验数据表明，要实现间作群体的高产和优质，必须充分利用垂直空间光和热资源，并保证两者能同期收获。</w:t>
      </w:r>
    </w:p>
    <w:p w14:paraId="083E4091"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甜高粱（株高≥</w:t>
      </w:r>
      <w:r>
        <w:rPr>
          <w:rFonts w:ascii="Times New Roman" w:eastAsia="宋体" w:hAnsi="Times New Roman" w:cs="Times New Roman" w:hint="eastAsia"/>
          <w:color w:val="000000"/>
          <w:kern w:val="0"/>
          <w:sz w:val="28"/>
          <w:szCs w:val="28"/>
          <w:lang w:bidi="ar"/>
        </w:rPr>
        <w:t>350cm</w:t>
      </w:r>
      <w:r>
        <w:rPr>
          <w:rFonts w:ascii="Times New Roman" w:eastAsia="宋体" w:hAnsi="Times New Roman" w:cs="Times New Roman" w:hint="eastAsia"/>
          <w:color w:val="000000"/>
          <w:kern w:val="0"/>
          <w:sz w:val="28"/>
          <w:szCs w:val="28"/>
          <w:lang w:bidi="ar"/>
        </w:rPr>
        <w:t>，晚熟）：选择高大、晚熟品种，旨在利用其强大的生物积累能力和高出物高度，形成间作体系的“高杆层”，最大化光合作用效率。试验证明，此类品种与青贮玉米间作时，其生物量优势能充分发挥，复合产量显著提升。</w:t>
      </w:r>
    </w:p>
    <w:p w14:paraId="573FB86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青贮玉米（株高≈</w:t>
      </w:r>
      <w:r>
        <w:rPr>
          <w:rFonts w:ascii="Times New Roman" w:eastAsia="宋体" w:hAnsi="Times New Roman" w:cs="Times New Roman" w:hint="eastAsia"/>
          <w:color w:val="000000"/>
          <w:kern w:val="0"/>
          <w:sz w:val="28"/>
          <w:szCs w:val="28"/>
          <w:lang w:bidi="ar"/>
        </w:rPr>
        <w:t>250cm</w:t>
      </w:r>
      <w:r>
        <w:rPr>
          <w:rFonts w:ascii="Times New Roman" w:eastAsia="宋体" w:hAnsi="Times New Roman" w:cs="Times New Roman" w:hint="eastAsia"/>
          <w:color w:val="000000"/>
          <w:kern w:val="0"/>
          <w:sz w:val="28"/>
          <w:szCs w:val="28"/>
          <w:lang w:bidi="ar"/>
        </w:rPr>
        <w:t>，半紧凑</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紧凑型）：选择株高适中、株型紧凑的品种，旨在形成间作体系的“中杆层”，既能有效利用甜高粱行间的光能，又避免了对甜高粱的过度荫蔽，维持群体通风透光性。此配置是经过多种株高组合试验后筛选出的最优结构。</w:t>
      </w:r>
    </w:p>
    <w:p w14:paraId="4292AE1F"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color w:val="000000"/>
          <w:kern w:val="0"/>
          <w:sz w:val="28"/>
          <w:szCs w:val="28"/>
          <w:lang w:bidi="ar"/>
        </w:rPr>
        <w:t>②</w:t>
      </w:r>
      <w:r>
        <w:rPr>
          <w:rFonts w:ascii="Times New Roman" w:eastAsia="宋体" w:hAnsi="Times New Roman" w:cs="Times New Roman" w:hint="eastAsia"/>
          <w:color w:val="000000"/>
          <w:kern w:val="0"/>
          <w:sz w:val="28"/>
          <w:szCs w:val="28"/>
          <w:lang w:bidi="ar"/>
        </w:rPr>
        <w:t>间作配置模式与密度：</w:t>
      </w:r>
      <w:r>
        <w:rPr>
          <w:rFonts w:ascii="Times New Roman" w:eastAsia="宋体" w:hAnsi="Times New Roman" w:cs="Times New Roman" w:hint="eastAsia"/>
          <w:color w:val="000000"/>
          <w:kern w:val="0"/>
          <w:sz w:val="28"/>
          <w:szCs w:val="28"/>
          <w:lang w:bidi="ar"/>
        </w:rPr>
        <w:t>2023-2024</w:t>
      </w:r>
      <w:r>
        <w:rPr>
          <w:rFonts w:ascii="Times New Roman" w:eastAsia="宋体" w:hAnsi="Times New Roman" w:cs="Times New Roman" w:hint="eastAsia"/>
          <w:color w:val="000000"/>
          <w:kern w:val="0"/>
          <w:sz w:val="28"/>
          <w:szCs w:val="28"/>
          <w:lang w:bidi="ar"/>
        </w:rPr>
        <w:t>年在全疆设立</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个点位进行间作模式行比与株行距优化配置试验。试验对比了青贮玉米与甜高粱</w:t>
      </w:r>
      <w:r>
        <w:rPr>
          <w:rFonts w:ascii="Times New Roman" w:eastAsia="宋体" w:hAnsi="Times New Roman" w:cs="Times New Roman" w:hint="eastAsia"/>
          <w:color w:val="000000"/>
          <w:kern w:val="0"/>
          <w:sz w:val="28"/>
          <w:szCs w:val="28"/>
          <w:lang w:bidi="ar"/>
        </w:rPr>
        <w:t>6:0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4:2</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2:4</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0:6</w:t>
      </w:r>
      <w:r>
        <w:rPr>
          <w:rFonts w:ascii="Times New Roman" w:eastAsia="宋体" w:hAnsi="Times New Roman" w:cs="Times New Roman" w:hint="eastAsia"/>
          <w:color w:val="000000"/>
          <w:kern w:val="0"/>
          <w:sz w:val="28"/>
          <w:szCs w:val="28"/>
          <w:lang w:bidi="ar"/>
        </w:rPr>
        <w:t>等六种间作模式，通过对比分析六种模式生长性状、产量和品质等数据，结果显示，</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行比模式在兼顾饲用甜高粱与青贮玉米产量、实现最高复合产值方面表现最优。该模式使两种作物处于相对均衡的竞争与互补关系中</w:t>
      </w:r>
      <w:r>
        <w:rPr>
          <w:rFonts w:ascii="Times New Roman" w:eastAsia="宋体" w:hAnsi="Times New Roman" w:cs="Times New Roman" w:hint="eastAsia"/>
          <w:color w:val="auto"/>
          <w:kern w:val="0"/>
          <w:sz w:val="28"/>
          <w:szCs w:val="28"/>
          <w:lang w:bidi="ar"/>
        </w:rPr>
        <w:t>，较单播青贮玉米和单播甜高粱生物量分别提高</w:t>
      </w:r>
      <w:r>
        <w:rPr>
          <w:rFonts w:ascii="Times New Roman" w:eastAsia="宋体" w:hAnsi="Times New Roman" w:cs="Times New Roman" w:hint="eastAsia"/>
          <w:color w:val="auto"/>
          <w:kern w:val="0"/>
          <w:sz w:val="28"/>
          <w:szCs w:val="28"/>
          <w:lang w:bidi="ar"/>
        </w:rPr>
        <w:t>22.8%</w:t>
      </w:r>
      <w:r>
        <w:rPr>
          <w:rFonts w:ascii="Times New Roman" w:eastAsia="宋体" w:hAnsi="Times New Roman" w:cs="Times New Roman" w:hint="eastAsia"/>
          <w:color w:val="auto"/>
          <w:kern w:val="0"/>
          <w:sz w:val="28"/>
          <w:szCs w:val="28"/>
          <w:lang w:bidi="ar"/>
        </w:rPr>
        <w:t>和</w:t>
      </w:r>
      <w:r>
        <w:rPr>
          <w:rFonts w:ascii="Times New Roman" w:eastAsia="宋体" w:hAnsi="Times New Roman" w:cs="Times New Roman" w:hint="eastAsia"/>
          <w:color w:val="auto"/>
          <w:kern w:val="0"/>
          <w:sz w:val="28"/>
          <w:szCs w:val="28"/>
          <w:lang w:bidi="ar"/>
        </w:rPr>
        <w:t>1.4%</w:t>
      </w:r>
      <w:r>
        <w:rPr>
          <w:rFonts w:ascii="Times New Roman" w:eastAsia="宋体" w:hAnsi="Times New Roman" w:cs="Times New Roman" w:hint="eastAsia"/>
          <w:color w:val="auto"/>
          <w:kern w:val="0"/>
          <w:sz w:val="28"/>
          <w:szCs w:val="28"/>
          <w:lang w:bidi="ar"/>
        </w:rPr>
        <w:t>。</w:t>
      </w:r>
    </w:p>
    <w:p w14:paraId="102EBF85"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③</w:t>
      </w:r>
      <w:r>
        <w:rPr>
          <w:rFonts w:ascii="Times New Roman" w:eastAsia="宋体" w:hAnsi="Times New Roman" w:cs="Times New Roman" w:hint="eastAsia"/>
          <w:color w:val="000000"/>
          <w:kern w:val="0"/>
          <w:sz w:val="28"/>
          <w:szCs w:val="28"/>
          <w:lang w:bidi="ar"/>
        </w:rPr>
        <w:t>密度与株行距：甜高粱（行距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，密度保持</w:t>
      </w:r>
      <w:r>
        <w:rPr>
          <w:rFonts w:ascii="Times New Roman" w:eastAsia="宋体" w:hAnsi="Times New Roman" w:cs="Times New Roman" w:hint="eastAsia"/>
          <w:color w:val="000000"/>
          <w:kern w:val="0"/>
          <w:sz w:val="28"/>
          <w:szCs w:val="28"/>
          <w:lang w:bidi="ar"/>
        </w:rPr>
        <w:t>2650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亩），是基于试验设置：行距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20cm</w:t>
      </w:r>
      <w:r>
        <w:rPr>
          <w:rFonts w:ascii="Times New Roman" w:eastAsia="宋体" w:hAnsi="Times New Roman" w:cs="Times New Roman" w:hint="eastAsia"/>
          <w:color w:val="000000"/>
          <w:kern w:val="0"/>
          <w:sz w:val="28"/>
          <w:szCs w:val="28"/>
          <w:lang w:bidi="ar"/>
        </w:rPr>
        <w:t>、行距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、行距</w:t>
      </w:r>
      <w:r>
        <w:rPr>
          <w:rFonts w:ascii="Times New Roman" w:eastAsia="宋体" w:hAnsi="Times New Roman" w:cs="Times New Roman" w:hint="eastAsia"/>
          <w:color w:val="000000"/>
          <w:kern w:val="0"/>
          <w:sz w:val="28"/>
          <w:szCs w:val="28"/>
          <w:lang w:bidi="ar"/>
        </w:rPr>
        <w:t>40cm/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、行距</w:t>
      </w:r>
      <w:r>
        <w:rPr>
          <w:rFonts w:ascii="Times New Roman" w:eastAsia="宋体" w:hAnsi="Times New Roman" w:cs="Times New Roman" w:hint="eastAsia"/>
          <w:color w:val="000000"/>
          <w:kern w:val="0"/>
          <w:sz w:val="28"/>
          <w:szCs w:val="28"/>
          <w:lang w:bidi="ar"/>
        </w:rPr>
        <w:t>40cm/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20cm</w:t>
      </w:r>
      <w:r>
        <w:rPr>
          <w:rFonts w:ascii="Times New Roman" w:eastAsia="宋体" w:hAnsi="Times New Roman" w:cs="Times New Roman" w:hint="eastAsia"/>
          <w:color w:val="000000"/>
          <w:kern w:val="0"/>
          <w:sz w:val="28"/>
          <w:szCs w:val="28"/>
          <w:lang w:bidi="ar"/>
        </w:rPr>
        <w:t>、行距</w:t>
      </w:r>
      <w:r>
        <w:rPr>
          <w:rFonts w:ascii="Times New Roman" w:eastAsia="宋体" w:hAnsi="Times New Roman" w:cs="Times New Roman" w:hint="eastAsia"/>
          <w:color w:val="000000"/>
          <w:kern w:val="0"/>
          <w:sz w:val="28"/>
          <w:szCs w:val="28"/>
          <w:lang w:bidi="ar"/>
        </w:rPr>
        <w:t>40cm/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的试验结果确定，为该作物在本地条件下的最适密度，能确保个体充分发育的同时，获得最高群体产量。青贮玉米（行距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，密度保持</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亩），该密度符合当地种植习惯，并通过间作试验验证，在此密度下青贮玉米能保持稳定的单株产量，与甜高粱共生良好。</w:t>
      </w:r>
    </w:p>
    <w:p w14:paraId="6C760623"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④</w:t>
      </w:r>
      <w:r>
        <w:rPr>
          <w:rFonts w:ascii="Times New Roman" w:eastAsia="宋体" w:hAnsi="Times New Roman" w:cs="Times New Roman" w:hint="eastAsia"/>
          <w:color w:val="000000"/>
          <w:kern w:val="0"/>
          <w:sz w:val="28"/>
          <w:szCs w:val="28"/>
          <w:lang w:bidi="ar"/>
        </w:rPr>
        <w:t>播种期确定：通过系统研究不同播期下作物的生育期与产量变化趋势。结果表明：播期越早，产量越高。据此确定了北疆地区</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15</w:t>
      </w:r>
      <w:r>
        <w:rPr>
          <w:rFonts w:ascii="Times New Roman" w:eastAsia="宋体" w:hAnsi="Times New Roman" w:cs="Times New Roman" w:hint="eastAsia"/>
          <w:color w:val="000000"/>
          <w:kern w:val="0"/>
          <w:sz w:val="28"/>
          <w:szCs w:val="28"/>
          <w:lang w:bidi="ar"/>
        </w:rPr>
        <w:t>日</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日、南疆地区</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月下旬</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月上旬为最佳播期窗口。此规定确保了作物能充分利用有效生长期，积累最多生物量，并规避后期低温等不利影响。</w:t>
      </w:r>
    </w:p>
    <w:p w14:paraId="06D66F18"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⑤</w:t>
      </w:r>
      <w:r>
        <w:rPr>
          <w:rFonts w:ascii="Times New Roman" w:eastAsia="宋体" w:hAnsi="Times New Roman" w:cs="Times New Roman" w:hint="eastAsia"/>
          <w:color w:val="000000"/>
          <w:kern w:val="0"/>
          <w:sz w:val="28"/>
          <w:szCs w:val="28"/>
          <w:lang w:bidi="ar"/>
        </w:rPr>
        <w:t>施肥参数：通过多年的施肥试验，确定了保证间作群体高产所需的养分总量及分配比例。规程中的施肥量表格（表</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）是集成了基肥、种肥、追肥的优化配比和用量结果。强调在拔节期追肥，是因此时期是作物生长速度最快、需肥量最大的临界期，此时施肥能最大效率地转化为生物量。</w:t>
      </w:r>
    </w:p>
    <w:p w14:paraId="6B70A14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⑥</w:t>
      </w:r>
      <w:r>
        <w:rPr>
          <w:rFonts w:ascii="Times New Roman" w:eastAsia="宋体" w:hAnsi="Times New Roman" w:cs="Times New Roman" w:hint="eastAsia"/>
          <w:color w:val="000000"/>
          <w:kern w:val="0"/>
          <w:sz w:val="28"/>
          <w:szCs w:val="28"/>
          <w:lang w:bidi="ar"/>
        </w:rPr>
        <w:t>病虫害防治参数：所列出的病虫害防治药剂及浓度（如针对玉米大小斑病、锈病、蚜虫、玉米螟等），均参照了国家农药合理使用准则（</w:t>
      </w:r>
      <w:r>
        <w:rPr>
          <w:rFonts w:ascii="Times New Roman" w:eastAsia="宋体" w:hAnsi="Times New Roman" w:cs="Times New Roman" w:hint="eastAsia"/>
          <w:color w:val="000000"/>
          <w:kern w:val="0"/>
          <w:sz w:val="28"/>
          <w:szCs w:val="28"/>
          <w:lang w:bidi="ar"/>
        </w:rPr>
        <w:t>GB/T 8321</w:t>
      </w:r>
      <w:r>
        <w:rPr>
          <w:rFonts w:ascii="Times New Roman" w:eastAsia="宋体" w:hAnsi="Times New Roman" w:cs="Times New Roman" w:hint="eastAsia"/>
          <w:color w:val="000000"/>
          <w:kern w:val="0"/>
          <w:sz w:val="28"/>
          <w:szCs w:val="28"/>
          <w:lang w:bidi="ar"/>
        </w:rPr>
        <w:t>）和本地相关作物生产技术规程，并在此基础上了进行了田间药效验证，确保防治效果与环境安全。</w:t>
      </w:r>
    </w:p>
    <w:p w14:paraId="5AE88F37"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宋体" w:eastAsia="宋体" w:hAnsi="宋体" w:cs="宋体" w:hint="eastAsia"/>
          <w:color w:val="000000"/>
          <w:kern w:val="0"/>
          <w:sz w:val="28"/>
          <w:szCs w:val="28"/>
          <w:lang w:bidi="ar"/>
        </w:rPr>
        <w:t>⑦</w:t>
      </w:r>
      <w:r>
        <w:rPr>
          <w:rFonts w:ascii="Times New Roman" w:eastAsia="宋体" w:hAnsi="Times New Roman" w:cs="Times New Roman" w:hint="eastAsia"/>
          <w:color w:val="000000"/>
          <w:kern w:val="0"/>
          <w:sz w:val="28"/>
          <w:szCs w:val="28"/>
          <w:lang w:bidi="ar"/>
        </w:rPr>
        <w:t>收获期指标：本规程提出的“根据青贮玉米的最佳收获期进行同时收获”，并建议甜高粱在“抽穗后乳熟前”收获，是基于水分平衡和青贮品质的关键考量。甜高粱生物量大但含水量常偏高，单独青贮易因水分过高而失败。青贮玉米在乳熟期至蜡熟初期含水量（约</w:t>
      </w:r>
      <w:r>
        <w:rPr>
          <w:rFonts w:ascii="Times New Roman" w:eastAsia="宋体" w:hAnsi="Times New Roman" w:cs="Times New Roman" w:hint="eastAsia"/>
          <w:color w:val="000000"/>
          <w:kern w:val="0"/>
          <w:sz w:val="28"/>
          <w:szCs w:val="28"/>
          <w:lang w:bidi="ar"/>
        </w:rPr>
        <w:t>65-75%</w:t>
      </w:r>
      <w:r>
        <w:rPr>
          <w:rFonts w:ascii="Times New Roman" w:eastAsia="宋体" w:hAnsi="Times New Roman" w:cs="Times New Roman" w:hint="eastAsia"/>
          <w:color w:val="000000"/>
          <w:kern w:val="0"/>
          <w:sz w:val="28"/>
          <w:szCs w:val="28"/>
          <w:lang w:bidi="ar"/>
        </w:rPr>
        <w:t>）最适宜青贮。将两者同期收获、混合青贮，甜高粱的高糖分和玉米的高淀粉互补，且甜高粱的含水量可被玉米的适宜含水量所平衡，从而克服了甜高粱单独青贮的难题，保证了最终青贮饲料的优质。</w:t>
      </w:r>
    </w:p>
    <w:p w14:paraId="26CB0A39"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b/>
          <w:bCs/>
          <w:color w:val="000000"/>
          <w:kern w:val="0"/>
          <w:sz w:val="28"/>
          <w:szCs w:val="28"/>
          <w:lang w:bidi="ar"/>
        </w:rPr>
      </w:pPr>
      <w:r>
        <w:rPr>
          <w:rFonts w:ascii="Times New Roman" w:eastAsia="宋体" w:hAnsi="Times New Roman" w:cs="Times New Roman" w:hint="eastAsia"/>
          <w:b/>
          <w:bCs/>
          <w:color w:val="000000"/>
          <w:kern w:val="0"/>
          <w:sz w:val="28"/>
          <w:szCs w:val="28"/>
          <w:lang w:bidi="ar"/>
        </w:rPr>
        <w:t>（</w:t>
      </w:r>
      <w:r>
        <w:rPr>
          <w:rFonts w:ascii="Times New Roman" w:eastAsia="宋体" w:hAnsi="Times New Roman" w:cs="Times New Roman" w:hint="eastAsia"/>
          <w:b/>
          <w:bCs/>
          <w:color w:val="000000"/>
          <w:kern w:val="0"/>
          <w:sz w:val="28"/>
          <w:szCs w:val="28"/>
          <w:lang w:bidi="ar"/>
        </w:rPr>
        <w:t>2</w:t>
      </w:r>
      <w:r>
        <w:rPr>
          <w:rFonts w:ascii="Times New Roman" w:eastAsia="宋体" w:hAnsi="Times New Roman" w:cs="Times New Roman" w:hint="eastAsia"/>
          <w:b/>
          <w:bCs/>
          <w:color w:val="000000"/>
          <w:kern w:val="0"/>
          <w:sz w:val="28"/>
          <w:szCs w:val="28"/>
          <w:lang w:bidi="ar"/>
        </w:rPr>
        <w:t>）与原有标准或实践的差异情况</w:t>
      </w:r>
    </w:p>
    <w:p w14:paraId="5653ECFF"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本规程为首次制定，属于填补空白性质。</w:t>
      </w:r>
      <w:r>
        <w:rPr>
          <w:rFonts w:ascii="Times New Roman" w:eastAsia="宋体" w:hAnsi="Times New Roman" w:cs="Times New Roman" w:hint="eastAsia"/>
          <w:color w:val="000000"/>
          <w:kern w:val="0"/>
          <w:sz w:val="28"/>
          <w:szCs w:val="28"/>
          <w:lang w:bidi="ar"/>
        </w:rPr>
        <w:t>因此，其差异主要体现在与传统单作种植模式的对比上：从青贮玉米或甜高粱的单一作物种植，转变为两种作物的复合间作系统。并非将两种作物的单作技术简单叠加，而是通过试验重新优化了行比配置、群体密度、播期及水肥管理等一整套专用于间作体系的技术参数。创新性地通过混收混贮策略，解决了甜高粱因含水量高难以单独成功青贮的技术难题，这是单作模式不曾涉及的关键技术环节。相较于单作，该规程具有显著且稳定的增产（约</w:t>
      </w:r>
      <w:r>
        <w:rPr>
          <w:rFonts w:ascii="Times New Roman" w:eastAsia="宋体" w:hAnsi="Times New Roman" w:cs="Times New Roman" w:hint="eastAsia"/>
          <w:color w:val="000000"/>
          <w:kern w:val="0"/>
          <w:sz w:val="28"/>
          <w:szCs w:val="28"/>
          <w:lang w:bidi="ar"/>
        </w:rPr>
        <w:t>22.8%</w:t>
      </w:r>
      <w:r>
        <w:rPr>
          <w:rFonts w:ascii="Times New Roman" w:eastAsia="宋体" w:hAnsi="Times New Roman" w:cs="Times New Roman" w:hint="eastAsia"/>
          <w:color w:val="000000"/>
          <w:kern w:val="0"/>
          <w:sz w:val="28"/>
          <w:szCs w:val="28"/>
          <w:lang w:bidi="ar"/>
        </w:rPr>
        <w:t>）和增收（每亩约</w:t>
      </w:r>
      <w:r>
        <w:rPr>
          <w:rFonts w:ascii="Times New Roman" w:eastAsia="宋体" w:hAnsi="Times New Roman" w:cs="Times New Roman" w:hint="eastAsia"/>
          <w:color w:val="000000"/>
          <w:kern w:val="0"/>
          <w:sz w:val="28"/>
          <w:szCs w:val="28"/>
          <w:lang w:bidi="ar"/>
        </w:rPr>
        <w:t>500</w:t>
      </w:r>
      <w:r>
        <w:rPr>
          <w:rFonts w:ascii="Times New Roman" w:eastAsia="宋体" w:hAnsi="Times New Roman" w:cs="Times New Roman" w:hint="eastAsia"/>
          <w:color w:val="000000"/>
          <w:kern w:val="0"/>
          <w:sz w:val="28"/>
          <w:szCs w:val="28"/>
          <w:lang w:bidi="ar"/>
        </w:rPr>
        <w:t>元）效果，这是与传统模式最核心的差异和优势。本规程中的所有技术内容，建立在严谨的科学研究与大规模生产实践验证的基础之上，数据详实，依据充分。它的制定与推广应用，将为新疆乃至类似生态区提供一项增产增效、资源高效利用的先进饲草生产技术规范</w:t>
      </w:r>
    </w:p>
    <w:p w14:paraId="6CB7C6A1" w14:textId="77777777" w:rsidR="00547D89" w:rsidRDefault="00000000">
      <w:pPr>
        <w:pStyle w:val="1"/>
        <w:numPr>
          <w:ilvl w:val="0"/>
          <w:numId w:val="2"/>
        </w:numPr>
        <w:spacing w:before="156" w:after="156"/>
        <w:rPr>
          <w:rFonts w:ascii="Times New Roman" w:hAnsi="Times New Roman"/>
          <w:b/>
          <w:bCs/>
          <w:sz w:val="32"/>
          <w:szCs w:val="96"/>
        </w:rPr>
      </w:pPr>
      <w:bookmarkStart w:id="13" w:name="_Toc1367"/>
      <w:r>
        <w:rPr>
          <w:rFonts w:ascii="Times New Roman" w:hAnsi="Times New Roman" w:hint="eastAsia"/>
          <w:b/>
          <w:bCs/>
          <w:sz w:val="32"/>
          <w:szCs w:val="96"/>
        </w:rPr>
        <w:t>试验验证</w:t>
      </w:r>
      <w:bookmarkEnd w:id="13"/>
    </w:p>
    <w:p w14:paraId="614C0014" w14:textId="77777777" w:rsidR="00547D89" w:rsidRDefault="00000000">
      <w:pPr>
        <w:pStyle w:val="2"/>
        <w:numPr>
          <w:ilvl w:val="0"/>
          <w:numId w:val="7"/>
        </w:numPr>
        <w:spacing w:before="140" w:after="20" w:line="240" w:lineRule="auto"/>
        <w:rPr>
          <w:rFonts w:ascii="方正楷体_GB2312" w:eastAsia="方正楷体_GB2312" w:hAnsi="方正楷体_GB2312" w:cs="方正楷体_GB2312" w:hint="eastAsia"/>
          <w:bCs/>
          <w:sz w:val="28"/>
          <w:szCs w:val="28"/>
        </w:rPr>
      </w:pPr>
      <w:bookmarkStart w:id="14" w:name="_Toc31910"/>
      <w:r>
        <w:rPr>
          <w:rFonts w:ascii="方正楷体_GB2312" w:eastAsia="方正楷体_GB2312" w:hAnsi="方正楷体_GB2312" w:cs="方正楷体_GB2312" w:hint="eastAsia"/>
          <w:bCs/>
          <w:sz w:val="28"/>
          <w:szCs w:val="28"/>
        </w:rPr>
        <w:t>田间株行配置模式筛选试验</w:t>
      </w:r>
      <w:bookmarkEnd w:id="14"/>
    </w:p>
    <w:p w14:paraId="3BABE731"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为探索青贮玉米与饲用甜高粱间作时的田间株行距的合理配置，从而获得青贮玉米与饲用甜高粱间作合理的密度，</w:t>
      </w:r>
      <w:r>
        <w:rPr>
          <w:rFonts w:ascii="Times New Roman" w:eastAsia="宋体" w:hAnsi="Times New Roman" w:cs="Times New Roman" w:hint="eastAsia"/>
          <w:color w:val="000000"/>
          <w:kern w:val="0"/>
          <w:sz w:val="28"/>
          <w:szCs w:val="28"/>
          <w:lang w:bidi="ar"/>
        </w:rPr>
        <w:t>2022</w:t>
      </w:r>
      <w:r>
        <w:rPr>
          <w:rFonts w:ascii="Times New Roman" w:eastAsia="宋体" w:hAnsi="Times New Roman" w:cs="Times New Roman" w:hint="eastAsia"/>
          <w:color w:val="000000"/>
          <w:kern w:val="0"/>
          <w:sz w:val="28"/>
          <w:szCs w:val="28"/>
          <w:lang w:bidi="ar"/>
        </w:rPr>
        <w:t>年</w:t>
      </w:r>
      <w:r>
        <w:rPr>
          <w:rFonts w:ascii="Times New Roman" w:eastAsia="宋体" w:hAnsi="Times New Roman" w:cs="Times New Roman" w:hint="eastAsia"/>
          <w:color w:val="000000"/>
          <w:kern w:val="0"/>
          <w:sz w:val="28"/>
          <w:szCs w:val="28"/>
          <w:lang w:bidi="ar"/>
        </w:rPr>
        <w:t>-2025</w:t>
      </w:r>
      <w:r>
        <w:rPr>
          <w:rFonts w:ascii="Times New Roman" w:eastAsia="宋体" w:hAnsi="Times New Roman" w:cs="Times New Roman" w:hint="eastAsia"/>
          <w:color w:val="000000"/>
          <w:kern w:val="0"/>
          <w:sz w:val="28"/>
          <w:szCs w:val="28"/>
          <w:lang w:bidi="ar"/>
        </w:rPr>
        <w:t>年设立了</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个点位的试验，从行比、行距和株距等进行优化配置的试验。通过不同行比试验选择优化行距模式为青贮玉米与饲用甜高粱间作为</w:t>
      </w:r>
      <w:r>
        <w:rPr>
          <w:rFonts w:ascii="Times New Roman" w:eastAsia="宋体" w:hAnsi="Times New Roman" w:cs="Times New Roman" w:hint="eastAsia"/>
          <w:color w:val="000000"/>
          <w:kern w:val="0"/>
          <w:sz w:val="28"/>
          <w:szCs w:val="28"/>
          <w:lang w:bidi="ar"/>
        </w:rPr>
        <w:t>6:0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4:2</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2:4</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0:6</w:t>
      </w:r>
      <w:r>
        <w:rPr>
          <w:rFonts w:ascii="Times New Roman" w:eastAsia="宋体" w:hAnsi="Times New Roman" w:cs="Times New Roman" w:hint="eastAsia"/>
          <w:color w:val="000000"/>
          <w:kern w:val="0"/>
          <w:sz w:val="28"/>
          <w:szCs w:val="28"/>
          <w:lang w:bidi="ar"/>
        </w:rPr>
        <w:t>六种间作模式下进行株行距配置试验，从中选出饲用甜高梁产量、青贮玉米产量和复合产值较为优化的配置模式，再进行生产比较试验，根据试验结果，从中选出了</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个既可兼顾饲用甜高梁产量又可兼顾青贮玉米产量行比与株行距优化配置，完成了饲用甜高梁与青贮玉米间作种植的密度配制模式，</w:t>
      </w:r>
      <w:r>
        <w:rPr>
          <w:rFonts w:ascii="Times New Roman" w:eastAsia="宋体" w:hAnsi="Times New Roman" w:cs="Times New Roman" w:hint="eastAsia"/>
          <w:b/>
          <w:bCs/>
          <w:color w:val="000000"/>
          <w:kern w:val="0"/>
          <w:sz w:val="28"/>
          <w:szCs w:val="28"/>
          <w:lang w:bidi="ar"/>
        </w:rPr>
        <w:t>获得的配置技术模式实现青贮玉米与甜高粱</w:t>
      </w:r>
      <w:r>
        <w:rPr>
          <w:rFonts w:ascii="Times New Roman" w:eastAsia="宋体" w:hAnsi="Times New Roman" w:cs="Times New Roman" w:hint="eastAsia"/>
          <w:b/>
          <w:bCs/>
          <w:color w:val="000000"/>
          <w:kern w:val="0"/>
          <w:sz w:val="28"/>
          <w:szCs w:val="28"/>
          <w:lang w:bidi="ar"/>
        </w:rPr>
        <w:t>3:3</w:t>
      </w:r>
      <w:r>
        <w:rPr>
          <w:rFonts w:ascii="Times New Roman" w:eastAsia="宋体" w:hAnsi="Times New Roman" w:cs="Times New Roman" w:hint="eastAsia"/>
          <w:b/>
          <w:bCs/>
          <w:color w:val="000000"/>
          <w:kern w:val="0"/>
          <w:sz w:val="28"/>
          <w:szCs w:val="28"/>
          <w:lang w:bidi="ar"/>
        </w:rPr>
        <w:t>间作栽培模式，充分发挥了甜高粱生物量大，含糖量高的优势，克服了甜高粱在制作青贮过程中含水量高的问题，在甜高粱乳熟期收获（全株含水率</w:t>
      </w:r>
      <w:r>
        <w:rPr>
          <w:rFonts w:ascii="Times New Roman" w:eastAsia="宋体" w:hAnsi="Times New Roman" w:cs="Times New Roman" w:hint="eastAsia"/>
          <w:b/>
          <w:bCs/>
          <w:color w:val="000000"/>
          <w:kern w:val="0"/>
          <w:sz w:val="28"/>
          <w:szCs w:val="28"/>
          <w:lang w:bidi="ar"/>
        </w:rPr>
        <w:t>65%-75%</w:t>
      </w:r>
      <w:r>
        <w:rPr>
          <w:rFonts w:ascii="Times New Roman" w:eastAsia="宋体" w:hAnsi="Times New Roman" w:cs="Times New Roman" w:hint="eastAsia"/>
          <w:b/>
          <w:bCs/>
          <w:color w:val="000000"/>
          <w:kern w:val="0"/>
          <w:sz w:val="28"/>
          <w:szCs w:val="28"/>
          <w:lang w:bidi="ar"/>
        </w:rPr>
        <w:t>），既提高了青贮玉米和甜高粱的鲜草产量，又能保证收获的青贮品质较高。</w:t>
      </w:r>
      <w:r>
        <w:rPr>
          <w:rFonts w:ascii="Times New Roman" w:eastAsia="宋体" w:hAnsi="Times New Roman" w:cs="Times New Roman" w:hint="eastAsia"/>
          <w:b/>
          <w:bCs/>
          <w:color w:val="auto"/>
          <w:kern w:val="0"/>
          <w:sz w:val="28"/>
          <w:szCs w:val="28"/>
          <w:lang w:bidi="ar"/>
        </w:rPr>
        <w:t>该间作模式较单播青贮玉米和单播甜高粱生物量分别提高</w:t>
      </w:r>
      <w:r>
        <w:rPr>
          <w:rFonts w:ascii="Times New Roman" w:eastAsia="宋体" w:hAnsi="Times New Roman" w:cs="Times New Roman" w:hint="eastAsia"/>
          <w:b/>
          <w:bCs/>
          <w:color w:val="auto"/>
          <w:kern w:val="0"/>
          <w:sz w:val="28"/>
          <w:szCs w:val="28"/>
          <w:lang w:bidi="ar"/>
        </w:rPr>
        <w:t>22.8%</w:t>
      </w:r>
      <w:r>
        <w:rPr>
          <w:rFonts w:ascii="Times New Roman" w:eastAsia="宋体" w:hAnsi="Times New Roman" w:cs="Times New Roman" w:hint="eastAsia"/>
          <w:b/>
          <w:bCs/>
          <w:color w:val="auto"/>
          <w:kern w:val="0"/>
          <w:sz w:val="28"/>
          <w:szCs w:val="28"/>
          <w:lang w:bidi="ar"/>
        </w:rPr>
        <w:t>和</w:t>
      </w:r>
      <w:r>
        <w:rPr>
          <w:rFonts w:ascii="Times New Roman" w:eastAsia="宋体" w:hAnsi="Times New Roman" w:cs="Times New Roman" w:hint="eastAsia"/>
          <w:b/>
          <w:bCs/>
          <w:color w:val="auto"/>
          <w:kern w:val="0"/>
          <w:sz w:val="28"/>
          <w:szCs w:val="28"/>
          <w:lang w:bidi="ar"/>
        </w:rPr>
        <w:t>1.4%</w:t>
      </w:r>
      <w:r>
        <w:rPr>
          <w:rFonts w:ascii="Times New Roman" w:eastAsia="宋体" w:hAnsi="Times New Roman" w:cs="Times New Roman" w:hint="eastAsia"/>
          <w:b/>
          <w:bCs/>
          <w:color w:val="auto"/>
          <w:kern w:val="0"/>
          <w:sz w:val="28"/>
          <w:szCs w:val="28"/>
          <w:lang w:bidi="ar"/>
        </w:rPr>
        <w:t>。</w:t>
      </w:r>
      <w:r>
        <w:rPr>
          <w:rFonts w:ascii="Times New Roman" w:eastAsia="宋体" w:hAnsi="Times New Roman" w:cs="Times New Roman" w:hint="eastAsia"/>
          <w:color w:val="000000"/>
          <w:kern w:val="0"/>
          <w:sz w:val="28"/>
          <w:szCs w:val="28"/>
          <w:lang w:bidi="ar"/>
        </w:rPr>
        <w:t>通过生产试验比较和生产示范校正，获取其优化参数为：饲用甜高梁品种选择株高在</w:t>
      </w:r>
      <w:r>
        <w:rPr>
          <w:rFonts w:ascii="Times New Roman" w:eastAsia="宋体" w:hAnsi="Times New Roman" w:cs="Times New Roman" w:hint="eastAsia"/>
          <w:color w:val="000000"/>
          <w:kern w:val="0"/>
          <w:sz w:val="28"/>
          <w:szCs w:val="28"/>
          <w:lang w:bidi="ar"/>
        </w:rPr>
        <w:t>350cm</w:t>
      </w:r>
      <w:r>
        <w:rPr>
          <w:rFonts w:ascii="Times New Roman" w:eastAsia="宋体" w:hAnsi="Times New Roman" w:cs="Times New Roman" w:hint="eastAsia"/>
          <w:color w:val="000000"/>
          <w:kern w:val="0"/>
          <w:sz w:val="28"/>
          <w:szCs w:val="28"/>
          <w:lang w:bidi="ar"/>
        </w:rPr>
        <w:t>以上、晚熟、抗倒伏的适宜本地区种植的饲用甜高梁品种。青贮玉米品种选择株高在</w:t>
      </w:r>
      <w:r>
        <w:rPr>
          <w:rFonts w:ascii="Times New Roman" w:eastAsia="宋体" w:hAnsi="Times New Roman" w:cs="Times New Roman" w:hint="eastAsia"/>
          <w:color w:val="000000"/>
          <w:kern w:val="0"/>
          <w:sz w:val="28"/>
          <w:szCs w:val="28"/>
          <w:lang w:bidi="ar"/>
        </w:rPr>
        <w:t>250cm</w:t>
      </w:r>
      <w:r>
        <w:rPr>
          <w:rFonts w:ascii="Times New Roman" w:eastAsia="宋体" w:hAnsi="Times New Roman" w:cs="Times New Roman" w:hint="eastAsia"/>
          <w:color w:val="000000"/>
          <w:kern w:val="0"/>
          <w:sz w:val="28"/>
          <w:szCs w:val="28"/>
          <w:lang w:bidi="ar"/>
        </w:rPr>
        <w:t>左右，半紧凑型或紧凑型适宜本地区种植的品种。</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行饲用甜高梁与</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行青贮玉米间种，饲用甜高梁行距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2650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vertAlign w:val="superscript"/>
          <w:lang w:bidi="ar"/>
        </w:rPr>
        <w:t>2</w:t>
      </w:r>
      <w:r>
        <w:rPr>
          <w:rFonts w:ascii="Times New Roman" w:eastAsia="宋体" w:hAnsi="Times New Roman" w:cs="Times New Roman" w:hint="eastAsia"/>
          <w:color w:val="000000"/>
          <w:kern w:val="0"/>
          <w:sz w:val="28"/>
          <w:szCs w:val="28"/>
          <w:lang w:bidi="ar"/>
        </w:rPr>
        <w:t>；玉米行距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lang w:bidi="ar"/>
        </w:rPr>
        <w:t>²。</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行饲用甜高梁与</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行玉米间种，饲用甜高梁行距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25cm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2650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lang w:bidi="ar"/>
        </w:rPr>
        <w:t>²；青贮玉米行距</w:t>
      </w:r>
      <w:r>
        <w:rPr>
          <w:rFonts w:ascii="Times New Roman" w:eastAsia="宋体" w:hAnsi="Times New Roman" w:cs="Times New Roman" w:hint="eastAsia"/>
          <w:color w:val="000000"/>
          <w:kern w:val="0"/>
          <w:sz w:val="28"/>
          <w:szCs w:val="28"/>
          <w:lang w:bidi="ar"/>
        </w:rPr>
        <w:t>50cm</w:t>
      </w:r>
      <w:r>
        <w:rPr>
          <w:rFonts w:ascii="Times New Roman" w:eastAsia="宋体" w:hAnsi="Times New Roman" w:cs="Times New Roman" w:hint="eastAsia"/>
          <w:color w:val="000000"/>
          <w:kern w:val="0"/>
          <w:sz w:val="28"/>
          <w:szCs w:val="28"/>
          <w:lang w:bidi="ar"/>
        </w:rPr>
        <w:t>，株距</w:t>
      </w:r>
      <w:r>
        <w:rPr>
          <w:rFonts w:ascii="Times New Roman" w:eastAsia="宋体" w:hAnsi="Times New Roman" w:cs="Times New Roman" w:hint="eastAsia"/>
          <w:color w:val="000000"/>
          <w:kern w:val="0"/>
          <w:sz w:val="28"/>
          <w:szCs w:val="28"/>
          <w:lang w:bidi="ar"/>
        </w:rPr>
        <w:t>15cm</w:t>
      </w:r>
      <w:r>
        <w:rPr>
          <w:rFonts w:ascii="Times New Roman" w:eastAsia="宋体" w:hAnsi="Times New Roman" w:cs="Times New Roman" w:hint="eastAsia"/>
          <w:color w:val="000000"/>
          <w:kern w:val="0"/>
          <w:sz w:val="28"/>
          <w:szCs w:val="28"/>
          <w:lang w:bidi="ar"/>
        </w:rPr>
        <w:t>，田间密度约为</w:t>
      </w:r>
      <w:r>
        <w:rPr>
          <w:rFonts w:ascii="Times New Roman" w:eastAsia="宋体" w:hAnsi="Times New Roman" w:cs="Times New Roman" w:hint="eastAsia"/>
          <w:color w:val="000000"/>
          <w:kern w:val="0"/>
          <w:sz w:val="28"/>
          <w:szCs w:val="28"/>
          <w:lang w:bidi="ar"/>
        </w:rPr>
        <w:t>4400</w:t>
      </w:r>
      <w:r>
        <w:rPr>
          <w:rFonts w:ascii="Times New Roman" w:eastAsia="宋体" w:hAnsi="Times New Roman" w:cs="Times New Roman" w:hint="eastAsia"/>
          <w:color w:val="000000"/>
          <w:kern w:val="0"/>
          <w:sz w:val="28"/>
          <w:szCs w:val="28"/>
          <w:lang w:bidi="ar"/>
        </w:rPr>
        <w:t>株</w:t>
      </w:r>
      <w:r>
        <w:rPr>
          <w:rFonts w:ascii="Times New Roman" w:eastAsia="宋体" w:hAnsi="Times New Roman" w:cs="Times New Roman" w:hint="eastAsia"/>
          <w:color w:val="000000"/>
          <w:kern w:val="0"/>
          <w:sz w:val="28"/>
          <w:szCs w:val="28"/>
          <w:lang w:bidi="ar"/>
        </w:rPr>
        <w:t>/667m</w:t>
      </w:r>
      <w:r>
        <w:rPr>
          <w:rFonts w:ascii="Times New Roman" w:eastAsia="宋体" w:hAnsi="Times New Roman" w:cs="Times New Roman" w:hint="eastAsia"/>
          <w:color w:val="000000"/>
          <w:kern w:val="0"/>
          <w:sz w:val="28"/>
          <w:szCs w:val="28"/>
          <w:lang w:bidi="ar"/>
        </w:rPr>
        <w:t>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25"/>
      </w:tblGrid>
      <w:tr w:rsidR="00547D89" w14:paraId="6371773F" w14:textId="77777777">
        <w:trPr>
          <w:trHeight w:val="3761"/>
        </w:trPr>
        <w:tc>
          <w:tcPr>
            <w:tcW w:w="4250" w:type="dxa"/>
          </w:tcPr>
          <w:p w14:paraId="4CD11A2B" w14:textId="77777777" w:rsidR="00547D89" w:rsidRDefault="00000000">
            <w:pPr>
              <w:pStyle w:val="20"/>
              <w:spacing w:line="440" w:lineRule="exact"/>
              <w:ind w:firstLineChars="0" w:firstLine="0"/>
            </w:pPr>
            <w:r>
              <w:rPr>
                <w:rFonts w:asciiTheme="minorEastAsia" w:eastAsiaTheme="minorEastAsia" w:hAnsiTheme="minorEastAsia" w:cstheme="minorEastAsia" w:hint="eastAsia"/>
                <w:noProof/>
                <w:sz w:val="24"/>
                <w:szCs w:val="21"/>
              </w:rPr>
              <w:drawing>
                <wp:anchor distT="0" distB="0" distL="114300" distR="114300" simplePos="0" relativeHeight="251659264" behindDoc="0" locked="0" layoutInCell="1" allowOverlap="1" wp14:anchorId="10F996E2" wp14:editId="521E0503">
                  <wp:simplePos x="0" y="0"/>
                  <wp:positionH relativeFrom="column">
                    <wp:posOffset>-46355</wp:posOffset>
                  </wp:positionH>
                  <wp:positionV relativeFrom="paragraph">
                    <wp:posOffset>24765</wp:posOffset>
                  </wp:positionV>
                  <wp:extent cx="2658745" cy="2007870"/>
                  <wp:effectExtent l="0" t="0" r="8255" b="1905"/>
                  <wp:wrapTopAndBottom/>
                  <wp:docPr id="21" name="图片 17" descr="241f9dcc6f6e62af5bbca88686e5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241f9dcc6f6e62af5bbca88686e5aa2"/>
                          <pic:cNvPicPr>
                            <a:picLocks noChangeAspect="1"/>
                          </pic:cNvPicPr>
                        </pic:nvPicPr>
                        <pic:blipFill>
                          <a:blip r:embed="rId7"/>
                          <a:srcRect t="7176" b="5231"/>
                          <a:stretch>
                            <a:fillRect/>
                          </a:stretch>
                        </pic:blipFill>
                        <pic:spPr>
                          <a:xfrm>
                            <a:off x="0" y="0"/>
                            <a:ext cx="2658745" cy="2007870"/>
                          </a:xfrm>
                          <a:prstGeom prst="rect">
                            <a:avLst/>
                          </a:prstGeom>
                        </pic:spPr>
                      </pic:pic>
                    </a:graphicData>
                  </a:graphic>
                </wp:anchor>
              </w:drawing>
            </w:r>
            <w:r>
              <w:rPr>
                <w:rFonts w:asciiTheme="minorEastAsia" w:eastAsiaTheme="minorEastAsia" w:hAnsiTheme="minorEastAsia" w:cstheme="minorEastAsia" w:hint="eastAsia"/>
                <w:sz w:val="24"/>
                <w:szCs w:val="21"/>
              </w:rPr>
              <w:t>饲用甜高粱和青贮玉米（拔节期）</w:t>
            </w:r>
          </w:p>
        </w:tc>
        <w:tc>
          <w:tcPr>
            <w:tcW w:w="4272" w:type="dxa"/>
          </w:tcPr>
          <w:p w14:paraId="0CE5B585" w14:textId="77777777" w:rsidR="00547D89" w:rsidRDefault="00000000">
            <w:pPr>
              <w:pStyle w:val="20"/>
              <w:spacing w:line="440" w:lineRule="exact"/>
              <w:ind w:firstLineChars="0" w:firstLine="0"/>
            </w:pPr>
            <w:r>
              <w:rPr>
                <w:rFonts w:asciiTheme="minorEastAsia" w:eastAsiaTheme="minorEastAsia" w:hAnsiTheme="minorEastAsia" w:cstheme="minorEastAsia" w:hint="eastAsia"/>
                <w:noProof/>
                <w:sz w:val="24"/>
                <w:szCs w:val="21"/>
              </w:rPr>
              <w:drawing>
                <wp:anchor distT="0" distB="0" distL="114300" distR="114300" simplePos="0" relativeHeight="251661312" behindDoc="0" locked="0" layoutInCell="1" allowOverlap="1" wp14:anchorId="64B324AC" wp14:editId="4792B97E">
                  <wp:simplePos x="0" y="0"/>
                  <wp:positionH relativeFrom="column">
                    <wp:posOffset>-31115</wp:posOffset>
                  </wp:positionH>
                  <wp:positionV relativeFrom="paragraph">
                    <wp:posOffset>33020</wp:posOffset>
                  </wp:positionV>
                  <wp:extent cx="2603500" cy="1997075"/>
                  <wp:effectExtent l="0" t="0" r="6350" b="3175"/>
                  <wp:wrapTopAndBottom/>
                  <wp:docPr id="1" name="图片 1" descr="微信图片_20251020113649_194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020113649_194_184"/>
                          <pic:cNvPicPr>
                            <a:picLocks noChangeAspect="1"/>
                          </pic:cNvPicPr>
                        </pic:nvPicPr>
                        <pic:blipFill>
                          <a:blip r:embed="rId8"/>
                          <a:stretch>
                            <a:fillRect/>
                          </a:stretch>
                        </pic:blipFill>
                        <pic:spPr>
                          <a:xfrm>
                            <a:off x="0" y="0"/>
                            <a:ext cx="2603500" cy="1997075"/>
                          </a:xfrm>
                          <a:prstGeom prst="rect">
                            <a:avLst/>
                          </a:prstGeom>
                        </pic:spPr>
                      </pic:pic>
                    </a:graphicData>
                  </a:graphic>
                </wp:anchor>
              </w:drawing>
            </w:r>
            <w:r>
              <w:rPr>
                <w:rFonts w:asciiTheme="minorEastAsia" w:eastAsiaTheme="minorEastAsia" w:hAnsiTheme="minorEastAsia" w:cstheme="minorEastAsia" w:hint="eastAsia"/>
                <w:sz w:val="24"/>
                <w:szCs w:val="21"/>
              </w:rPr>
              <w:t>饲用甜高粱和青贮玉米（拔节期）</w:t>
            </w:r>
          </w:p>
        </w:tc>
      </w:tr>
      <w:tr w:rsidR="00547D89" w14:paraId="524548EB" w14:textId="77777777">
        <w:tc>
          <w:tcPr>
            <w:tcW w:w="4250" w:type="dxa"/>
          </w:tcPr>
          <w:p w14:paraId="12F8941D" w14:textId="77777777" w:rsidR="00547D89" w:rsidRDefault="00000000">
            <w:pPr>
              <w:pStyle w:val="20"/>
              <w:spacing w:line="440" w:lineRule="exact"/>
              <w:ind w:firstLineChars="0" w:firstLine="0"/>
              <w:rPr>
                <w:rFonts w:asciiTheme="minorEastAsia" w:eastAsiaTheme="minorEastAsia" w:hAnsiTheme="minorEastAsia" w:cstheme="minorEastAsia" w:hint="eastAsia"/>
                <w:sz w:val="24"/>
                <w:szCs w:val="21"/>
              </w:rPr>
            </w:pPr>
            <w:r>
              <w:rPr>
                <w:rFonts w:asciiTheme="minorEastAsia" w:eastAsiaTheme="minorEastAsia" w:hAnsiTheme="minorEastAsia" w:cstheme="minorEastAsia" w:hint="eastAsia"/>
                <w:sz w:val="24"/>
                <w:szCs w:val="21"/>
              </w:rPr>
              <w:t>饲用甜高粱和青贮玉米（孕穗期）</w:t>
            </w:r>
            <w:r>
              <w:rPr>
                <w:rFonts w:asciiTheme="minorEastAsia" w:eastAsiaTheme="minorEastAsia" w:hAnsiTheme="minorEastAsia" w:cstheme="minorEastAsia" w:hint="eastAsia"/>
                <w:noProof/>
                <w:sz w:val="24"/>
                <w:szCs w:val="21"/>
              </w:rPr>
              <w:drawing>
                <wp:anchor distT="0" distB="0" distL="114300" distR="114300" simplePos="0" relativeHeight="251662336" behindDoc="0" locked="0" layoutInCell="1" allowOverlap="1" wp14:anchorId="62E2FCE6" wp14:editId="390CF380">
                  <wp:simplePos x="0" y="0"/>
                  <wp:positionH relativeFrom="column">
                    <wp:posOffset>-19050</wp:posOffset>
                  </wp:positionH>
                  <wp:positionV relativeFrom="paragraph">
                    <wp:posOffset>31750</wp:posOffset>
                  </wp:positionV>
                  <wp:extent cx="2665730" cy="1951355"/>
                  <wp:effectExtent l="0" t="0" r="1270" b="1270"/>
                  <wp:wrapTopAndBottom/>
                  <wp:docPr id="3" name="图片 3" descr="微信图片_20251020113644_189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020113644_189_184"/>
                          <pic:cNvPicPr>
                            <a:picLocks noChangeAspect="1"/>
                          </pic:cNvPicPr>
                        </pic:nvPicPr>
                        <pic:blipFill>
                          <a:blip r:embed="rId9"/>
                          <a:stretch>
                            <a:fillRect/>
                          </a:stretch>
                        </pic:blipFill>
                        <pic:spPr>
                          <a:xfrm>
                            <a:off x="0" y="0"/>
                            <a:ext cx="2665730" cy="1951355"/>
                          </a:xfrm>
                          <a:prstGeom prst="rect">
                            <a:avLst/>
                          </a:prstGeom>
                        </pic:spPr>
                      </pic:pic>
                    </a:graphicData>
                  </a:graphic>
                </wp:anchor>
              </w:drawing>
            </w:r>
          </w:p>
        </w:tc>
        <w:tc>
          <w:tcPr>
            <w:tcW w:w="4272" w:type="dxa"/>
          </w:tcPr>
          <w:p w14:paraId="6556E969" w14:textId="77777777" w:rsidR="00547D89" w:rsidRDefault="00000000">
            <w:pPr>
              <w:pStyle w:val="20"/>
              <w:spacing w:line="440" w:lineRule="exact"/>
              <w:ind w:firstLineChars="0" w:firstLine="0"/>
              <w:rPr>
                <w:rFonts w:asciiTheme="minorEastAsia" w:eastAsiaTheme="minorEastAsia" w:hAnsiTheme="minorEastAsia" w:cstheme="minorEastAsia" w:hint="eastAsia"/>
                <w:sz w:val="24"/>
                <w:szCs w:val="21"/>
              </w:rPr>
            </w:pPr>
            <w:r>
              <w:rPr>
                <w:rFonts w:asciiTheme="minorEastAsia" w:eastAsiaTheme="minorEastAsia" w:hAnsiTheme="minorEastAsia" w:cstheme="minorEastAsia" w:hint="eastAsia"/>
                <w:sz w:val="24"/>
                <w:szCs w:val="21"/>
              </w:rPr>
              <w:t>饲用甜高粱和青贮玉米（收获期）</w:t>
            </w:r>
            <w:r>
              <w:rPr>
                <w:rFonts w:asciiTheme="minorEastAsia" w:eastAsiaTheme="minorEastAsia" w:hAnsiTheme="minorEastAsia" w:cstheme="minorEastAsia" w:hint="eastAsia"/>
                <w:noProof/>
                <w:sz w:val="24"/>
                <w:szCs w:val="21"/>
              </w:rPr>
              <w:drawing>
                <wp:anchor distT="0" distB="0" distL="114300" distR="114300" simplePos="0" relativeHeight="251660288" behindDoc="0" locked="0" layoutInCell="1" allowOverlap="1" wp14:anchorId="40E63736" wp14:editId="5AE0F7EB">
                  <wp:simplePos x="0" y="0"/>
                  <wp:positionH relativeFrom="column">
                    <wp:posOffset>-20955</wp:posOffset>
                  </wp:positionH>
                  <wp:positionV relativeFrom="paragraph">
                    <wp:posOffset>32385</wp:posOffset>
                  </wp:positionV>
                  <wp:extent cx="2618740" cy="1965325"/>
                  <wp:effectExtent l="0" t="0" r="635" b="635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2618740" cy="1965325"/>
                          </a:xfrm>
                          <a:prstGeom prst="rect">
                            <a:avLst/>
                          </a:prstGeom>
                        </pic:spPr>
                      </pic:pic>
                    </a:graphicData>
                  </a:graphic>
                </wp:anchor>
              </w:drawing>
            </w:r>
          </w:p>
        </w:tc>
      </w:tr>
    </w:tbl>
    <w:p w14:paraId="470B4F2A" w14:textId="77777777" w:rsidR="00547D89" w:rsidRDefault="00547D89">
      <w:pPr>
        <w:pStyle w:val="a5"/>
        <w:ind w:firstLineChars="0" w:firstLine="0"/>
        <w:rPr>
          <w:rFonts w:ascii="Times New Roman" w:eastAsia="宋体" w:hAnsi="Times New Roman" w:cs="Times New Roman"/>
          <w:color w:val="000000"/>
          <w:kern w:val="0"/>
          <w:sz w:val="28"/>
          <w:szCs w:val="28"/>
          <w:lang w:bidi="ar"/>
        </w:rPr>
      </w:pPr>
    </w:p>
    <w:p w14:paraId="17E8D866" w14:textId="77777777" w:rsidR="00547D89" w:rsidRDefault="00000000">
      <w:pPr>
        <w:widowControl/>
        <w:spacing w:beforeLines="30" w:before="93" w:afterLines="30" w:after="93" w:line="480" w:lineRule="exact"/>
        <w:ind w:firstLineChars="200" w:firstLine="562"/>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b/>
          <w:bCs/>
          <w:color w:val="000000"/>
          <w:kern w:val="0"/>
          <w:sz w:val="28"/>
          <w:szCs w:val="28"/>
          <w:lang w:bidi="ar"/>
        </w:rPr>
        <w:t>青贮玉米和甜高粱间作可以充分发挥甜高粱生物量大，含糖量高的优势，克服甜高粱在制作青贮过程中含水量高的问题，显著提高了青贮玉米的饲草品质。</w:t>
      </w:r>
      <w:r>
        <w:rPr>
          <w:rFonts w:ascii="Times New Roman" w:eastAsia="宋体" w:hAnsi="Times New Roman" w:cs="Times New Roman" w:hint="eastAsia"/>
          <w:color w:val="000000"/>
          <w:kern w:val="0"/>
          <w:sz w:val="28"/>
          <w:szCs w:val="28"/>
          <w:lang w:bidi="ar"/>
        </w:rPr>
        <w:t>其中</w:t>
      </w:r>
      <w:r>
        <w:rPr>
          <w:rFonts w:ascii="Times New Roman" w:eastAsia="宋体" w:hAnsi="Times New Roman" w:cs="Times New Roman"/>
          <w:color w:val="000000"/>
          <w:kern w:val="0"/>
          <w:sz w:val="28"/>
          <w:szCs w:val="28"/>
          <w:lang w:bidi="ar"/>
        </w:rPr>
        <w:t>S3T3</w:t>
      </w:r>
      <w:r>
        <w:rPr>
          <w:rFonts w:ascii="Times New Roman" w:eastAsia="宋体" w:hAnsi="Times New Roman" w:cs="Times New Roman"/>
          <w:color w:val="000000"/>
          <w:kern w:val="0"/>
          <w:sz w:val="28"/>
          <w:szCs w:val="28"/>
          <w:lang w:bidi="ar"/>
        </w:rPr>
        <w:t>（</w:t>
      </w:r>
      <w:r>
        <w:rPr>
          <w:rFonts w:ascii="Times New Roman" w:eastAsia="宋体" w:hAnsi="Times New Roman" w:cs="Times New Roman"/>
          <w:color w:val="000000"/>
          <w:kern w:val="0"/>
          <w:sz w:val="28"/>
          <w:szCs w:val="28"/>
          <w:lang w:bidi="ar"/>
        </w:rPr>
        <w:t>3</w:t>
      </w:r>
      <w:r>
        <w:rPr>
          <w:rFonts w:ascii="Times New Roman" w:eastAsia="宋体" w:hAnsi="Times New Roman" w:cs="Times New Roman"/>
          <w:color w:val="000000"/>
          <w:kern w:val="0"/>
          <w:sz w:val="28"/>
          <w:szCs w:val="28"/>
          <w:lang w:bidi="ar"/>
        </w:rPr>
        <w:t>行青贮玉米</w:t>
      </w:r>
      <w:r>
        <w:rPr>
          <w:rFonts w:ascii="Times New Roman" w:eastAsia="宋体" w:hAnsi="Times New Roman" w:cs="Times New Roman"/>
          <w:color w:val="000000"/>
          <w:kern w:val="0"/>
          <w:sz w:val="28"/>
          <w:szCs w:val="28"/>
          <w:lang w:bidi="ar"/>
        </w:rPr>
        <w:t>:3</w:t>
      </w:r>
      <w:r>
        <w:rPr>
          <w:rFonts w:ascii="Times New Roman" w:eastAsia="宋体" w:hAnsi="Times New Roman" w:cs="Times New Roman"/>
          <w:color w:val="000000"/>
          <w:kern w:val="0"/>
          <w:sz w:val="28"/>
          <w:szCs w:val="28"/>
          <w:lang w:bidi="ar"/>
        </w:rPr>
        <w:t>行甜高粱）为最佳间作配置</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color w:val="000000"/>
          <w:kern w:val="0"/>
          <w:sz w:val="28"/>
          <w:szCs w:val="28"/>
          <w:lang w:bidi="ar"/>
        </w:rPr>
        <w:t>不仅能获得最高的</w:t>
      </w:r>
      <w:r>
        <w:rPr>
          <w:rFonts w:ascii="Times New Roman" w:eastAsia="宋体" w:hAnsi="Times New Roman" w:cs="Times New Roman" w:hint="eastAsia"/>
          <w:color w:val="000000"/>
          <w:kern w:val="0"/>
          <w:sz w:val="28"/>
          <w:szCs w:val="28"/>
          <w:lang w:bidi="ar"/>
        </w:rPr>
        <w:t>鲜草</w:t>
      </w:r>
      <w:r>
        <w:rPr>
          <w:rFonts w:ascii="Times New Roman" w:eastAsia="宋体" w:hAnsi="Times New Roman" w:cs="Times New Roman"/>
          <w:color w:val="000000"/>
          <w:kern w:val="0"/>
          <w:sz w:val="28"/>
          <w:szCs w:val="28"/>
          <w:lang w:bidi="ar"/>
        </w:rPr>
        <w:t>产量</w:t>
      </w:r>
      <w:r>
        <w:rPr>
          <w:rFonts w:ascii="Times New Roman" w:eastAsia="宋体" w:hAnsi="Times New Roman" w:cs="Times New Roman" w:hint="eastAsia"/>
          <w:color w:val="000000"/>
          <w:kern w:val="0"/>
          <w:sz w:val="28"/>
          <w:szCs w:val="28"/>
          <w:lang w:bidi="ar"/>
        </w:rPr>
        <w:t>，为</w:t>
      </w:r>
      <w:r>
        <w:rPr>
          <w:rFonts w:ascii="Times New Roman" w:eastAsia="宋体" w:hAnsi="Times New Roman" w:cs="Times New Roman" w:hint="eastAsia"/>
          <w:color w:val="000000"/>
          <w:kern w:val="0"/>
          <w:sz w:val="28"/>
          <w:szCs w:val="28"/>
          <w:lang w:bidi="ar"/>
        </w:rPr>
        <w:t>90705.33</w:t>
      </w:r>
      <w:r>
        <w:rPr>
          <w:rFonts w:ascii="Times New Roman" w:eastAsia="宋体" w:hAnsi="Times New Roman" w:cs="Times New Roman"/>
          <w:color w:val="000000"/>
          <w:kern w:val="0"/>
          <w:sz w:val="28"/>
          <w:szCs w:val="28"/>
          <w:lang w:bidi="ar"/>
        </w:rPr>
        <w:t>kg·hm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color w:val="000000"/>
          <w:kern w:val="0"/>
          <w:sz w:val="28"/>
          <w:szCs w:val="28"/>
          <w:lang w:bidi="ar"/>
        </w:rPr>
        <w:t>107797.29 kg·hm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，还能显著提升系统的蛋白质产出</w:t>
      </w:r>
      <w:r>
        <w:rPr>
          <w:rFonts w:ascii="Times New Roman" w:eastAsia="宋体" w:hAnsi="Times New Roman" w:cs="Times New Roman" w:hint="eastAsia"/>
          <w:color w:val="000000"/>
          <w:kern w:val="0"/>
          <w:sz w:val="28"/>
          <w:szCs w:val="28"/>
          <w:lang w:bidi="ar"/>
        </w:rPr>
        <w:t>，达到</w:t>
      </w:r>
      <w:r>
        <w:rPr>
          <w:rFonts w:ascii="Times New Roman" w:eastAsia="宋体" w:hAnsi="Times New Roman" w:cs="Times New Roman" w:hint="eastAsia"/>
          <w:color w:val="000000"/>
          <w:kern w:val="0"/>
          <w:sz w:val="28"/>
          <w:szCs w:val="28"/>
          <w:lang w:bidi="ar"/>
        </w:rPr>
        <w:t xml:space="preserve">3490.64 </w:t>
      </w:r>
      <w:r>
        <w:rPr>
          <w:rFonts w:ascii="Times New Roman" w:eastAsia="宋体" w:hAnsi="Times New Roman" w:cs="Times New Roman"/>
          <w:color w:val="000000"/>
          <w:kern w:val="0"/>
          <w:sz w:val="28"/>
          <w:szCs w:val="28"/>
          <w:lang w:bidi="ar"/>
        </w:rPr>
        <w:t>kg·hm</w:t>
      </w:r>
      <w:r>
        <w:rPr>
          <w:rFonts w:ascii="Times New Roman" w:eastAsia="宋体" w:hAnsi="Times New Roman" w:cs="Times New Roman"/>
          <w:color w:val="000000"/>
          <w:kern w:val="0"/>
          <w:sz w:val="28"/>
          <w:szCs w:val="28"/>
          <w:vertAlign w:val="superscript"/>
          <w:lang w:bidi="ar"/>
        </w:rPr>
        <w:t>-2</w:t>
      </w:r>
      <w:r>
        <w:rPr>
          <w:rFonts w:ascii="Times New Roman" w:eastAsia="宋体" w:hAnsi="Times New Roman" w:cs="Times New Roman"/>
          <w:color w:val="000000"/>
          <w:kern w:val="0"/>
          <w:sz w:val="28"/>
          <w:szCs w:val="28"/>
          <w:lang w:bidi="ar"/>
        </w:rPr>
        <w:t>，体现了优异的产量优势与营养品质。</w:t>
      </w:r>
      <w:r>
        <w:rPr>
          <w:rFonts w:ascii="Times New Roman" w:eastAsia="宋体" w:hAnsi="Times New Roman" w:cs="Times New Roman" w:hint="eastAsia"/>
          <w:color w:val="000000"/>
          <w:kern w:val="0"/>
          <w:sz w:val="28"/>
          <w:szCs w:val="28"/>
          <w:lang w:bidi="ar"/>
        </w:rPr>
        <w:t>种间竞争关系受种植密度和作物组合影响显著，中密度配置（</w:t>
      </w:r>
      <w:r>
        <w:rPr>
          <w:rFonts w:ascii="Times New Roman" w:eastAsia="宋体" w:hAnsi="Times New Roman" w:cs="Times New Roman"/>
          <w:color w:val="000000"/>
          <w:kern w:val="0"/>
          <w:sz w:val="28"/>
          <w:szCs w:val="28"/>
          <w:lang w:bidi="ar"/>
        </w:rPr>
        <w:t>S3T3</w:t>
      </w:r>
      <w:r>
        <w:rPr>
          <w:rFonts w:ascii="Times New Roman" w:eastAsia="宋体" w:hAnsi="Times New Roman" w:cs="Times New Roman" w:hint="eastAsia"/>
          <w:color w:val="000000"/>
          <w:kern w:val="0"/>
          <w:sz w:val="28"/>
          <w:szCs w:val="28"/>
          <w:lang w:bidi="ar"/>
        </w:rPr>
        <w:t>）更利于种间互补。在</w:t>
      </w:r>
      <w:r>
        <w:rPr>
          <w:rFonts w:ascii="Times New Roman" w:eastAsia="宋体" w:hAnsi="Times New Roman" w:cs="Times New Roman" w:hint="eastAsia"/>
          <w:color w:val="000000"/>
          <w:kern w:val="0"/>
          <w:sz w:val="28"/>
          <w:szCs w:val="28"/>
          <w:lang w:bidi="ar"/>
        </w:rPr>
        <w:t>S3T3</w:t>
      </w:r>
      <w:r>
        <w:rPr>
          <w:rFonts w:ascii="Times New Roman" w:eastAsia="宋体" w:hAnsi="Times New Roman" w:cs="Times New Roman" w:hint="eastAsia"/>
          <w:color w:val="000000"/>
          <w:kern w:val="0"/>
          <w:sz w:val="28"/>
          <w:szCs w:val="28"/>
          <w:lang w:bidi="ar"/>
        </w:rPr>
        <w:t>处理的</w:t>
      </w:r>
      <w:r>
        <w:rPr>
          <w:rFonts w:ascii="Times New Roman" w:eastAsia="宋体" w:hAnsi="Times New Roman" w:cs="Times New Roman"/>
          <w:color w:val="000000"/>
          <w:kern w:val="0"/>
          <w:sz w:val="28"/>
          <w:szCs w:val="28"/>
          <w:lang w:bidi="ar"/>
        </w:rPr>
        <w:t>LER</w:t>
      </w:r>
      <w:r>
        <w:rPr>
          <w:rFonts w:ascii="Times New Roman" w:eastAsia="宋体" w:hAnsi="Times New Roman" w:cs="Times New Roman" w:hint="eastAsia"/>
          <w:color w:val="000000"/>
          <w:kern w:val="0"/>
          <w:sz w:val="28"/>
          <w:szCs w:val="28"/>
          <w:lang w:bidi="ar"/>
        </w:rPr>
        <w:t>最高（</w:t>
      </w:r>
      <w:r>
        <w:rPr>
          <w:rFonts w:ascii="Times New Roman" w:eastAsia="宋体" w:hAnsi="Times New Roman" w:cs="Times New Roman"/>
          <w:color w:val="000000"/>
          <w:kern w:val="0"/>
          <w:sz w:val="28"/>
          <w:szCs w:val="28"/>
          <w:lang w:bidi="ar"/>
        </w:rPr>
        <w:t>1.43</w:t>
      </w:r>
      <w:r>
        <w:rPr>
          <w:rFonts w:ascii="Times New Roman" w:eastAsia="宋体" w:hAnsi="Times New Roman" w:cs="Times New Roman" w:hint="eastAsia"/>
          <w:color w:val="000000"/>
          <w:kern w:val="0"/>
          <w:sz w:val="28"/>
          <w:szCs w:val="28"/>
          <w:lang w:bidi="ar"/>
        </w:rPr>
        <w:t>），表明其在资源竞争中占优势且种间协调性好。</w:t>
      </w:r>
    </w:p>
    <w:p w14:paraId="5AC2883C" w14:textId="77777777" w:rsidR="00547D89" w:rsidRDefault="00000000">
      <w:pPr>
        <w:pStyle w:val="2"/>
        <w:numPr>
          <w:ilvl w:val="0"/>
          <w:numId w:val="7"/>
        </w:numPr>
        <w:spacing w:before="140" w:after="20" w:line="240" w:lineRule="auto"/>
        <w:rPr>
          <w:rFonts w:ascii="方正楷体_GB2312" w:eastAsia="方正楷体_GB2312" w:hAnsi="方正楷体_GB2312" w:cs="方正楷体_GB2312" w:hint="eastAsia"/>
          <w:bCs/>
          <w:sz w:val="28"/>
          <w:szCs w:val="28"/>
        </w:rPr>
      </w:pPr>
      <w:bookmarkStart w:id="15" w:name="_Toc904"/>
      <w:r>
        <w:rPr>
          <w:rFonts w:ascii="方正楷体_GB2312" w:eastAsia="方正楷体_GB2312" w:hAnsi="方正楷体_GB2312" w:cs="方正楷体_GB2312" w:hint="eastAsia"/>
          <w:bCs/>
          <w:sz w:val="28"/>
          <w:szCs w:val="28"/>
        </w:rPr>
        <w:t>适宜播期试验</w:t>
      </w:r>
      <w:bookmarkEnd w:id="15"/>
    </w:p>
    <w:p w14:paraId="73F15510"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通过试验生育期与产量变化趋势结果得出结论：北疆地区从</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日</w:t>
      </w:r>
      <w:r>
        <w:rPr>
          <w:rFonts w:ascii="Times New Roman" w:eastAsia="宋体" w:hAnsi="Times New Roman" w:cs="Times New Roman" w:hint="eastAsia"/>
          <w:color w:val="000000"/>
          <w:kern w:val="0"/>
          <w:sz w:val="28"/>
          <w:szCs w:val="28"/>
          <w:lang w:bidi="ar"/>
        </w:rPr>
        <w:t>-6</w:t>
      </w:r>
      <w:r>
        <w:rPr>
          <w:rFonts w:ascii="Times New Roman" w:eastAsia="宋体" w:hAnsi="Times New Roman" w:cs="Times New Roman" w:hint="eastAsia"/>
          <w:color w:val="000000"/>
          <w:kern w:val="0"/>
          <w:sz w:val="28"/>
          <w:szCs w:val="28"/>
          <w:lang w:bidi="ar"/>
        </w:rPr>
        <w:t>月上旬，南疆地区</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月下旬</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月上旬，播期越早，甜高梁与玉米间作产量最高，随播期推迟，产量呈现依次递减趋势，说明在新疆干旱绿洲区北疆地区</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15</w:t>
      </w:r>
      <w:r>
        <w:rPr>
          <w:rFonts w:ascii="Times New Roman" w:eastAsia="宋体" w:hAnsi="Times New Roman" w:cs="Times New Roman" w:hint="eastAsia"/>
          <w:color w:val="000000"/>
          <w:kern w:val="0"/>
          <w:sz w:val="28"/>
          <w:szCs w:val="28"/>
          <w:lang w:bidi="ar"/>
        </w:rPr>
        <w:t>日</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月</w:t>
      </w:r>
      <w:r>
        <w:rPr>
          <w:rFonts w:ascii="Times New Roman" w:eastAsia="宋体" w:hAnsi="Times New Roman" w:cs="Times New Roman" w:hint="eastAsia"/>
          <w:color w:val="000000"/>
          <w:kern w:val="0"/>
          <w:sz w:val="28"/>
          <w:szCs w:val="28"/>
          <w:lang w:bidi="ar"/>
        </w:rPr>
        <w:t>10</w:t>
      </w:r>
      <w:r>
        <w:rPr>
          <w:rFonts w:ascii="Times New Roman" w:eastAsia="宋体" w:hAnsi="Times New Roman" w:cs="Times New Roman" w:hint="eastAsia"/>
          <w:color w:val="000000"/>
          <w:kern w:val="0"/>
          <w:sz w:val="28"/>
          <w:szCs w:val="28"/>
          <w:lang w:bidi="ar"/>
        </w:rPr>
        <w:t>日、南疆地区</w:t>
      </w:r>
      <w:r>
        <w:rPr>
          <w:rFonts w:ascii="Times New Roman" w:eastAsia="宋体" w:hAnsi="Times New Roman" w:cs="Times New Roman" w:hint="eastAsia"/>
          <w:color w:val="000000"/>
          <w:kern w:val="0"/>
          <w:sz w:val="28"/>
          <w:szCs w:val="28"/>
          <w:lang w:bidi="ar"/>
        </w:rPr>
        <w:t>3</w:t>
      </w:r>
      <w:r>
        <w:rPr>
          <w:rFonts w:ascii="Times New Roman" w:eastAsia="宋体" w:hAnsi="Times New Roman" w:cs="Times New Roman" w:hint="eastAsia"/>
          <w:color w:val="000000"/>
          <w:kern w:val="0"/>
          <w:sz w:val="28"/>
          <w:szCs w:val="28"/>
          <w:lang w:bidi="ar"/>
        </w:rPr>
        <w:t>月下旬</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月上旬播种甜高梁与玉米间作是最佳时期。</w:t>
      </w:r>
    </w:p>
    <w:p w14:paraId="0C593CE7" w14:textId="77777777" w:rsidR="00547D89" w:rsidRDefault="00000000">
      <w:pPr>
        <w:pStyle w:val="2"/>
        <w:numPr>
          <w:ilvl w:val="0"/>
          <w:numId w:val="7"/>
        </w:numPr>
        <w:spacing w:before="140" w:after="20" w:line="240" w:lineRule="auto"/>
        <w:rPr>
          <w:rFonts w:ascii="方正楷体_GB2312" w:eastAsia="方正楷体_GB2312" w:hAnsi="方正楷体_GB2312" w:cs="方正楷体_GB2312" w:hint="eastAsia"/>
          <w:bCs/>
          <w:sz w:val="28"/>
          <w:szCs w:val="28"/>
        </w:rPr>
      </w:pPr>
      <w:bookmarkStart w:id="16" w:name="_Toc20706"/>
      <w:r>
        <w:rPr>
          <w:rFonts w:ascii="方正楷体_GB2312" w:eastAsia="方正楷体_GB2312" w:hAnsi="方正楷体_GB2312" w:cs="方正楷体_GB2312" w:hint="eastAsia"/>
          <w:bCs/>
          <w:sz w:val="28"/>
          <w:szCs w:val="28"/>
        </w:rPr>
        <w:t>施氮量优化试验</w:t>
      </w:r>
      <w:bookmarkEnd w:id="16"/>
    </w:p>
    <w:p w14:paraId="56822795"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通过试验生育期与产量变化趋势结果得出结论：间作模式下，</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株高最高（</w:t>
      </w:r>
      <w:r>
        <w:rPr>
          <w:rFonts w:ascii="Times New Roman" w:eastAsia="宋体" w:hAnsi="Times New Roman" w:cs="Times New Roman" w:hint="eastAsia"/>
          <w:color w:val="000000"/>
          <w:kern w:val="0"/>
          <w:sz w:val="28"/>
          <w:szCs w:val="28"/>
          <w:lang w:bidi="ar"/>
        </w:rPr>
        <w:t>383.27 cm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较低（约</w:t>
      </w:r>
      <w:r>
        <w:rPr>
          <w:rFonts w:ascii="Times New Roman" w:eastAsia="宋体" w:hAnsi="Times New Roman" w:cs="Times New Roman" w:hint="eastAsia"/>
          <w:color w:val="000000"/>
          <w:kern w:val="0"/>
          <w:sz w:val="28"/>
          <w:szCs w:val="28"/>
          <w:lang w:bidi="ar"/>
        </w:rPr>
        <w:t>351 cm</w:t>
      </w:r>
      <w:r>
        <w:rPr>
          <w:rFonts w:ascii="Times New Roman" w:eastAsia="宋体" w:hAnsi="Times New Roman" w:cs="Times New Roman" w:hint="eastAsia"/>
          <w:color w:val="000000"/>
          <w:kern w:val="0"/>
          <w:sz w:val="28"/>
          <w:szCs w:val="28"/>
          <w:lang w:bidi="ar"/>
        </w:rPr>
        <w:t>）。单作模式下，</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株高最高（</w:t>
      </w:r>
      <w:r>
        <w:rPr>
          <w:rFonts w:ascii="Times New Roman" w:eastAsia="宋体" w:hAnsi="Times New Roman" w:cs="Times New Roman" w:hint="eastAsia"/>
          <w:color w:val="000000"/>
          <w:kern w:val="0"/>
          <w:sz w:val="28"/>
          <w:szCs w:val="28"/>
          <w:lang w:bidi="ar"/>
        </w:rPr>
        <w:t>369.83 cm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N2</w:t>
      </w:r>
      <w:r>
        <w:rPr>
          <w:rFonts w:ascii="Times New Roman" w:eastAsia="宋体" w:hAnsi="Times New Roman" w:cs="Times New Roman" w:hint="eastAsia"/>
          <w:color w:val="000000"/>
          <w:kern w:val="0"/>
          <w:sz w:val="28"/>
          <w:szCs w:val="28"/>
          <w:lang w:bidi="ar"/>
        </w:rPr>
        <w:t>较低（约</w:t>
      </w:r>
      <w:r>
        <w:rPr>
          <w:rFonts w:ascii="Times New Roman" w:eastAsia="宋体" w:hAnsi="Times New Roman" w:cs="Times New Roman" w:hint="eastAsia"/>
          <w:color w:val="000000"/>
          <w:kern w:val="0"/>
          <w:sz w:val="28"/>
          <w:szCs w:val="28"/>
          <w:lang w:bidi="ar"/>
        </w:rPr>
        <w:t>354 cm</w:t>
      </w:r>
      <w:r>
        <w:rPr>
          <w:rFonts w:ascii="Times New Roman" w:eastAsia="宋体" w:hAnsi="Times New Roman" w:cs="Times New Roman" w:hint="eastAsia"/>
          <w:color w:val="000000"/>
          <w:kern w:val="0"/>
          <w:sz w:val="28"/>
          <w:szCs w:val="28"/>
          <w:lang w:bidi="ar"/>
        </w:rPr>
        <w:t>）。间作整体株高高于单作。间作模式下，</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茎粗最大（</w:t>
      </w:r>
      <w:r>
        <w:rPr>
          <w:rFonts w:ascii="Times New Roman" w:eastAsia="宋体" w:hAnsi="Times New Roman" w:cs="Times New Roman" w:hint="eastAsia"/>
          <w:color w:val="000000"/>
          <w:kern w:val="0"/>
          <w:sz w:val="28"/>
          <w:szCs w:val="28"/>
          <w:lang w:bidi="ar"/>
        </w:rPr>
        <w:t>25.92 mm</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较小（</w:t>
      </w:r>
      <w:r>
        <w:rPr>
          <w:rFonts w:ascii="Times New Roman" w:eastAsia="宋体" w:hAnsi="Times New Roman" w:cs="Times New Roman" w:hint="eastAsia"/>
          <w:color w:val="000000"/>
          <w:kern w:val="0"/>
          <w:sz w:val="28"/>
          <w:szCs w:val="28"/>
          <w:lang w:bidi="ar"/>
        </w:rPr>
        <w:t>23.67 mm</w:t>
      </w:r>
      <w:r>
        <w:rPr>
          <w:rFonts w:ascii="Times New Roman" w:eastAsia="宋体" w:hAnsi="Times New Roman" w:cs="Times New Roman" w:hint="eastAsia"/>
          <w:color w:val="000000"/>
          <w:kern w:val="0"/>
          <w:sz w:val="28"/>
          <w:szCs w:val="28"/>
          <w:lang w:bidi="ar"/>
        </w:rPr>
        <w:t>）。单作模式下，茎粗变化较小，</w:t>
      </w:r>
      <w:r>
        <w:rPr>
          <w:rFonts w:ascii="Times New Roman" w:eastAsia="宋体" w:hAnsi="Times New Roman" w:cs="Times New Roman" w:hint="eastAsia"/>
          <w:color w:val="000000"/>
          <w:kern w:val="0"/>
          <w:sz w:val="28"/>
          <w:szCs w:val="28"/>
          <w:lang w:bidi="ar"/>
        </w:rPr>
        <w:t>N2</w:t>
      </w:r>
      <w:r>
        <w:rPr>
          <w:rFonts w:ascii="Times New Roman" w:eastAsia="宋体" w:hAnsi="Times New Roman" w:cs="Times New Roman" w:hint="eastAsia"/>
          <w:color w:val="000000"/>
          <w:kern w:val="0"/>
          <w:sz w:val="28"/>
          <w:szCs w:val="28"/>
          <w:lang w:bidi="ar"/>
        </w:rPr>
        <w:t>最小（</w:t>
      </w:r>
      <w:r>
        <w:rPr>
          <w:rFonts w:ascii="Times New Roman" w:eastAsia="宋体" w:hAnsi="Times New Roman" w:cs="Times New Roman" w:hint="eastAsia"/>
          <w:color w:val="000000"/>
          <w:kern w:val="0"/>
          <w:sz w:val="28"/>
          <w:szCs w:val="28"/>
          <w:lang w:bidi="ar"/>
        </w:rPr>
        <w:t>22.12 mm</w:t>
      </w:r>
      <w:r>
        <w:rPr>
          <w:rFonts w:ascii="Times New Roman" w:eastAsia="宋体" w:hAnsi="Times New Roman" w:cs="Times New Roman" w:hint="eastAsia"/>
          <w:color w:val="000000"/>
          <w:kern w:val="0"/>
          <w:sz w:val="28"/>
          <w:szCs w:val="28"/>
          <w:lang w:bidi="ar"/>
        </w:rPr>
        <w:t>）。间作茎粗略优于单作。间作模式下，</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单株鲜重最高（</w:t>
      </w:r>
      <w:r>
        <w:rPr>
          <w:rFonts w:ascii="Times New Roman" w:eastAsia="宋体" w:hAnsi="Times New Roman" w:cs="Times New Roman" w:hint="eastAsia"/>
          <w:color w:val="000000"/>
          <w:kern w:val="0"/>
          <w:sz w:val="28"/>
          <w:szCs w:val="28"/>
          <w:lang w:bidi="ar"/>
        </w:rPr>
        <w:t>1.39 kg</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N0</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0.83-0.86 kg</w:t>
      </w:r>
      <w:r>
        <w:rPr>
          <w:rFonts w:ascii="Times New Roman" w:eastAsia="宋体" w:hAnsi="Times New Roman" w:cs="Times New Roman" w:hint="eastAsia"/>
          <w:color w:val="000000"/>
          <w:kern w:val="0"/>
          <w:sz w:val="28"/>
          <w:szCs w:val="28"/>
          <w:lang w:bidi="ar"/>
        </w:rPr>
        <w:t>）。单作模式下，单株鲜重普遍较低，最高为</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0.92 kg</w:t>
      </w:r>
      <w:r>
        <w:rPr>
          <w:rFonts w:ascii="Times New Roman" w:eastAsia="宋体" w:hAnsi="Times New Roman" w:cs="Times New Roman" w:hint="eastAsia"/>
          <w:color w:val="000000"/>
          <w:kern w:val="0"/>
          <w:sz w:val="28"/>
          <w:szCs w:val="28"/>
          <w:lang w:bidi="ar"/>
        </w:rPr>
        <w:t>），但</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0.74 kg</w:t>
      </w:r>
      <w:r>
        <w:rPr>
          <w:rFonts w:ascii="Times New Roman" w:eastAsia="宋体" w:hAnsi="Times New Roman" w:cs="Times New Roman" w:hint="eastAsia"/>
          <w:color w:val="000000"/>
          <w:kern w:val="0"/>
          <w:sz w:val="28"/>
          <w:szCs w:val="28"/>
          <w:lang w:bidi="ar"/>
        </w:rPr>
        <w:t>）。间作模式远优于单作。间作模式下，</w:t>
      </w:r>
      <w:r>
        <w:rPr>
          <w:rFonts w:ascii="Times New Roman" w:eastAsia="宋体" w:hAnsi="Times New Roman" w:cs="Times New Roman" w:hint="eastAsia"/>
          <w:color w:val="000000"/>
          <w:kern w:val="0"/>
          <w:sz w:val="28"/>
          <w:szCs w:val="28"/>
          <w:lang w:bidi="ar"/>
        </w:rPr>
        <w:t>N1</w:t>
      </w:r>
      <w:r>
        <w:rPr>
          <w:rFonts w:ascii="Times New Roman" w:eastAsia="宋体" w:hAnsi="Times New Roman" w:cs="Times New Roman" w:hint="eastAsia"/>
          <w:color w:val="000000"/>
          <w:kern w:val="0"/>
          <w:sz w:val="28"/>
          <w:szCs w:val="28"/>
          <w:lang w:bidi="ar"/>
        </w:rPr>
        <w:t>干物质含量较高（</w:t>
      </w:r>
      <w:r>
        <w:rPr>
          <w:rFonts w:ascii="Times New Roman" w:eastAsia="宋体" w:hAnsi="Times New Roman" w:cs="Times New Roman" w:hint="eastAsia"/>
          <w:color w:val="000000"/>
          <w:kern w:val="0"/>
          <w:sz w:val="28"/>
          <w:szCs w:val="28"/>
          <w:lang w:bidi="ar"/>
        </w:rPr>
        <w:t>0.30%</w:t>
      </w:r>
      <w:r>
        <w:rPr>
          <w:rFonts w:ascii="Times New Roman" w:eastAsia="宋体" w:hAnsi="Times New Roman" w:cs="Times New Roman" w:hint="eastAsia"/>
          <w:color w:val="000000"/>
          <w:kern w:val="0"/>
          <w:sz w:val="28"/>
          <w:szCs w:val="28"/>
          <w:lang w:bidi="ar"/>
        </w:rPr>
        <w:t>），</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较低（</w:t>
      </w:r>
      <w:r>
        <w:rPr>
          <w:rFonts w:ascii="Times New Roman" w:eastAsia="宋体" w:hAnsi="Times New Roman" w:cs="Times New Roman" w:hint="eastAsia"/>
          <w:color w:val="000000"/>
          <w:kern w:val="0"/>
          <w:sz w:val="28"/>
          <w:szCs w:val="28"/>
          <w:lang w:bidi="ar"/>
        </w:rPr>
        <w:t>0.23%</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0.22%</w:t>
      </w:r>
      <w:r>
        <w:rPr>
          <w:rFonts w:ascii="Times New Roman" w:eastAsia="宋体" w:hAnsi="Times New Roman" w:cs="Times New Roman" w:hint="eastAsia"/>
          <w:color w:val="000000"/>
          <w:kern w:val="0"/>
          <w:sz w:val="28"/>
          <w:szCs w:val="28"/>
          <w:lang w:bidi="ar"/>
        </w:rPr>
        <w:t>）。单作模式下，</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干物质含量较高（</w:t>
      </w:r>
      <w:r>
        <w:rPr>
          <w:rFonts w:ascii="Times New Roman" w:eastAsia="宋体" w:hAnsi="Times New Roman" w:cs="Times New Roman" w:hint="eastAsia"/>
          <w:color w:val="000000"/>
          <w:kern w:val="0"/>
          <w:sz w:val="28"/>
          <w:szCs w:val="28"/>
          <w:lang w:bidi="ar"/>
        </w:rPr>
        <w:t>0.32%</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0.29%</w:t>
      </w:r>
      <w:r>
        <w:rPr>
          <w:rFonts w:ascii="Times New Roman" w:eastAsia="宋体" w:hAnsi="Times New Roman" w:cs="Times New Roman" w:hint="eastAsia"/>
          <w:color w:val="000000"/>
          <w:kern w:val="0"/>
          <w:sz w:val="28"/>
          <w:szCs w:val="28"/>
          <w:lang w:bidi="ar"/>
        </w:rPr>
        <w:t>）。单作模式干物质含量整体较高。对于青贮玉米和甜高粱，适当增加氮肥（如</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或</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）能显著提高株高、茎粗和单株鲜重，但过量氮肥（</w:t>
      </w:r>
      <w:r>
        <w:rPr>
          <w:rFonts w:ascii="Times New Roman" w:eastAsia="宋体" w:hAnsi="Times New Roman" w:cs="Times New Roman" w:hint="eastAsia"/>
          <w:color w:val="000000"/>
          <w:kern w:val="0"/>
          <w:sz w:val="28"/>
          <w:szCs w:val="28"/>
          <w:lang w:bidi="ar"/>
        </w:rPr>
        <w:t>N5</w:t>
      </w:r>
      <w:r>
        <w:rPr>
          <w:rFonts w:ascii="Times New Roman" w:eastAsia="宋体" w:hAnsi="Times New Roman" w:cs="Times New Roman" w:hint="eastAsia"/>
          <w:color w:val="000000"/>
          <w:kern w:val="0"/>
          <w:sz w:val="28"/>
          <w:szCs w:val="28"/>
          <w:lang w:bidi="ar"/>
        </w:rPr>
        <w:t>）效果可能减弱或下降。这表明存在最优氮肥水平，</w:t>
      </w:r>
      <w:r>
        <w:rPr>
          <w:rFonts w:ascii="Times New Roman" w:eastAsia="宋体" w:hAnsi="Times New Roman" w:cs="Times New Roman" w:hint="eastAsia"/>
          <w:color w:val="000000"/>
          <w:kern w:val="0"/>
          <w:sz w:val="28"/>
          <w:szCs w:val="28"/>
          <w:lang w:bidi="ar"/>
        </w:rPr>
        <w:t>N4</w:t>
      </w:r>
      <w:r>
        <w:rPr>
          <w:rFonts w:ascii="Times New Roman" w:eastAsia="宋体" w:hAnsi="Times New Roman" w:cs="Times New Roman" w:hint="eastAsia"/>
          <w:color w:val="000000"/>
          <w:kern w:val="0"/>
          <w:sz w:val="28"/>
          <w:szCs w:val="28"/>
          <w:lang w:bidi="ar"/>
        </w:rPr>
        <w:t>对于青贮玉米、</w:t>
      </w:r>
      <w:r>
        <w:rPr>
          <w:rFonts w:ascii="Times New Roman" w:eastAsia="宋体" w:hAnsi="Times New Roman" w:cs="Times New Roman" w:hint="eastAsia"/>
          <w:color w:val="000000"/>
          <w:kern w:val="0"/>
          <w:sz w:val="28"/>
          <w:szCs w:val="28"/>
          <w:lang w:bidi="ar"/>
        </w:rPr>
        <w:t>N3</w:t>
      </w:r>
      <w:r>
        <w:rPr>
          <w:rFonts w:ascii="Times New Roman" w:eastAsia="宋体" w:hAnsi="Times New Roman" w:cs="Times New Roman" w:hint="eastAsia"/>
          <w:color w:val="000000"/>
          <w:kern w:val="0"/>
          <w:sz w:val="28"/>
          <w:szCs w:val="28"/>
          <w:lang w:bidi="ar"/>
        </w:rPr>
        <w:t>对于甜高粱可能是较优选择。青贮玉米的干物质含量随氮肥增加变化不大，而甜高粱的干物质含量在高氮下可能下降。对于青贮玉米，间作模式下单株鲜重平均比单作高约</w:t>
      </w:r>
      <w:r>
        <w:rPr>
          <w:rFonts w:ascii="Times New Roman" w:eastAsia="宋体" w:hAnsi="Times New Roman" w:cs="Times New Roman" w:hint="eastAsia"/>
          <w:color w:val="000000"/>
          <w:kern w:val="0"/>
          <w:sz w:val="28"/>
          <w:szCs w:val="28"/>
          <w:lang w:bidi="ar"/>
        </w:rPr>
        <w:t>10-20%</w:t>
      </w:r>
      <w:r>
        <w:rPr>
          <w:rFonts w:ascii="Times New Roman" w:eastAsia="宋体" w:hAnsi="Times New Roman" w:cs="Times New Roman" w:hint="eastAsia"/>
          <w:color w:val="000000"/>
          <w:kern w:val="0"/>
          <w:sz w:val="28"/>
          <w:szCs w:val="28"/>
          <w:lang w:bidi="ar"/>
        </w:rPr>
        <w:t>；对于甜高粱，间作模式下单株鲜重平均比单作高约</w:t>
      </w:r>
      <w:r>
        <w:rPr>
          <w:rFonts w:ascii="Times New Roman" w:eastAsia="宋体" w:hAnsi="Times New Roman" w:cs="Times New Roman" w:hint="eastAsia"/>
          <w:color w:val="000000"/>
          <w:kern w:val="0"/>
          <w:sz w:val="28"/>
          <w:szCs w:val="28"/>
          <w:lang w:bidi="ar"/>
        </w:rPr>
        <w:t>30-50%</w:t>
      </w:r>
      <w:r>
        <w:rPr>
          <w:rFonts w:ascii="Times New Roman" w:eastAsia="宋体" w:hAnsi="Times New Roman" w:cs="Times New Roman" w:hint="eastAsia"/>
          <w:color w:val="000000"/>
          <w:kern w:val="0"/>
          <w:sz w:val="28"/>
          <w:szCs w:val="28"/>
          <w:lang w:bidi="ar"/>
        </w:rPr>
        <w:t>。</w:t>
      </w:r>
    </w:p>
    <w:p w14:paraId="5A356BC6" w14:textId="77777777" w:rsidR="00547D89" w:rsidRDefault="00000000">
      <w:pPr>
        <w:jc w:val="left"/>
        <w:rPr>
          <w:rFonts w:ascii="Times New Roman" w:eastAsia="宋体" w:hAnsi="Times New Roman" w:cs="Times New Roman"/>
          <w:color w:val="000000"/>
          <w:sz w:val="22"/>
          <w:szCs w:val="22"/>
        </w:rPr>
      </w:pPr>
      <w:r>
        <w:rPr>
          <w:rFonts w:ascii="Times New Roman" w:eastAsia="宋体" w:hAnsi="Times New Roman" w:cs="Times New Roman"/>
          <w:noProof/>
          <w:color w:val="000000"/>
          <w:sz w:val="22"/>
          <w:szCs w:val="22"/>
        </w:rPr>
        <w:drawing>
          <wp:inline distT="0" distB="0" distL="114300" distR="114300" wp14:anchorId="0393E265" wp14:editId="5B60DF02">
            <wp:extent cx="5266055" cy="2388870"/>
            <wp:effectExtent l="0" t="0" r="1270" b="1905"/>
            <wp:docPr id="4" name="图片 4" descr="干鲜产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干鲜产量"/>
                    <pic:cNvPicPr>
                      <a:picLocks noChangeAspect="1"/>
                    </pic:cNvPicPr>
                  </pic:nvPicPr>
                  <pic:blipFill>
                    <a:blip r:embed="rId11"/>
                    <a:stretch>
                      <a:fillRect/>
                    </a:stretch>
                  </pic:blipFill>
                  <pic:spPr>
                    <a:xfrm>
                      <a:off x="0" y="0"/>
                      <a:ext cx="5266055" cy="2388870"/>
                    </a:xfrm>
                    <a:prstGeom prst="rect">
                      <a:avLst/>
                    </a:prstGeom>
                  </pic:spPr>
                </pic:pic>
              </a:graphicData>
            </a:graphic>
          </wp:inline>
        </w:drawing>
      </w:r>
    </w:p>
    <w:p w14:paraId="4E74734E" w14:textId="77777777" w:rsidR="00547D89" w:rsidRDefault="00000000">
      <w:pPr>
        <w:autoSpaceDE w:val="0"/>
        <w:jc w:val="center"/>
        <w:rPr>
          <w:rFonts w:ascii="Times New Roman" w:eastAsia="宋体" w:hAnsi="Times New Roman" w:cs="Times New Roman"/>
          <w:color w:val="000000"/>
          <w:kern w:val="0"/>
          <w:sz w:val="28"/>
          <w:szCs w:val="28"/>
          <w:lang w:bidi="ar"/>
        </w:rPr>
      </w:pPr>
      <w:r>
        <w:rPr>
          <w:rFonts w:ascii="宋体" w:eastAsia="宋体" w:hAnsi="宋体" w:cs="宋体" w:hint="eastAsia"/>
          <w:bCs/>
          <w:sz w:val="21"/>
          <w:szCs w:val="21"/>
          <w:lang w:bidi="ar"/>
        </w:rPr>
        <w:t>图1 不同间作模式对饲草鲜草产量和干草产量</w:t>
      </w:r>
    </w:p>
    <w:p w14:paraId="64785226" w14:textId="77777777" w:rsidR="00547D89" w:rsidRDefault="00000000">
      <w:pPr>
        <w:widowControl/>
        <w:spacing w:beforeLines="30" w:before="93" w:afterLines="30" w:after="93" w:line="480" w:lineRule="exact"/>
        <w:ind w:firstLineChars="200" w:firstLine="440"/>
        <w:jc w:val="center"/>
        <w:rPr>
          <w:rFonts w:ascii="方正楷体_GB2312" w:eastAsia="方正楷体_GB2312" w:hAnsi="方正楷体_GB2312" w:cs="方正楷体_GB2312" w:hint="eastAsia"/>
          <w:b/>
          <w:bCs/>
          <w:color w:val="000000"/>
          <w:kern w:val="0"/>
          <w:sz w:val="28"/>
          <w:szCs w:val="28"/>
          <w:lang w:bidi="ar"/>
        </w:rPr>
      </w:pPr>
      <w:r>
        <w:rPr>
          <w:rFonts w:ascii="Times New Roman" w:eastAsia="宋体" w:hAnsi="Times New Roman" w:cs="Times New Roman" w:hint="eastAsia"/>
          <w:color w:val="000000"/>
          <w:kern w:val="0"/>
          <w:sz w:val="22"/>
          <w:szCs w:val="22"/>
          <w:lang w:bidi="ar"/>
        </w:rPr>
        <w:t>表</w:t>
      </w:r>
      <w:r>
        <w:rPr>
          <w:rFonts w:ascii="Times New Roman" w:eastAsia="宋体" w:hAnsi="Times New Roman" w:cs="Times New Roman" w:hint="eastAsia"/>
          <w:color w:val="000000"/>
          <w:kern w:val="0"/>
          <w:sz w:val="22"/>
          <w:szCs w:val="22"/>
          <w:lang w:bidi="ar"/>
        </w:rPr>
        <w:t xml:space="preserve">1 </w:t>
      </w:r>
      <w:r>
        <w:rPr>
          <w:rFonts w:ascii="Times New Roman" w:eastAsia="宋体" w:hAnsi="Times New Roman" w:cs="Times New Roman" w:hint="eastAsia"/>
          <w:color w:val="000000"/>
          <w:kern w:val="0"/>
          <w:sz w:val="22"/>
          <w:szCs w:val="22"/>
          <w:lang w:bidi="ar"/>
        </w:rPr>
        <w:t>不同施氮量对甜高粱生长性能的影响</w:t>
      </w:r>
    </w:p>
    <w:tbl>
      <w:tblPr>
        <w:tblW w:w="8430" w:type="dxa"/>
        <w:tblInd w:w="100" w:type="dxa"/>
        <w:tblLook w:val="04A0" w:firstRow="1" w:lastRow="0" w:firstColumn="1" w:lastColumn="0" w:noHBand="0" w:noVBand="1"/>
      </w:tblPr>
      <w:tblGrid>
        <w:gridCol w:w="1017"/>
        <w:gridCol w:w="933"/>
        <w:gridCol w:w="1668"/>
        <w:gridCol w:w="1655"/>
        <w:gridCol w:w="1569"/>
        <w:gridCol w:w="1588"/>
      </w:tblGrid>
      <w:tr w:rsidR="00547D89" w14:paraId="21F59B51" w14:textId="77777777">
        <w:trPr>
          <w:trHeight w:val="320"/>
        </w:trPr>
        <w:tc>
          <w:tcPr>
            <w:tcW w:w="1017" w:type="dxa"/>
            <w:vMerge w:val="restart"/>
            <w:tcBorders>
              <w:top w:val="single" w:sz="12" w:space="0" w:color="000000"/>
              <w:left w:val="nil"/>
              <w:bottom w:val="single" w:sz="4" w:space="0" w:color="000000"/>
              <w:right w:val="nil"/>
              <w:tl2br w:val="nil"/>
            </w:tcBorders>
            <w:shd w:val="clear" w:color="auto" w:fill="FFFFFF"/>
            <w:noWrap/>
            <w:vAlign w:val="center"/>
          </w:tcPr>
          <w:p w14:paraId="76F45B56"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模式</w:t>
            </w:r>
          </w:p>
        </w:tc>
        <w:tc>
          <w:tcPr>
            <w:tcW w:w="1017" w:type="dxa"/>
            <w:vMerge w:val="restart"/>
            <w:tcBorders>
              <w:top w:val="single" w:sz="12" w:space="0" w:color="000000"/>
              <w:left w:val="nil"/>
              <w:bottom w:val="single" w:sz="4" w:space="0" w:color="000000"/>
              <w:right w:val="nil"/>
            </w:tcBorders>
            <w:shd w:val="clear" w:color="auto" w:fill="FFFFFF"/>
            <w:vAlign w:val="center"/>
          </w:tcPr>
          <w:p w14:paraId="1760E2CA"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处理</w:t>
            </w:r>
          </w:p>
        </w:tc>
        <w:tc>
          <w:tcPr>
            <w:tcW w:w="1599" w:type="dxa"/>
            <w:vMerge w:val="restart"/>
            <w:tcBorders>
              <w:top w:val="single" w:sz="12" w:space="0" w:color="000000"/>
              <w:left w:val="nil"/>
              <w:bottom w:val="single" w:sz="4" w:space="0" w:color="000000"/>
              <w:right w:val="nil"/>
            </w:tcBorders>
            <w:shd w:val="clear" w:color="auto" w:fill="FFFFFF"/>
            <w:vAlign w:val="center"/>
          </w:tcPr>
          <w:p w14:paraId="7AE90C4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株高</w:t>
            </w:r>
            <w:r>
              <w:rPr>
                <w:rFonts w:ascii="Times New Roman" w:eastAsia="宋体" w:hAnsi="Times New Roman" w:cs="Times New Roman"/>
                <w:color w:val="000000"/>
                <w:sz w:val="24"/>
                <w:szCs w:val="24"/>
              </w:rPr>
              <w:br/>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cm</w:t>
            </w:r>
            <w:r>
              <w:rPr>
                <w:rFonts w:ascii="Times New Roman" w:eastAsia="宋体" w:hAnsi="Times New Roman" w:cs="Times New Roman"/>
                <w:color w:val="000000"/>
                <w:sz w:val="24"/>
                <w:szCs w:val="24"/>
              </w:rPr>
              <w:t>）</w:t>
            </w:r>
          </w:p>
        </w:tc>
        <w:tc>
          <w:tcPr>
            <w:tcW w:w="1599" w:type="dxa"/>
            <w:vMerge w:val="restart"/>
            <w:tcBorders>
              <w:top w:val="single" w:sz="12" w:space="0" w:color="000000"/>
              <w:left w:val="nil"/>
              <w:bottom w:val="single" w:sz="4" w:space="0" w:color="000000"/>
              <w:right w:val="nil"/>
            </w:tcBorders>
            <w:shd w:val="clear" w:color="auto" w:fill="FFFFFF"/>
            <w:vAlign w:val="center"/>
          </w:tcPr>
          <w:p w14:paraId="59885EF9"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茎粗</w:t>
            </w:r>
          </w:p>
          <w:p w14:paraId="5FB06161"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mm</w:t>
            </w:r>
            <w:r>
              <w:rPr>
                <w:rFonts w:ascii="Times New Roman" w:eastAsia="宋体" w:hAnsi="Times New Roman" w:cs="Times New Roman"/>
                <w:color w:val="000000"/>
                <w:sz w:val="24"/>
                <w:szCs w:val="24"/>
              </w:rPr>
              <w:t>）</w:t>
            </w:r>
          </w:p>
        </w:tc>
        <w:tc>
          <w:tcPr>
            <w:tcW w:w="1599" w:type="dxa"/>
            <w:vMerge w:val="restart"/>
            <w:tcBorders>
              <w:top w:val="single" w:sz="12" w:space="0" w:color="000000"/>
              <w:left w:val="nil"/>
              <w:bottom w:val="single" w:sz="4" w:space="0" w:color="000000"/>
              <w:right w:val="nil"/>
            </w:tcBorders>
            <w:shd w:val="clear" w:color="auto" w:fill="FFFFFF"/>
            <w:vAlign w:val="center"/>
          </w:tcPr>
          <w:p w14:paraId="0C94A7C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单株鲜重</w:t>
            </w:r>
            <w:r>
              <w:rPr>
                <w:rFonts w:ascii="Times New Roman" w:eastAsia="宋体" w:hAnsi="Times New Roman" w:cs="Times New Roman"/>
                <w:color w:val="000000"/>
                <w:sz w:val="24"/>
                <w:szCs w:val="24"/>
              </w:rPr>
              <w:br/>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kg</w:t>
            </w:r>
            <w:r>
              <w:rPr>
                <w:rFonts w:ascii="Times New Roman" w:eastAsia="宋体" w:hAnsi="Times New Roman" w:cs="Times New Roman"/>
                <w:color w:val="000000"/>
                <w:sz w:val="24"/>
                <w:szCs w:val="24"/>
              </w:rPr>
              <w:t>）</w:t>
            </w:r>
          </w:p>
        </w:tc>
        <w:tc>
          <w:tcPr>
            <w:tcW w:w="1599" w:type="dxa"/>
            <w:vMerge w:val="restart"/>
            <w:tcBorders>
              <w:top w:val="single" w:sz="12" w:space="0" w:color="000000"/>
              <w:left w:val="nil"/>
              <w:bottom w:val="single" w:sz="4" w:space="0" w:color="000000"/>
              <w:right w:val="nil"/>
            </w:tcBorders>
            <w:shd w:val="clear" w:color="auto" w:fill="FFFFFF"/>
            <w:vAlign w:val="center"/>
          </w:tcPr>
          <w:p w14:paraId="3DF6039E"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干物质含量</w:t>
            </w:r>
            <w:r>
              <w:rPr>
                <w:rFonts w:ascii="Times New Roman" w:eastAsia="宋体" w:hAnsi="Times New Roman" w:cs="Times New Roman"/>
                <w:color w:val="000000"/>
                <w:sz w:val="24"/>
                <w:szCs w:val="24"/>
              </w:rPr>
              <w:br/>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w:t>
            </w:r>
          </w:p>
        </w:tc>
      </w:tr>
      <w:tr w:rsidR="00547D89" w14:paraId="6307A368" w14:textId="77777777">
        <w:trPr>
          <w:trHeight w:val="320"/>
        </w:trPr>
        <w:tc>
          <w:tcPr>
            <w:tcW w:w="1017" w:type="dxa"/>
            <w:vMerge/>
            <w:tcBorders>
              <w:top w:val="single" w:sz="4" w:space="0" w:color="000000"/>
              <w:left w:val="nil"/>
              <w:bottom w:val="nil"/>
              <w:right w:val="nil"/>
            </w:tcBorders>
            <w:shd w:val="clear" w:color="auto" w:fill="FFFFFF"/>
            <w:noWrap/>
            <w:vAlign w:val="center"/>
          </w:tcPr>
          <w:p w14:paraId="665440E0"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vMerge/>
            <w:tcBorders>
              <w:top w:val="single" w:sz="4" w:space="0" w:color="000000"/>
              <w:left w:val="nil"/>
              <w:bottom w:val="nil"/>
              <w:right w:val="nil"/>
            </w:tcBorders>
            <w:shd w:val="clear" w:color="auto" w:fill="FFFFFF"/>
            <w:vAlign w:val="center"/>
          </w:tcPr>
          <w:p w14:paraId="4949B208"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2B3FC2E3"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48243A1C"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30D60E21"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1EE8C62E" w14:textId="77777777" w:rsidR="00547D89" w:rsidRDefault="00547D89">
            <w:pPr>
              <w:widowControl/>
              <w:spacing w:line="320" w:lineRule="exact"/>
              <w:jc w:val="center"/>
              <w:rPr>
                <w:rFonts w:ascii="Times New Roman" w:eastAsia="宋体" w:hAnsi="Times New Roman" w:cs="Times New Roman"/>
                <w:color w:val="000000"/>
                <w:sz w:val="24"/>
                <w:szCs w:val="24"/>
              </w:rPr>
            </w:pPr>
          </w:p>
        </w:tc>
      </w:tr>
      <w:tr w:rsidR="00547D89" w14:paraId="6DD86F5A" w14:textId="77777777">
        <w:trPr>
          <w:trHeight w:val="320"/>
        </w:trPr>
        <w:tc>
          <w:tcPr>
            <w:tcW w:w="1017" w:type="dxa"/>
            <w:vMerge/>
            <w:tcBorders>
              <w:top w:val="single" w:sz="4" w:space="0" w:color="000000"/>
              <w:left w:val="nil"/>
              <w:bottom w:val="nil"/>
              <w:right w:val="nil"/>
            </w:tcBorders>
            <w:shd w:val="clear" w:color="auto" w:fill="FFFFFF"/>
            <w:noWrap/>
            <w:vAlign w:val="center"/>
          </w:tcPr>
          <w:p w14:paraId="3714BEAC"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vMerge/>
            <w:tcBorders>
              <w:top w:val="single" w:sz="4" w:space="0" w:color="000000"/>
              <w:left w:val="nil"/>
              <w:bottom w:val="nil"/>
              <w:right w:val="nil"/>
            </w:tcBorders>
            <w:shd w:val="clear" w:color="auto" w:fill="FFFFFF"/>
            <w:vAlign w:val="center"/>
          </w:tcPr>
          <w:p w14:paraId="31E3A9EC"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05FA899F"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777E45CA"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42485CF4"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599" w:type="dxa"/>
            <w:vMerge/>
            <w:tcBorders>
              <w:top w:val="single" w:sz="4" w:space="0" w:color="000000"/>
              <w:left w:val="nil"/>
              <w:bottom w:val="nil"/>
              <w:right w:val="nil"/>
            </w:tcBorders>
            <w:shd w:val="clear" w:color="auto" w:fill="FFFFFF"/>
            <w:vAlign w:val="center"/>
          </w:tcPr>
          <w:p w14:paraId="6D22DF2B" w14:textId="77777777" w:rsidR="00547D89" w:rsidRDefault="00547D89">
            <w:pPr>
              <w:widowControl/>
              <w:spacing w:line="320" w:lineRule="exact"/>
              <w:jc w:val="center"/>
              <w:rPr>
                <w:rFonts w:ascii="Times New Roman" w:eastAsia="宋体" w:hAnsi="Times New Roman" w:cs="Times New Roman"/>
                <w:color w:val="000000"/>
                <w:sz w:val="24"/>
                <w:szCs w:val="24"/>
              </w:rPr>
            </w:pPr>
          </w:p>
        </w:tc>
      </w:tr>
      <w:tr w:rsidR="00547D89" w14:paraId="3456538B" w14:textId="77777777">
        <w:trPr>
          <w:trHeight w:val="345"/>
        </w:trPr>
        <w:tc>
          <w:tcPr>
            <w:tcW w:w="0" w:type="auto"/>
            <w:vMerge w:val="restart"/>
            <w:tcBorders>
              <w:top w:val="single" w:sz="4" w:space="0" w:color="000000"/>
              <w:left w:val="nil"/>
              <w:bottom w:val="nil"/>
              <w:right w:val="nil"/>
            </w:tcBorders>
            <w:shd w:val="clear" w:color="auto" w:fill="FFFFFF"/>
            <w:noWrap/>
            <w:vAlign w:val="center"/>
          </w:tcPr>
          <w:p w14:paraId="2334BDEB"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间作</w:t>
            </w:r>
          </w:p>
        </w:tc>
        <w:tc>
          <w:tcPr>
            <w:tcW w:w="1017" w:type="dxa"/>
            <w:tcBorders>
              <w:top w:val="single" w:sz="4" w:space="0" w:color="000000"/>
              <w:left w:val="nil"/>
              <w:bottom w:val="nil"/>
              <w:right w:val="nil"/>
            </w:tcBorders>
            <w:shd w:val="clear" w:color="auto" w:fill="FFFFFF"/>
            <w:vAlign w:val="center"/>
          </w:tcPr>
          <w:p w14:paraId="39669B57"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N0</w:t>
            </w:r>
          </w:p>
        </w:tc>
        <w:tc>
          <w:tcPr>
            <w:tcW w:w="1599" w:type="dxa"/>
            <w:tcBorders>
              <w:top w:val="single" w:sz="4" w:space="0" w:color="000000"/>
              <w:left w:val="nil"/>
              <w:bottom w:val="nil"/>
              <w:right w:val="nil"/>
            </w:tcBorders>
            <w:shd w:val="clear" w:color="auto" w:fill="FFFFFF"/>
          </w:tcPr>
          <w:p w14:paraId="3062309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351.33±10.39d</w:t>
            </w:r>
          </w:p>
        </w:tc>
        <w:tc>
          <w:tcPr>
            <w:tcW w:w="1599" w:type="dxa"/>
            <w:tcBorders>
              <w:top w:val="single" w:sz="4" w:space="0" w:color="000000"/>
              <w:left w:val="nil"/>
              <w:bottom w:val="nil"/>
              <w:right w:val="nil"/>
            </w:tcBorders>
            <w:shd w:val="clear" w:color="auto" w:fill="FFFFFF"/>
          </w:tcPr>
          <w:p w14:paraId="41EE345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24.52±0.61ab</w:t>
            </w:r>
          </w:p>
        </w:tc>
        <w:tc>
          <w:tcPr>
            <w:tcW w:w="1599" w:type="dxa"/>
            <w:tcBorders>
              <w:top w:val="single" w:sz="4" w:space="0" w:color="000000"/>
              <w:left w:val="nil"/>
              <w:bottom w:val="nil"/>
              <w:right w:val="nil"/>
            </w:tcBorders>
            <w:shd w:val="clear" w:color="auto" w:fill="FFFFFF"/>
          </w:tcPr>
          <w:p w14:paraId="6A59FB1D"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0.83±0.06d</w:t>
            </w:r>
          </w:p>
        </w:tc>
        <w:tc>
          <w:tcPr>
            <w:tcW w:w="1599" w:type="dxa"/>
            <w:tcBorders>
              <w:top w:val="single" w:sz="4" w:space="0" w:color="000000"/>
              <w:left w:val="nil"/>
              <w:bottom w:val="nil"/>
              <w:right w:val="nil"/>
            </w:tcBorders>
            <w:shd w:val="clear" w:color="auto" w:fill="FFFFFF"/>
          </w:tcPr>
          <w:p w14:paraId="190372C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0.27±0.01bcd</w:t>
            </w:r>
          </w:p>
        </w:tc>
      </w:tr>
      <w:tr w:rsidR="00547D89" w14:paraId="11E442E6" w14:textId="77777777">
        <w:trPr>
          <w:trHeight w:val="345"/>
        </w:trPr>
        <w:tc>
          <w:tcPr>
            <w:tcW w:w="0" w:type="auto"/>
            <w:vMerge/>
            <w:tcBorders>
              <w:top w:val="nil"/>
              <w:left w:val="nil"/>
              <w:bottom w:val="nil"/>
              <w:right w:val="nil"/>
            </w:tcBorders>
            <w:shd w:val="clear" w:color="auto" w:fill="FFFFFF"/>
            <w:noWrap/>
            <w:vAlign w:val="center"/>
          </w:tcPr>
          <w:p w14:paraId="6ECFD7E1"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3699D185"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N1</w:t>
            </w:r>
          </w:p>
        </w:tc>
        <w:tc>
          <w:tcPr>
            <w:tcW w:w="1599" w:type="dxa"/>
            <w:tcBorders>
              <w:top w:val="nil"/>
              <w:left w:val="nil"/>
              <w:bottom w:val="nil"/>
              <w:right w:val="nil"/>
            </w:tcBorders>
            <w:shd w:val="clear" w:color="auto" w:fill="FFFFFF"/>
          </w:tcPr>
          <w:p w14:paraId="46079BAE"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351.33±9.15d</w:t>
            </w:r>
          </w:p>
        </w:tc>
        <w:tc>
          <w:tcPr>
            <w:tcW w:w="1599" w:type="dxa"/>
            <w:tcBorders>
              <w:top w:val="nil"/>
              <w:left w:val="nil"/>
              <w:bottom w:val="nil"/>
              <w:right w:val="nil"/>
            </w:tcBorders>
            <w:shd w:val="clear" w:color="auto" w:fill="FFFFFF"/>
          </w:tcPr>
          <w:p w14:paraId="2CEC3D2D"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25.38±0.21ab</w:t>
            </w:r>
          </w:p>
        </w:tc>
        <w:tc>
          <w:tcPr>
            <w:tcW w:w="1599" w:type="dxa"/>
            <w:tcBorders>
              <w:top w:val="nil"/>
              <w:left w:val="nil"/>
              <w:bottom w:val="nil"/>
              <w:right w:val="nil"/>
            </w:tcBorders>
            <w:shd w:val="clear" w:color="auto" w:fill="FFFFFF"/>
          </w:tcPr>
          <w:p w14:paraId="7DF3AE7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0.86±0.01cd</w:t>
            </w:r>
          </w:p>
        </w:tc>
        <w:tc>
          <w:tcPr>
            <w:tcW w:w="1599" w:type="dxa"/>
            <w:tcBorders>
              <w:top w:val="nil"/>
              <w:left w:val="nil"/>
              <w:bottom w:val="nil"/>
              <w:right w:val="nil"/>
            </w:tcBorders>
            <w:shd w:val="clear" w:color="auto" w:fill="FFFFFF"/>
          </w:tcPr>
          <w:p w14:paraId="0878807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0.30±0.02a</w:t>
            </w:r>
          </w:p>
        </w:tc>
      </w:tr>
      <w:tr w:rsidR="00547D89" w14:paraId="4BE63180" w14:textId="77777777">
        <w:trPr>
          <w:trHeight w:val="345"/>
        </w:trPr>
        <w:tc>
          <w:tcPr>
            <w:tcW w:w="0" w:type="auto"/>
            <w:vMerge/>
            <w:tcBorders>
              <w:top w:val="nil"/>
              <w:left w:val="nil"/>
              <w:bottom w:val="nil"/>
              <w:right w:val="nil"/>
            </w:tcBorders>
            <w:shd w:val="clear" w:color="auto" w:fill="FFFFFF"/>
            <w:noWrap/>
            <w:vAlign w:val="center"/>
          </w:tcPr>
          <w:p w14:paraId="7CE72ED8"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4BFD04A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N2</w:t>
            </w:r>
          </w:p>
        </w:tc>
        <w:tc>
          <w:tcPr>
            <w:tcW w:w="1599" w:type="dxa"/>
            <w:tcBorders>
              <w:top w:val="nil"/>
              <w:left w:val="nil"/>
              <w:bottom w:val="nil"/>
              <w:right w:val="nil"/>
            </w:tcBorders>
            <w:shd w:val="clear" w:color="auto" w:fill="FFFFFF"/>
          </w:tcPr>
          <w:p w14:paraId="44A7B7E8"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362.10±6.02cd</w:t>
            </w:r>
          </w:p>
        </w:tc>
        <w:tc>
          <w:tcPr>
            <w:tcW w:w="1599" w:type="dxa"/>
            <w:tcBorders>
              <w:top w:val="nil"/>
              <w:left w:val="nil"/>
              <w:bottom w:val="nil"/>
              <w:right w:val="nil"/>
            </w:tcBorders>
            <w:shd w:val="clear" w:color="auto" w:fill="FFFFFF"/>
          </w:tcPr>
          <w:p w14:paraId="71471F3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24.32±0.56ab</w:t>
            </w:r>
          </w:p>
        </w:tc>
        <w:tc>
          <w:tcPr>
            <w:tcW w:w="1599" w:type="dxa"/>
            <w:tcBorders>
              <w:top w:val="nil"/>
              <w:left w:val="nil"/>
              <w:bottom w:val="nil"/>
              <w:right w:val="nil"/>
            </w:tcBorders>
            <w:shd w:val="clear" w:color="auto" w:fill="FFFFFF"/>
          </w:tcPr>
          <w:p w14:paraId="50846175"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1.17±0.04b</w:t>
            </w:r>
          </w:p>
        </w:tc>
        <w:tc>
          <w:tcPr>
            <w:tcW w:w="1599" w:type="dxa"/>
            <w:tcBorders>
              <w:top w:val="nil"/>
              <w:left w:val="nil"/>
              <w:bottom w:val="nil"/>
              <w:right w:val="nil"/>
            </w:tcBorders>
            <w:shd w:val="clear" w:color="auto" w:fill="FFFFFF"/>
          </w:tcPr>
          <w:p w14:paraId="019BAA7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0.25±0.01de</w:t>
            </w:r>
          </w:p>
        </w:tc>
      </w:tr>
      <w:tr w:rsidR="00547D89" w14:paraId="27C71189" w14:textId="77777777">
        <w:trPr>
          <w:trHeight w:val="345"/>
        </w:trPr>
        <w:tc>
          <w:tcPr>
            <w:tcW w:w="0" w:type="auto"/>
            <w:vMerge/>
            <w:tcBorders>
              <w:top w:val="nil"/>
              <w:left w:val="nil"/>
              <w:bottom w:val="nil"/>
              <w:right w:val="nil"/>
            </w:tcBorders>
            <w:shd w:val="clear" w:color="auto" w:fill="FFFFFF"/>
            <w:noWrap/>
            <w:vAlign w:val="center"/>
          </w:tcPr>
          <w:p w14:paraId="5905D8C9"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505A81CB"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N3</w:t>
            </w:r>
          </w:p>
        </w:tc>
        <w:tc>
          <w:tcPr>
            <w:tcW w:w="1599" w:type="dxa"/>
            <w:tcBorders>
              <w:top w:val="nil"/>
              <w:left w:val="nil"/>
              <w:bottom w:val="nil"/>
              <w:right w:val="nil"/>
            </w:tcBorders>
            <w:shd w:val="clear" w:color="auto" w:fill="FFFFFF"/>
          </w:tcPr>
          <w:p w14:paraId="3B321C5E"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383.27±4.15a</w:t>
            </w:r>
          </w:p>
        </w:tc>
        <w:tc>
          <w:tcPr>
            <w:tcW w:w="1599" w:type="dxa"/>
            <w:tcBorders>
              <w:top w:val="nil"/>
              <w:left w:val="nil"/>
              <w:bottom w:val="nil"/>
              <w:right w:val="nil"/>
            </w:tcBorders>
            <w:shd w:val="clear" w:color="auto" w:fill="FFFFFF"/>
          </w:tcPr>
          <w:p w14:paraId="0C7710E7"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24.88±1.01ab</w:t>
            </w:r>
          </w:p>
        </w:tc>
        <w:tc>
          <w:tcPr>
            <w:tcW w:w="1599" w:type="dxa"/>
            <w:tcBorders>
              <w:top w:val="nil"/>
              <w:left w:val="nil"/>
              <w:bottom w:val="nil"/>
              <w:right w:val="nil"/>
            </w:tcBorders>
            <w:shd w:val="clear" w:color="auto" w:fill="FFFFFF"/>
          </w:tcPr>
          <w:p w14:paraId="4ED01DB9"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1.39±0.04a</w:t>
            </w:r>
          </w:p>
        </w:tc>
        <w:tc>
          <w:tcPr>
            <w:tcW w:w="1599" w:type="dxa"/>
            <w:tcBorders>
              <w:top w:val="nil"/>
              <w:left w:val="nil"/>
              <w:bottom w:val="nil"/>
              <w:right w:val="nil"/>
            </w:tcBorders>
            <w:shd w:val="clear" w:color="auto" w:fill="FFFFFF"/>
          </w:tcPr>
          <w:p w14:paraId="211117B4"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0.23±0.01e</w:t>
            </w:r>
          </w:p>
        </w:tc>
      </w:tr>
      <w:tr w:rsidR="00547D89" w14:paraId="589777B2" w14:textId="77777777">
        <w:trPr>
          <w:trHeight w:val="345"/>
        </w:trPr>
        <w:tc>
          <w:tcPr>
            <w:tcW w:w="0" w:type="auto"/>
            <w:vMerge/>
            <w:tcBorders>
              <w:top w:val="nil"/>
              <w:left w:val="nil"/>
              <w:bottom w:val="nil"/>
              <w:right w:val="nil"/>
            </w:tcBorders>
            <w:shd w:val="clear" w:color="auto" w:fill="FFFFFF"/>
            <w:noWrap/>
            <w:vAlign w:val="center"/>
          </w:tcPr>
          <w:p w14:paraId="1AF870A4"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4805FC1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N4</w:t>
            </w:r>
          </w:p>
        </w:tc>
        <w:tc>
          <w:tcPr>
            <w:tcW w:w="1599" w:type="dxa"/>
            <w:tcBorders>
              <w:top w:val="nil"/>
              <w:left w:val="nil"/>
              <w:bottom w:val="nil"/>
              <w:right w:val="nil"/>
            </w:tcBorders>
            <w:shd w:val="clear" w:color="auto" w:fill="FFFFFF"/>
          </w:tcPr>
          <w:p w14:paraId="28A43D18"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379.67±5.14ab</w:t>
            </w:r>
          </w:p>
        </w:tc>
        <w:tc>
          <w:tcPr>
            <w:tcW w:w="1599" w:type="dxa"/>
            <w:tcBorders>
              <w:top w:val="nil"/>
              <w:left w:val="nil"/>
              <w:bottom w:val="nil"/>
              <w:right w:val="nil"/>
            </w:tcBorders>
            <w:shd w:val="clear" w:color="auto" w:fill="FFFFFF"/>
          </w:tcPr>
          <w:p w14:paraId="3FC8938A"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23.67±1.79cd</w:t>
            </w:r>
          </w:p>
        </w:tc>
        <w:tc>
          <w:tcPr>
            <w:tcW w:w="1599" w:type="dxa"/>
            <w:tcBorders>
              <w:top w:val="nil"/>
              <w:left w:val="nil"/>
              <w:bottom w:val="nil"/>
              <w:right w:val="nil"/>
            </w:tcBorders>
            <w:shd w:val="clear" w:color="auto" w:fill="FFFFFF"/>
          </w:tcPr>
          <w:p w14:paraId="0CD0FC76"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1.25±0.01b</w:t>
            </w:r>
          </w:p>
        </w:tc>
        <w:tc>
          <w:tcPr>
            <w:tcW w:w="1599" w:type="dxa"/>
            <w:tcBorders>
              <w:top w:val="nil"/>
              <w:left w:val="nil"/>
              <w:bottom w:val="nil"/>
              <w:right w:val="nil"/>
            </w:tcBorders>
            <w:shd w:val="clear" w:color="auto" w:fill="FFFFFF"/>
          </w:tcPr>
          <w:p w14:paraId="487200DA"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0.22±0.01e</w:t>
            </w:r>
          </w:p>
        </w:tc>
      </w:tr>
      <w:tr w:rsidR="00547D89" w14:paraId="2505A1D5" w14:textId="77777777">
        <w:trPr>
          <w:trHeight w:val="345"/>
        </w:trPr>
        <w:tc>
          <w:tcPr>
            <w:tcW w:w="0" w:type="auto"/>
            <w:vMerge/>
            <w:tcBorders>
              <w:top w:val="nil"/>
              <w:left w:val="nil"/>
              <w:bottom w:val="nil"/>
              <w:right w:val="nil"/>
            </w:tcBorders>
            <w:shd w:val="clear" w:color="auto" w:fill="FFFFFF"/>
            <w:noWrap/>
            <w:vAlign w:val="center"/>
          </w:tcPr>
          <w:p w14:paraId="45D7D2F6"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03C50568"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N5</w:t>
            </w:r>
          </w:p>
        </w:tc>
        <w:tc>
          <w:tcPr>
            <w:tcW w:w="1599" w:type="dxa"/>
            <w:tcBorders>
              <w:top w:val="nil"/>
              <w:left w:val="nil"/>
              <w:bottom w:val="nil"/>
              <w:right w:val="nil"/>
            </w:tcBorders>
            <w:shd w:val="clear" w:color="auto" w:fill="FFFFFF"/>
          </w:tcPr>
          <w:p w14:paraId="386D18AF"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376.17±2.76ab</w:t>
            </w:r>
          </w:p>
        </w:tc>
        <w:tc>
          <w:tcPr>
            <w:tcW w:w="1599" w:type="dxa"/>
            <w:tcBorders>
              <w:top w:val="nil"/>
              <w:left w:val="nil"/>
              <w:bottom w:val="nil"/>
              <w:right w:val="nil"/>
            </w:tcBorders>
            <w:shd w:val="clear" w:color="auto" w:fill="FFFFFF"/>
          </w:tcPr>
          <w:p w14:paraId="4C58CA5D"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25.92±1.26a</w:t>
            </w:r>
          </w:p>
        </w:tc>
        <w:tc>
          <w:tcPr>
            <w:tcW w:w="1599" w:type="dxa"/>
            <w:tcBorders>
              <w:top w:val="nil"/>
              <w:left w:val="nil"/>
              <w:bottom w:val="nil"/>
              <w:right w:val="nil"/>
            </w:tcBorders>
            <w:shd w:val="clear" w:color="auto" w:fill="FFFFFF"/>
          </w:tcPr>
          <w:p w14:paraId="055834FE"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1.24±0.13b</w:t>
            </w:r>
          </w:p>
        </w:tc>
        <w:tc>
          <w:tcPr>
            <w:tcW w:w="1599" w:type="dxa"/>
            <w:tcBorders>
              <w:top w:val="nil"/>
              <w:left w:val="nil"/>
              <w:bottom w:val="nil"/>
              <w:right w:val="nil"/>
            </w:tcBorders>
            <w:shd w:val="clear" w:color="auto" w:fill="FFFFFF"/>
          </w:tcPr>
          <w:p w14:paraId="23F5BAA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0.26±0.04bcd</w:t>
            </w:r>
          </w:p>
        </w:tc>
      </w:tr>
      <w:tr w:rsidR="00547D89" w14:paraId="6191C96E" w14:textId="77777777">
        <w:trPr>
          <w:trHeight w:val="345"/>
        </w:trPr>
        <w:tc>
          <w:tcPr>
            <w:tcW w:w="0" w:type="auto"/>
            <w:vMerge w:val="restart"/>
            <w:tcBorders>
              <w:top w:val="nil"/>
              <w:left w:val="nil"/>
              <w:bottom w:val="nil"/>
              <w:right w:val="nil"/>
            </w:tcBorders>
            <w:shd w:val="clear" w:color="auto" w:fill="FFFFFF"/>
            <w:noWrap/>
            <w:vAlign w:val="center"/>
          </w:tcPr>
          <w:p w14:paraId="641E3F1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单作</w:t>
            </w:r>
          </w:p>
        </w:tc>
        <w:tc>
          <w:tcPr>
            <w:tcW w:w="1017" w:type="dxa"/>
            <w:tcBorders>
              <w:top w:val="nil"/>
              <w:left w:val="nil"/>
              <w:bottom w:val="nil"/>
              <w:right w:val="nil"/>
            </w:tcBorders>
            <w:shd w:val="clear" w:color="auto" w:fill="FFFFFF"/>
            <w:vAlign w:val="center"/>
          </w:tcPr>
          <w:p w14:paraId="7766757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N0</w:t>
            </w:r>
          </w:p>
        </w:tc>
        <w:tc>
          <w:tcPr>
            <w:tcW w:w="1599" w:type="dxa"/>
            <w:tcBorders>
              <w:top w:val="nil"/>
              <w:left w:val="nil"/>
              <w:bottom w:val="nil"/>
              <w:right w:val="nil"/>
            </w:tcBorders>
            <w:shd w:val="clear" w:color="auto" w:fill="FFFFFF"/>
          </w:tcPr>
          <w:p w14:paraId="30B4837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359.30±4.56cd</w:t>
            </w:r>
          </w:p>
        </w:tc>
        <w:tc>
          <w:tcPr>
            <w:tcW w:w="1599" w:type="dxa"/>
            <w:tcBorders>
              <w:top w:val="nil"/>
              <w:left w:val="nil"/>
              <w:bottom w:val="nil"/>
              <w:right w:val="nil"/>
            </w:tcBorders>
            <w:shd w:val="clear" w:color="auto" w:fill="FFFFFF"/>
          </w:tcPr>
          <w:p w14:paraId="18231E41"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24.16±0.37bcd</w:t>
            </w:r>
          </w:p>
        </w:tc>
        <w:tc>
          <w:tcPr>
            <w:tcW w:w="1599" w:type="dxa"/>
            <w:tcBorders>
              <w:top w:val="nil"/>
              <w:left w:val="nil"/>
              <w:bottom w:val="nil"/>
              <w:right w:val="nil"/>
            </w:tcBorders>
            <w:shd w:val="clear" w:color="auto" w:fill="FFFFFF"/>
          </w:tcPr>
          <w:p w14:paraId="164C70CB"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0.91±0.01cd</w:t>
            </w:r>
          </w:p>
        </w:tc>
        <w:tc>
          <w:tcPr>
            <w:tcW w:w="1599" w:type="dxa"/>
            <w:tcBorders>
              <w:top w:val="nil"/>
              <w:left w:val="nil"/>
              <w:bottom w:val="nil"/>
              <w:right w:val="nil"/>
            </w:tcBorders>
            <w:shd w:val="clear" w:color="auto" w:fill="FFFFFF"/>
          </w:tcPr>
          <w:p w14:paraId="0D8FD2A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0.24±0.01de</w:t>
            </w:r>
          </w:p>
        </w:tc>
      </w:tr>
      <w:tr w:rsidR="00547D89" w14:paraId="1ED679F9" w14:textId="77777777">
        <w:trPr>
          <w:trHeight w:val="345"/>
        </w:trPr>
        <w:tc>
          <w:tcPr>
            <w:tcW w:w="0" w:type="auto"/>
            <w:vMerge/>
            <w:tcBorders>
              <w:top w:val="nil"/>
              <w:left w:val="nil"/>
              <w:bottom w:val="nil"/>
              <w:right w:val="nil"/>
            </w:tcBorders>
            <w:shd w:val="clear" w:color="auto" w:fill="FFFFFF"/>
            <w:noWrap/>
            <w:vAlign w:val="center"/>
          </w:tcPr>
          <w:p w14:paraId="30E95C99"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0392390B"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N1</w:t>
            </w:r>
          </w:p>
        </w:tc>
        <w:tc>
          <w:tcPr>
            <w:tcW w:w="1599" w:type="dxa"/>
            <w:tcBorders>
              <w:top w:val="nil"/>
              <w:left w:val="nil"/>
              <w:bottom w:val="nil"/>
              <w:right w:val="nil"/>
            </w:tcBorders>
            <w:shd w:val="clear" w:color="auto" w:fill="FFFFFF"/>
          </w:tcPr>
          <w:p w14:paraId="1BA31E36"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354.67±10.24d</w:t>
            </w:r>
          </w:p>
        </w:tc>
        <w:tc>
          <w:tcPr>
            <w:tcW w:w="1599" w:type="dxa"/>
            <w:tcBorders>
              <w:top w:val="nil"/>
              <w:left w:val="nil"/>
              <w:bottom w:val="nil"/>
              <w:right w:val="nil"/>
            </w:tcBorders>
            <w:shd w:val="clear" w:color="auto" w:fill="FFFFFF"/>
          </w:tcPr>
          <w:p w14:paraId="5BCAAE78"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23.84±0.88cd</w:t>
            </w:r>
          </w:p>
        </w:tc>
        <w:tc>
          <w:tcPr>
            <w:tcW w:w="1599" w:type="dxa"/>
            <w:tcBorders>
              <w:top w:val="nil"/>
              <w:left w:val="nil"/>
              <w:bottom w:val="nil"/>
              <w:right w:val="nil"/>
            </w:tcBorders>
            <w:shd w:val="clear" w:color="auto" w:fill="FFFFFF"/>
          </w:tcPr>
          <w:p w14:paraId="09941BE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0.92±0.03cd</w:t>
            </w:r>
          </w:p>
        </w:tc>
        <w:tc>
          <w:tcPr>
            <w:tcW w:w="1599" w:type="dxa"/>
            <w:tcBorders>
              <w:top w:val="nil"/>
              <w:left w:val="nil"/>
              <w:bottom w:val="nil"/>
              <w:right w:val="nil"/>
            </w:tcBorders>
            <w:shd w:val="clear" w:color="auto" w:fill="FFFFFF"/>
          </w:tcPr>
          <w:p w14:paraId="11FFD68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0.26±0.03cd</w:t>
            </w:r>
          </w:p>
        </w:tc>
      </w:tr>
      <w:tr w:rsidR="00547D89" w14:paraId="5B1A8A77" w14:textId="77777777">
        <w:trPr>
          <w:trHeight w:val="345"/>
        </w:trPr>
        <w:tc>
          <w:tcPr>
            <w:tcW w:w="0" w:type="auto"/>
            <w:vMerge/>
            <w:tcBorders>
              <w:top w:val="nil"/>
              <w:left w:val="nil"/>
              <w:bottom w:val="nil"/>
              <w:right w:val="nil"/>
            </w:tcBorders>
            <w:shd w:val="clear" w:color="auto" w:fill="FFFFFF"/>
            <w:noWrap/>
            <w:vAlign w:val="center"/>
          </w:tcPr>
          <w:p w14:paraId="25121961"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4264628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N2</w:t>
            </w:r>
          </w:p>
        </w:tc>
        <w:tc>
          <w:tcPr>
            <w:tcW w:w="1599" w:type="dxa"/>
            <w:tcBorders>
              <w:top w:val="nil"/>
              <w:left w:val="nil"/>
              <w:bottom w:val="nil"/>
              <w:right w:val="nil"/>
            </w:tcBorders>
            <w:shd w:val="clear" w:color="auto" w:fill="FFFFFF"/>
          </w:tcPr>
          <w:p w14:paraId="20238E3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354.07±6.37d</w:t>
            </w:r>
          </w:p>
        </w:tc>
        <w:tc>
          <w:tcPr>
            <w:tcW w:w="1599" w:type="dxa"/>
            <w:tcBorders>
              <w:top w:val="nil"/>
              <w:left w:val="nil"/>
              <w:bottom w:val="nil"/>
              <w:right w:val="nil"/>
            </w:tcBorders>
            <w:shd w:val="clear" w:color="auto" w:fill="FFFFFF"/>
          </w:tcPr>
          <w:p w14:paraId="0F12781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22.12±1.20d</w:t>
            </w:r>
          </w:p>
        </w:tc>
        <w:tc>
          <w:tcPr>
            <w:tcW w:w="1599" w:type="dxa"/>
            <w:tcBorders>
              <w:top w:val="nil"/>
              <w:left w:val="nil"/>
              <w:bottom w:val="nil"/>
              <w:right w:val="nil"/>
            </w:tcBorders>
            <w:shd w:val="clear" w:color="auto" w:fill="FFFFFF"/>
          </w:tcPr>
          <w:p w14:paraId="5294F998"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0.91±0.02cd</w:t>
            </w:r>
          </w:p>
        </w:tc>
        <w:tc>
          <w:tcPr>
            <w:tcW w:w="1599" w:type="dxa"/>
            <w:tcBorders>
              <w:top w:val="nil"/>
              <w:left w:val="nil"/>
              <w:bottom w:val="nil"/>
              <w:right w:val="nil"/>
            </w:tcBorders>
            <w:shd w:val="clear" w:color="auto" w:fill="FFFFFF"/>
          </w:tcPr>
          <w:p w14:paraId="383818C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0.23±0.01e</w:t>
            </w:r>
          </w:p>
        </w:tc>
      </w:tr>
      <w:tr w:rsidR="00547D89" w14:paraId="05349C95" w14:textId="77777777">
        <w:trPr>
          <w:trHeight w:val="345"/>
        </w:trPr>
        <w:tc>
          <w:tcPr>
            <w:tcW w:w="0" w:type="auto"/>
            <w:vMerge/>
            <w:tcBorders>
              <w:top w:val="nil"/>
              <w:left w:val="nil"/>
              <w:bottom w:val="nil"/>
              <w:right w:val="nil"/>
            </w:tcBorders>
            <w:shd w:val="clear" w:color="auto" w:fill="FFFFFF"/>
            <w:noWrap/>
            <w:vAlign w:val="center"/>
          </w:tcPr>
          <w:p w14:paraId="243ED5B8"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1999A932"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N3</w:t>
            </w:r>
          </w:p>
        </w:tc>
        <w:tc>
          <w:tcPr>
            <w:tcW w:w="1599" w:type="dxa"/>
            <w:tcBorders>
              <w:top w:val="nil"/>
              <w:left w:val="nil"/>
              <w:bottom w:val="nil"/>
              <w:right w:val="nil"/>
            </w:tcBorders>
            <w:shd w:val="clear" w:color="auto" w:fill="FFFFFF"/>
          </w:tcPr>
          <w:p w14:paraId="36FCA33B"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359.53±3.69cd</w:t>
            </w:r>
          </w:p>
        </w:tc>
        <w:tc>
          <w:tcPr>
            <w:tcW w:w="1599" w:type="dxa"/>
            <w:tcBorders>
              <w:top w:val="nil"/>
              <w:left w:val="nil"/>
              <w:bottom w:val="nil"/>
              <w:right w:val="nil"/>
            </w:tcBorders>
            <w:shd w:val="clear" w:color="auto" w:fill="FFFFFF"/>
          </w:tcPr>
          <w:p w14:paraId="150ECD87"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23.28±0.65cd</w:t>
            </w:r>
          </w:p>
        </w:tc>
        <w:tc>
          <w:tcPr>
            <w:tcW w:w="1599" w:type="dxa"/>
            <w:tcBorders>
              <w:top w:val="nil"/>
              <w:left w:val="nil"/>
              <w:bottom w:val="nil"/>
              <w:right w:val="nil"/>
            </w:tcBorders>
            <w:shd w:val="clear" w:color="auto" w:fill="FFFFFF"/>
          </w:tcPr>
          <w:p w14:paraId="73EF6545"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0.91±0.02cd</w:t>
            </w:r>
          </w:p>
        </w:tc>
        <w:tc>
          <w:tcPr>
            <w:tcW w:w="1599" w:type="dxa"/>
            <w:tcBorders>
              <w:top w:val="nil"/>
              <w:left w:val="nil"/>
              <w:bottom w:val="nil"/>
              <w:right w:val="nil"/>
            </w:tcBorders>
            <w:shd w:val="clear" w:color="auto" w:fill="FFFFFF"/>
          </w:tcPr>
          <w:p w14:paraId="420CEEDE"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0.29±0.02a</w:t>
            </w:r>
          </w:p>
        </w:tc>
      </w:tr>
      <w:tr w:rsidR="00547D89" w14:paraId="6F2FE25B" w14:textId="77777777">
        <w:trPr>
          <w:trHeight w:val="345"/>
        </w:trPr>
        <w:tc>
          <w:tcPr>
            <w:tcW w:w="0" w:type="auto"/>
            <w:vMerge/>
            <w:tcBorders>
              <w:top w:val="nil"/>
              <w:left w:val="nil"/>
              <w:bottom w:val="nil"/>
              <w:right w:val="nil"/>
            </w:tcBorders>
            <w:shd w:val="clear" w:color="auto" w:fill="FFFFFF"/>
            <w:noWrap/>
            <w:vAlign w:val="center"/>
          </w:tcPr>
          <w:p w14:paraId="4E67C31D"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nil"/>
              <w:right w:val="nil"/>
            </w:tcBorders>
            <w:shd w:val="clear" w:color="auto" w:fill="FFFFFF"/>
            <w:vAlign w:val="center"/>
          </w:tcPr>
          <w:p w14:paraId="7DB51835"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N4</w:t>
            </w:r>
          </w:p>
        </w:tc>
        <w:tc>
          <w:tcPr>
            <w:tcW w:w="1599" w:type="dxa"/>
            <w:tcBorders>
              <w:top w:val="nil"/>
              <w:left w:val="nil"/>
              <w:bottom w:val="nil"/>
              <w:right w:val="nil"/>
            </w:tcBorders>
            <w:shd w:val="clear" w:color="auto" w:fill="FFFFFF"/>
          </w:tcPr>
          <w:p w14:paraId="276E9FF1"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369.83±6.52bc</w:t>
            </w:r>
          </w:p>
        </w:tc>
        <w:tc>
          <w:tcPr>
            <w:tcW w:w="1599" w:type="dxa"/>
            <w:tcBorders>
              <w:top w:val="nil"/>
              <w:left w:val="nil"/>
              <w:bottom w:val="nil"/>
              <w:right w:val="nil"/>
            </w:tcBorders>
            <w:shd w:val="clear" w:color="auto" w:fill="FFFFFF"/>
          </w:tcPr>
          <w:p w14:paraId="59FAAF99"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23.05±0.84d</w:t>
            </w:r>
          </w:p>
        </w:tc>
        <w:tc>
          <w:tcPr>
            <w:tcW w:w="1599" w:type="dxa"/>
            <w:tcBorders>
              <w:top w:val="nil"/>
              <w:left w:val="nil"/>
              <w:bottom w:val="nil"/>
              <w:right w:val="nil"/>
            </w:tcBorders>
            <w:shd w:val="clear" w:color="auto" w:fill="FFFFFF"/>
          </w:tcPr>
          <w:p w14:paraId="012F72A1"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0.74±0.02d</w:t>
            </w:r>
          </w:p>
        </w:tc>
        <w:tc>
          <w:tcPr>
            <w:tcW w:w="1599" w:type="dxa"/>
            <w:tcBorders>
              <w:top w:val="nil"/>
              <w:left w:val="nil"/>
              <w:bottom w:val="nil"/>
              <w:right w:val="nil"/>
            </w:tcBorders>
            <w:shd w:val="clear" w:color="auto" w:fill="FFFFFF"/>
          </w:tcPr>
          <w:p w14:paraId="144D2923"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0.28±0.01b</w:t>
            </w:r>
          </w:p>
        </w:tc>
      </w:tr>
      <w:tr w:rsidR="00547D89" w14:paraId="176F350A" w14:textId="77777777">
        <w:trPr>
          <w:trHeight w:val="345"/>
        </w:trPr>
        <w:tc>
          <w:tcPr>
            <w:tcW w:w="0" w:type="auto"/>
            <w:vMerge/>
            <w:tcBorders>
              <w:top w:val="nil"/>
              <w:left w:val="nil"/>
              <w:bottom w:val="single" w:sz="12" w:space="0" w:color="000000"/>
              <w:right w:val="nil"/>
            </w:tcBorders>
            <w:shd w:val="clear" w:color="auto" w:fill="FFFFFF"/>
            <w:noWrap/>
            <w:vAlign w:val="center"/>
          </w:tcPr>
          <w:p w14:paraId="1B0B9CB5" w14:textId="77777777" w:rsidR="00547D89" w:rsidRDefault="00547D89">
            <w:pPr>
              <w:widowControl/>
              <w:spacing w:line="320" w:lineRule="exact"/>
              <w:jc w:val="center"/>
              <w:rPr>
                <w:rFonts w:ascii="Times New Roman" w:eastAsia="宋体" w:hAnsi="Times New Roman" w:cs="Times New Roman"/>
                <w:color w:val="000000"/>
                <w:sz w:val="24"/>
                <w:szCs w:val="24"/>
              </w:rPr>
            </w:pPr>
          </w:p>
        </w:tc>
        <w:tc>
          <w:tcPr>
            <w:tcW w:w="1017" w:type="dxa"/>
            <w:tcBorders>
              <w:top w:val="nil"/>
              <w:left w:val="nil"/>
              <w:bottom w:val="single" w:sz="12" w:space="0" w:color="000000"/>
              <w:right w:val="nil"/>
            </w:tcBorders>
            <w:shd w:val="clear" w:color="auto" w:fill="FFFFFF"/>
            <w:vAlign w:val="center"/>
          </w:tcPr>
          <w:p w14:paraId="27878D51"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N5</w:t>
            </w:r>
          </w:p>
        </w:tc>
        <w:tc>
          <w:tcPr>
            <w:tcW w:w="1599" w:type="dxa"/>
            <w:tcBorders>
              <w:top w:val="nil"/>
              <w:left w:val="nil"/>
              <w:bottom w:val="single" w:sz="12" w:space="0" w:color="000000"/>
              <w:right w:val="nil"/>
            </w:tcBorders>
            <w:shd w:val="clear" w:color="auto" w:fill="FFFFFF"/>
          </w:tcPr>
          <w:p w14:paraId="164533C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363.67±4.16cd</w:t>
            </w:r>
          </w:p>
        </w:tc>
        <w:tc>
          <w:tcPr>
            <w:tcW w:w="1599" w:type="dxa"/>
            <w:tcBorders>
              <w:top w:val="nil"/>
              <w:left w:val="nil"/>
              <w:bottom w:val="single" w:sz="12" w:space="0" w:color="000000"/>
              <w:right w:val="nil"/>
            </w:tcBorders>
            <w:shd w:val="clear" w:color="auto" w:fill="FFFFFF"/>
          </w:tcPr>
          <w:p w14:paraId="77E0C4A4"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23.25±0.35cd</w:t>
            </w:r>
          </w:p>
        </w:tc>
        <w:tc>
          <w:tcPr>
            <w:tcW w:w="1599" w:type="dxa"/>
            <w:tcBorders>
              <w:top w:val="nil"/>
              <w:left w:val="nil"/>
              <w:bottom w:val="single" w:sz="12" w:space="0" w:color="000000"/>
              <w:right w:val="nil"/>
            </w:tcBorders>
            <w:shd w:val="clear" w:color="auto" w:fill="FFFFFF"/>
          </w:tcPr>
          <w:p w14:paraId="04E4B5E0"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0.92±0.02c</w:t>
            </w:r>
          </w:p>
        </w:tc>
        <w:tc>
          <w:tcPr>
            <w:tcW w:w="1599" w:type="dxa"/>
            <w:tcBorders>
              <w:top w:val="nil"/>
              <w:left w:val="nil"/>
              <w:bottom w:val="single" w:sz="12" w:space="0" w:color="000000"/>
              <w:right w:val="nil"/>
            </w:tcBorders>
            <w:shd w:val="clear" w:color="auto" w:fill="FFFFFF"/>
          </w:tcPr>
          <w:p w14:paraId="5522143C" w14:textId="77777777" w:rsidR="00547D89" w:rsidRDefault="00000000">
            <w:pPr>
              <w:widowControl/>
              <w:spacing w:line="320" w:lineRule="exact"/>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0.32±0.01a</w:t>
            </w:r>
          </w:p>
        </w:tc>
      </w:tr>
    </w:tbl>
    <w:p w14:paraId="2052820C" w14:textId="77777777" w:rsidR="00547D89" w:rsidRDefault="00000000">
      <w:pPr>
        <w:widowControl/>
        <w:spacing w:beforeLines="30" w:before="93" w:afterLines="30" w:after="93" w:line="480" w:lineRule="exact"/>
        <w:ind w:firstLineChars="200" w:firstLine="560"/>
        <w:rPr>
          <w:rFonts w:ascii="方正楷体_GB2312" w:eastAsia="方正楷体_GB2312" w:hAnsi="方正楷体_GB2312" w:cs="方正楷体_GB2312" w:hint="eastAsia"/>
          <w:b/>
          <w:bCs/>
          <w:color w:val="000000"/>
          <w:kern w:val="0"/>
          <w:sz w:val="28"/>
          <w:szCs w:val="28"/>
          <w:lang w:bidi="ar"/>
        </w:rPr>
      </w:pPr>
      <w:r>
        <w:rPr>
          <w:rFonts w:ascii="Times New Roman" w:eastAsia="宋体" w:hAnsi="Times New Roman" w:cs="Times New Roman" w:hint="eastAsia"/>
          <w:color w:val="000000"/>
          <w:kern w:val="0"/>
          <w:sz w:val="28"/>
          <w:szCs w:val="28"/>
          <w:lang w:bidi="ar"/>
        </w:rPr>
        <w:t>通过连续多年的实验数据及示范推广验证，最终确定青贮玉米与甜高粱间作（</w:t>
      </w:r>
      <w:r>
        <w:rPr>
          <w:rFonts w:ascii="Times New Roman" w:eastAsia="宋体" w:hAnsi="Times New Roman" w:cs="Times New Roman" w:hint="eastAsia"/>
          <w:color w:val="000000"/>
          <w:kern w:val="0"/>
          <w:sz w:val="28"/>
          <w:szCs w:val="28"/>
          <w:lang w:bidi="ar"/>
        </w:rPr>
        <w:t>3:3</w:t>
      </w:r>
      <w:r>
        <w:rPr>
          <w:rFonts w:ascii="Times New Roman" w:eastAsia="宋体" w:hAnsi="Times New Roman" w:cs="Times New Roman" w:hint="eastAsia"/>
          <w:color w:val="000000"/>
          <w:kern w:val="0"/>
          <w:sz w:val="28"/>
          <w:szCs w:val="28"/>
          <w:lang w:bidi="ar"/>
        </w:rPr>
        <w:t>或</w:t>
      </w:r>
      <w:r>
        <w:rPr>
          <w:rFonts w:ascii="Times New Roman" w:eastAsia="宋体" w:hAnsi="Times New Roman" w:cs="Times New Roman" w:hint="eastAsia"/>
          <w:color w:val="000000"/>
          <w:kern w:val="0"/>
          <w:sz w:val="28"/>
          <w:szCs w:val="28"/>
          <w:lang w:bidi="ar"/>
        </w:rPr>
        <w:t>6:6</w:t>
      </w:r>
      <w:r>
        <w:rPr>
          <w:rFonts w:ascii="Times New Roman" w:eastAsia="宋体" w:hAnsi="Times New Roman" w:cs="Times New Roman" w:hint="eastAsia"/>
          <w:color w:val="000000"/>
          <w:kern w:val="0"/>
          <w:sz w:val="28"/>
          <w:szCs w:val="28"/>
          <w:lang w:bidi="ar"/>
        </w:rPr>
        <w:t>）模式推荐施肥量：基肥每亩施用充分腐熟的农家肥</w:t>
      </w:r>
      <w:r>
        <w:rPr>
          <w:rFonts w:ascii="Times New Roman" w:eastAsia="宋体" w:hAnsi="Times New Roman" w:cs="Times New Roman" w:hint="eastAsia"/>
          <w:color w:val="000000"/>
          <w:kern w:val="0"/>
          <w:sz w:val="28"/>
          <w:szCs w:val="28"/>
          <w:lang w:bidi="ar"/>
        </w:rPr>
        <w:t>3~5</w:t>
      </w:r>
      <w:r>
        <w:rPr>
          <w:rFonts w:ascii="Times New Roman" w:eastAsia="宋体" w:hAnsi="Times New Roman" w:cs="Times New Roman" w:hint="eastAsia"/>
          <w:color w:val="000000"/>
          <w:kern w:val="0"/>
          <w:sz w:val="28"/>
          <w:szCs w:val="28"/>
          <w:lang w:bidi="ar"/>
        </w:rPr>
        <w:t>吨（或商品有机肥</w:t>
      </w:r>
      <w:r>
        <w:rPr>
          <w:rFonts w:ascii="Times New Roman" w:eastAsia="宋体" w:hAnsi="Times New Roman" w:cs="Times New Roman" w:hint="eastAsia"/>
          <w:color w:val="000000"/>
          <w:kern w:val="0"/>
          <w:sz w:val="28"/>
          <w:szCs w:val="28"/>
          <w:lang w:bidi="ar"/>
        </w:rPr>
        <w:t>300~500</w:t>
      </w:r>
      <w:r>
        <w:rPr>
          <w:rFonts w:ascii="Times New Roman" w:eastAsia="宋体" w:hAnsi="Times New Roman" w:cs="Times New Roman" w:hint="eastAsia"/>
          <w:color w:val="000000"/>
          <w:kern w:val="0"/>
          <w:sz w:val="28"/>
          <w:szCs w:val="28"/>
          <w:lang w:bidi="ar"/>
        </w:rPr>
        <w:t>公斤），尿素</w:t>
      </w:r>
      <w:r>
        <w:rPr>
          <w:rFonts w:ascii="Times New Roman" w:eastAsia="宋体" w:hAnsi="Times New Roman" w:cs="Times New Roman" w:hint="eastAsia"/>
          <w:color w:val="000000"/>
          <w:kern w:val="0"/>
          <w:sz w:val="28"/>
          <w:szCs w:val="28"/>
          <w:lang w:bidi="ar"/>
        </w:rPr>
        <w:t>5~7 kg/</w:t>
      </w:r>
      <w:r>
        <w:rPr>
          <w:rFonts w:ascii="Times New Roman" w:eastAsia="宋体" w:hAnsi="Times New Roman" w:cs="Times New Roman" w:hint="eastAsia"/>
          <w:color w:val="000000"/>
          <w:kern w:val="0"/>
          <w:sz w:val="28"/>
          <w:szCs w:val="28"/>
          <w:lang w:bidi="ar"/>
        </w:rPr>
        <w:t>亩或等氮量的其他氮肥。施</w:t>
      </w:r>
      <w:r>
        <w:rPr>
          <w:rFonts w:ascii="Times New Roman" w:eastAsia="宋体" w:hAnsi="Times New Roman" w:cs="Times New Roman" w:hint="eastAsia"/>
          <w:color w:val="000000"/>
          <w:kern w:val="0"/>
          <w:sz w:val="28"/>
          <w:szCs w:val="28"/>
          <w:lang w:bidi="ar"/>
        </w:rPr>
        <w:t>8~12 kg/</w:t>
      </w:r>
      <w:r>
        <w:rPr>
          <w:rFonts w:ascii="Times New Roman" w:eastAsia="宋体" w:hAnsi="Times New Roman" w:cs="Times New Roman" w:hint="eastAsia"/>
          <w:color w:val="000000"/>
          <w:kern w:val="0"/>
          <w:sz w:val="28"/>
          <w:szCs w:val="28"/>
          <w:lang w:bidi="ar"/>
        </w:rPr>
        <w:t>亩过磷酸钙或等磷量的磷酸二铵，</w:t>
      </w:r>
      <w:r>
        <w:rPr>
          <w:rFonts w:ascii="Times New Roman" w:eastAsia="宋体" w:hAnsi="Times New Roman" w:cs="Times New Roman" w:hint="eastAsia"/>
          <w:color w:val="000000"/>
          <w:kern w:val="0"/>
          <w:sz w:val="28"/>
          <w:szCs w:val="28"/>
          <w:lang w:bidi="ar"/>
        </w:rPr>
        <w:t>5~10 kg/</w:t>
      </w:r>
      <w:r>
        <w:rPr>
          <w:rFonts w:ascii="Times New Roman" w:eastAsia="宋体" w:hAnsi="Times New Roman" w:cs="Times New Roman" w:hint="eastAsia"/>
          <w:color w:val="000000"/>
          <w:kern w:val="0"/>
          <w:sz w:val="28"/>
          <w:szCs w:val="28"/>
          <w:lang w:bidi="ar"/>
        </w:rPr>
        <w:t>亩氯化钾。种肥施磷酸二铵</w:t>
      </w:r>
      <w:r>
        <w:rPr>
          <w:rFonts w:ascii="Times New Roman" w:eastAsia="宋体" w:hAnsi="Times New Roman" w:cs="Times New Roman" w:hint="eastAsia"/>
          <w:color w:val="000000"/>
          <w:kern w:val="0"/>
          <w:sz w:val="28"/>
          <w:szCs w:val="28"/>
          <w:lang w:bidi="ar"/>
        </w:rPr>
        <w:t>3~5 kg/</w:t>
      </w:r>
      <w:r>
        <w:rPr>
          <w:rFonts w:ascii="Times New Roman" w:eastAsia="宋体" w:hAnsi="Times New Roman" w:cs="Times New Roman" w:hint="eastAsia"/>
          <w:color w:val="000000"/>
          <w:kern w:val="0"/>
          <w:sz w:val="28"/>
          <w:szCs w:val="28"/>
          <w:lang w:bidi="ar"/>
        </w:rPr>
        <w:t>亩。拔节期（玉米长出</w:t>
      </w:r>
      <w:r>
        <w:rPr>
          <w:rFonts w:ascii="Times New Roman" w:eastAsia="宋体" w:hAnsi="Times New Roman" w:cs="Times New Roman" w:hint="eastAsia"/>
          <w:color w:val="000000"/>
          <w:kern w:val="0"/>
          <w:sz w:val="28"/>
          <w:szCs w:val="28"/>
          <w:lang w:bidi="ar"/>
        </w:rPr>
        <w:t>7~9</w:t>
      </w:r>
      <w:r>
        <w:rPr>
          <w:rFonts w:ascii="Times New Roman" w:eastAsia="宋体" w:hAnsi="Times New Roman" w:cs="Times New Roman" w:hint="eastAsia"/>
          <w:color w:val="000000"/>
          <w:kern w:val="0"/>
          <w:sz w:val="28"/>
          <w:szCs w:val="28"/>
          <w:lang w:bidi="ar"/>
        </w:rPr>
        <w:t>片可见叶时）追施尿素</w:t>
      </w:r>
      <w:r>
        <w:rPr>
          <w:rFonts w:ascii="Times New Roman" w:eastAsia="宋体" w:hAnsi="Times New Roman" w:cs="Times New Roman" w:hint="eastAsia"/>
          <w:color w:val="000000"/>
          <w:kern w:val="0"/>
          <w:sz w:val="28"/>
          <w:szCs w:val="28"/>
          <w:lang w:bidi="ar"/>
        </w:rPr>
        <w:t>12~16 kg/</w:t>
      </w:r>
      <w:r>
        <w:rPr>
          <w:rFonts w:ascii="Times New Roman" w:eastAsia="宋体" w:hAnsi="Times New Roman" w:cs="Times New Roman" w:hint="eastAsia"/>
          <w:color w:val="000000"/>
          <w:kern w:val="0"/>
          <w:sz w:val="28"/>
          <w:szCs w:val="28"/>
          <w:lang w:bidi="ar"/>
        </w:rPr>
        <w:t>亩，大喇叭口期（在玉米长出</w:t>
      </w:r>
      <w:r>
        <w:rPr>
          <w:rFonts w:ascii="Times New Roman" w:eastAsia="宋体" w:hAnsi="Times New Roman" w:cs="Times New Roman" w:hint="eastAsia"/>
          <w:color w:val="000000"/>
          <w:kern w:val="0"/>
          <w:sz w:val="28"/>
          <w:szCs w:val="28"/>
          <w:lang w:bidi="ar"/>
        </w:rPr>
        <w:t>11~13</w:t>
      </w:r>
      <w:r>
        <w:rPr>
          <w:rFonts w:ascii="Times New Roman" w:eastAsia="宋体" w:hAnsi="Times New Roman" w:cs="Times New Roman" w:hint="eastAsia"/>
          <w:color w:val="000000"/>
          <w:kern w:val="0"/>
          <w:sz w:val="28"/>
          <w:szCs w:val="28"/>
          <w:lang w:bidi="ar"/>
        </w:rPr>
        <w:t>片可见叶，植株形似大喇叭时）追施尿素</w:t>
      </w:r>
      <w:r>
        <w:rPr>
          <w:rFonts w:ascii="Times New Roman" w:eastAsia="宋体" w:hAnsi="Times New Roman" w:cs="Times New Roman" w:hint="eastAsia"/>
          <w:color w:val="000000"/>
          <w:kern w:val="0"/>
          <w:sz w:val="28"/>
          <w:szCs w:val="28"/>
          <w:lang w:bidi="ar"/>
        </w:rPr>
        <w:t>15~20 kg/</w:t>
      </w:r>
      <w:r>
        <w:rPr>
          <w:rFonts w:ascii="Times New Roman" w:eastAsia="宋体" w:hAnsi="Times New Roman" w:cs="Times New Roman" w:hint="eastAsia"/>
          <w:color w:val="000000"/>
          <w:kern w:val="0"/>
          <w:sz w:val="28"/>
          <w:szCs w:val="28"/>
          <w:lang w:bidi="ar"/>
        </w:rPr>
        <w:t>亩。</w:t>
      </w:r>
    </w:p>
    <w:p w14:paraId="1853CFCB" w14:textId="77777777" w:rsidR="00547D89" w:rsidRDefault="00000000">
      <w:pPr>
        <w:pStyle w:val="2"/>
        <w:numPr>
          <w:ilvl w:val="0"/>
          <w:numId w:val="7"/>
        </w:numPr>
        <w:spacing w:before="140" w:after="20" w:line="240" w:lineRule="auto"/>
        <w:rPr>
          <w:rFonts w:ascii="方正楷体_GB2312" w:eastAsia="方正楷体_GB2312" w:hAnsi="方正楷体_GB2312" w:cs="方正楷体_GB2312" w:hint="eastAsia"/>
          <w:bCs/>
          <w:sz w:val="28"/>
          <w:szCs w:val="28"/>
        </w:rPr>
      </w:pPr>
      <w:bookmarkStart w:id="17" w:name="_Toc2432"/>
      <w:r>
        <w:rPr>
          <w:rFonts w:ascii="方正楷体_GB2312" w:eastAsia="方正楷体_GB2312" w:hAnsi="方正楷体_GB2312" w:cs="方正楷体_GB2312" w:hint="eastAsia"/>
          <w:bCs/>
          <w:sz w:val="28"/>
          <w:szCs w:val="28"/>
        </w:rPr>
        <w:t>生产示范</w:t>
      </w:r>
      <w:bookmarkEnd w:id="17"/>
    </w:p>
    <w:p w14:paraId="62575285"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2023</w:t>
      </w:r>
      <w:r>
        <w:rPr>
          <w:rFonts w:ascii="Times New Roman" w:eastAsia="宋体" w:hAnsi="Times New Roman" w:cs="Times New Roman" w:hint="eastAsia"/>
          <w:color w:val="000000"/>
          <w:kern w:val="0"/>
          <w:sz w:val="28"/>
          <w:szCs w:val="28"/>
          <w:lang w:bidi="ar"/>
        </w:rPr>
        <w:t>和</w:t>
      </w:r>
      <w:r>
        <w:rPr>
          <w:rFonts w:ascii="Times New Roman" w:eastAsia="宋体" w:hAnsi="Times New Roman" w:cs="Times New Roman" w:hint="eastAsia"/>
          <w:color w:val="000000"/>
          <w:kern w:val="0"/>
          <w:sz w:val="28"/>
          <w:szCs w:val="28"/>
          <w:lang w:bidi="ar"/>
        </w:rPr>
        <w:t>2024</w:t>
      </w:r>
      <w:r>
        <w:rPr>
          <w:rFonts w:ascii="Times New Roman" w:eastAsia="宋体" w:hAnsi="Times New Roman" w:cs="Times New Roman" w:hint="eastAsia"/>
          <w:color w:val="000000"/>
          <w:kern w:val="0"/>
          <w:sz w:val="28"/>
          <w:szCs w:val="28"/>
          <w:lang w:bidi="ar"/>
        </w:rPr>
        <w:t>年在乌鲁木齐市三坪农场、和田地区策勒县、洛浦县、喀什地区巴楚县间作，共计</w:t>
      </w:r>
      <w:r>
        <w:rPr>
          <w:rFonts w:ascii="Times New Roman" w:eastAsia="宋体" w:hAnsi="Times New Roman" w:cs="Times New Roman" w:hint="eastAsia"/>
          <w:color w:val="000000"/>
          <w:kern w:val="0"/>
          <w:sz w:val="28"/>
          <w:szCs w:val="28"/>
          <w:lang w:bidi="ar"/>
        </w:rPr>
        <w:t>10000</w:t>
      </w:r>
      <w:r>
        <w:rPr>
          <w:rFonts w:ascii="Times New Roman" w:eastAsia="宋体" w:hAnsi="Times New Roman" w:cs="Times New Roman" w:hint="eastAsia"/>
          <w:color w:val="000000"/>
          <w:kern w:val="0"/>
          <w:sz w:val="28"/>
          <w:szCs w:val="28"/>
          <w:lang w:bidi="ar"/>
        </w:rPr>
        <w:t>多亩；各地饲用甜高梁与玉米间作平均亩产</w:t>
      </w:r>
      <w:r>
        <w:rPr>
          <w:rFonts w:ascii="Times New Roman" w:eastAsia="宋体" w:hAnsi="Times New Roman" w:cs="Times New Roman" w:hint="eastAsia"/>
          <w:color w:val="000000"/>
          <w:kern w:val="0"/>
          <w:sz w:val="28"/>
          <w:szCs w:val="28"/>
          <w:lang w:bidi="ar"/>
        </w:rPr>
        <w:t>5</w:t>
      </w:r>
      <w:r>
        <w:rPr>
          <w:rFonts w:ascii="Times New Roman" w:eastAsia="宋体" w:hAnsi="Times New Roman" w:cs="Times New Roman" w:hint="eastAsia"/>
          <w:color w:val="000000"/>
          <w:kern w:val="0"/>
          <w:sz w:val="28"/>
          <w:szCs w:val="28"/>
          <w:lang w:bidi="ar"/>
        </w:rPr>
        <w:t>吨多，单种玉米平均亩产</w:t>
      </w:r>
      <w:r>
        <w:rPr>
          <w:rFonts w:ascii="Times New Roman" w:eastAsia="宋体" w:hAnsi="Times New Roman" w:cs="Times New Roman" w:hint="eastAsia"/>
          <w:color w:val="000000"/>
          <w:kern w:val="0"/>
          <w:sz w:val="28"/>
          <w:szCs w:val="28"/>
          <w:lang w:bidi="ar"/>
        </w:rPr>
        <w:t>4</w:t>
      </w:r>
      <w:r>
        <w:rPr>
          <w:rFonts w:ascii="Times New Roman" w:eastAsia="宋体" w:hAnsi="Times New Roman" w:cs="Times New Roman" w:hint="eastAsia"/>
          <w:color w:val="000000"/>
          <w:kern w:val="0"/>
          <w:sz w:val="28"/>
          <w:szCs w:val="28"/>
          <w:lang w:bidi="ar"/>
        </w:rPr>
        <w:t>吨多，种植饲用甜高梁与青贮玉米间作比单种青贮玉米每亩增产</w:t>
      </w:r>
      <w:r>
        <w:rPr>
          <w:rFonts w:ascii="Times New Roman" w:eastAsia="宋体" w:hAnsi="Times New Roman" w:cs="Times New Roman" w:hint="eastAsia"/>
          <w:color w:val="000000"/>
          <w:kern w:val="0"/>
          <w:sz w:val="28"/>
          <w:szCs w:val="28"/>
          <w:lang w:bidi="ar"/>
        </w:rPr>
        <w:t>1</w:t>
      </w:r>
      <w:r>
        <w:rPr>
          <w:rFonts w:ascii="Times New Roman" w:eastAsia="宋体" w:hAnsi="Times New Roman" w:cs="Times New Roman" w:hint="eastAsia"/>
          <w:color w:val="000000"/>
          <w:kern w:val="0"/>
          <w:sz w:val="28"/>
          <w:szCs w:val="28"/>
          <w:lang w:bidi="ar"/>
        </w:rPr>
        <w:t>吨多，每亩地增收效益大约</w:t>
      </w:r>
      <w:r>
        <w:rPr>
          <w:rFonts w:ascii="Times New Roman" w:eastAsia="宋体" w:hAnsi="Times New Roman" w:cs="Times New Roman" w:hint="eastAsia"/>
          <w:color w:val="000000"/>
          <w:kern w:val="0"/>
          <w:sz w:val="28"/>
          <w:szCs w:val="28"/>
          <w:lang w:bidi="ar"/>
        </w:rPr>
        <w:t>500</w:t>
      </w:r>
      <w:r>
        <w:rPr>
          <w:rFonts w:ascii="Times New Roman" w:eastAsia="宋体" w:hAnsi="Times New Roman" w:cs="Times New Roman" w:hint="eastAsia"/>
          <w:color w:val="000000"/>
          <w:kern w:val="0"/>
          <w:sz w:val="28"/>
          <w:szCs w:val="28"/>
          <w:lang w:bidi="ar"/>
        </w:rPr>
        <w:t>元左右。由</w:t>
      </w:r>
      <w:r>
        <w:rPr>
          <w:rFonts w:ascii="Times New Roman" w:eastAsia="宋体" w:hAnsi="Times New Roman" w:cs="Times New Roman" w:hint="eastAsia"/>
          <w:color w:val="000000"/>
          <w:kern w:val="0"/>
          <w:sz w:val="28"/>
          <w:szCs w:val="28"/>
          <w:lang w:bidi="ar"/>
        </w:rPr>
        <w:t>2023-2024</w:t>
      </w:r>
      <w:r>
        <w:rPr>
          <w:rFonts w:ascii="Times New Roman" w:eastAsia="宋体" w:hAnsi="Times New Roman" w:cs="Times New Roman" w:hint="eastAsia"/>
          <w:color w:val="000000"/>
          <w:kern w:val="0"/>
          <w:sz w:val="28"/>
          <w:szCs w:val="28"/>
          <w:lang w:bidi="ar"/>
        </w:rPr>
        <w:t>年新疆干旱绿洲区多县市饲用甜高梁与玉米间作规模化示范推广的效果可以看出，该技术规程能很好的指导新疆干旱绿洲区进行饲用甜高梁与玉米间作的生产，进而达到增产和稳产的效果。</w:t>
      </w:r>
    </w:p>
    <w:p w14:paraId="4B05A5DC" w14:textId="77777777" w:rsidR="00547D89" w:rsidRDefault="00000000">
      <w:pPr>
        <w:pStyle w:val="1"/>
        <w:numPr>
          <w:ilvl w:val="0"/>
          <w:numId w:val="2"/>
        </w:numPr>
        <w:spacing w:before="156" w:after="156"/>
        <w:rPr>
          <w:rFonts w:ascii="Times New Roman" w:hAnsi="Times New Roman"/>
          <w:b/>
          <w:bCs/>
          <w:sz w:val="32"/>
          <w:szCs w:val="96"/>
        </w:rPr>
      </w:pPr>
      <w:bookmarkStart w:id="18" w:name="_Toc27030"/>
      <w:r>
        <w:rPr>
          <w:rFonts w:ascii="Times New Roman" w:hAnsi="Times New Roman" w:hint="eastAsia"/>
          <w:b/>
          <w:bCs/>
          <w:sz w:val="32"/>
          <w:szCs w:val="96"/>
        </w:rPr>
        <w:t>知识产权说明</w:t>
      </w:r>
      <w:bookmarkEnd w:id="18"/>
    </w:p>
    <w:p w14:paraId="32B8D831"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本技术规程的起草遵循了</w:t>
      </w:r>
      <w:r>
        <w:rPr>
          <w:rFonts w:ascii="Times New Roman" w:eastAsia="宋体" w:hAnsi="Times New Roman" w:cs="Times New Roman" w:hint="eastAsia"/>
          <w:color w:val="000000"/>
          <w:kern w:val="0"/>
          <w:sz w:val="28"/>
          <w:szCs w:val="28"/>
          <w:lang w:bidi="ar"/>
        </w:rPr>
        <w:t>GB/T 1.1-2020</w:t>
      </w:r>
      <w:r>
        <w:rPr>
          <w:rFonts w:ascii="Times New Roman" w:eastAsia="宋体" w:hAnsi="Times New Roman" w:cs="Times New Roman" w:hint="eastAsia"/>
          <w:color w:val="000000"/>
          <w:kern w:val="0"/>
          <w:sz w:val="28"/>
          <w:szCs w:val="28"/>
          <w:lang w:bidi="ar"/>
        </w:rPr>
        <w:t>中关于规范性要素和知识产权的最新规定。在起草过程中，起草工作组对文件所涉及的技术内容进行了尽可能充分的识别与排查。本文件的技术内容整合了各起草单位在“青贮玉米与甜高粱间作”领域的公开科研成果与生产实践经验。该技术规程的知识产权归属新疆农业大学、西安理工大学、兰州大学和新疆畜牧科学院、东北师范大学等单位共享。该技术规程的知识产权归属新疆农业大学、西安理工大学、兰州大学和新疆畜牧科学院共享。</w:t>
      </w:r>
    </w:p>
    <w:p w14:paraId="784A9F85" w14:textId="77777777" w:rsidR="00547D89" w:rsidRDefault="00000000">
      <w:pPr>
        <w:pStyle w:val="1"/>
        <w:numPr>
          <w:ilvl w:val="0"/>
          <w:numId w:val="2"/>
        </w:numPr>
        <w:spacing w:before="156" w:after="156"/>
        <w:rPr>
          <w:rFonts w:ascii="Times New Roman" w:hAnsi="Times New Roman"/>
          <w:b/>
          <w:bCs/>
          <w:sz w:val="32"/>
          <w:szCs w:val="96"/>
        </w:rPr>
      </w:pPr>
      <w:bookmarkStart w:id="19" w:name="_Toc10160"/>
      <w:r>
        <w:rPr>
          <w:rFonts w:ascii="Times New Roman" w:hAnsi="Times New Roman" w:hint="eastAsia"/>
          <w:b/>
          <w:bCs/>
          <w:sz w:val="32"/>
          <w:szCs w:val="96"/>
        </w:rPr>
        <w:t>采标情况</w:t>
      </w:r>
      <w:bookmarkEnd w:id="19"/>
    </w:p>
    <w:p w14:paraId="61D6BBB5" w14:textId="77777777" w:rsidR="00547D89" w:rsidRDefault="00000000">
      <w:pPr>
        <w:pStyle w:val="2"/>
        <w:numPr>
          <w:ilvl w:val="0"/>
          <w:numId w:val="8"/>
        </w:numPr>
        <w:spacing w:before="140" w:after="20" w:line="240" w:lineRule="auto"/>
        <w:rPr>
          <w:rFonts w:ascii="方正楷体_GB2312" w:eastAsia="方正楷体_GB2312" w:hAnsi="方正楷体_GB2312" w:cs="方正楷体_GB2312" w:hint="eastAsia"/>
          <w:bCs/>
          <w:sz w:val="28"/>
          <w:szCs w:val="28"/>
        </w:rPr>
      </w:pPr>
      <w:bookmarkStart w:id="20" w:name="_Toc7616"/>
      <w:r>
        <w:rPr>
          <w:rFonts w:ascii="方正楷体_GB2312" w:eastAsia="方正楷体_GB2312" w:hAnsi="方正楷体_GB2312" w:cs="方正楷体_GB2312" w:hint="eastAsia"/>
          <w:bCs/>
          <w:sz w:val="28"/>
          <w:szCs w:val="28"/>
        </w:rPr>
        <w:t>国际标准与国外先进标准采用情况</w:t>
      </w:r>
      <w:bookmarkEnd w:id="20"/>
    </w:p>
    <w:p w14:paraId="05EBFB7B"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经查询与核实，目前国际标准化组织（</w:t>
      </w:r>
      <w:r>
        <w:rPr>
          <w:rFonts w:ascii="Times New Roman" w:eastAsia="宋体" w:hAnsi="Times New Roman" w:cs="Times New Roman" w:hint="eastAsia"/>
          <w:color w:val="000000"/>
          <w:kern w:val="0"/>
          <w:sz w:val="28"/>
          <w:szCs w:val="28"/>
          <w:lang w:bidi="ar"/>
        </w:rPr>
        <w:t>ISO</w:t>
      </w:r>
      <w:r>
        <w:rPr>
          <w:rFonts w:ascii="Times New Roman" w:eastAsia="宋体" w:hAnsi="Times New Roman" w:cs="Times New Roman" w:hint="eastAsia"/>
          <w:color w:val="000000"/>
          <w:kern w:val="0"/>
          <w:sz w:val="28"/>
          <w:szCs w:val="28"/>
          <w:lang w:bidi="ar"/>
        </w:rPr>
        <w:t>）、联合国粮农组织（</w:t>
      </w:r>
      <w:r>
        <w:rPr>
          <w:rFonts w:ascii="Times New Roman" w:eastAsia="宋体" w:hAnsi="Times New Roman" w:cs="Times New Roman" w:hint="eastAsia"/>
          <w:color w:val="000000"/>
          <w:kern w:val="0"/>
          <w:sz w:val="28"/>
          <w:szCs w:val="28"/>
          <w:lang w:bidi="ar"/>
        </w:rPr>
        <w:t>FAO</w:t>
      </w:r>
      <w:r>
        <w:rPr>
          <w:rFonts w:ascii="Times New Roman" w:eastAsia="宋体" w:hAnsi="Times New Roman" w:cs="Times New Roman" w:hint="eastAsia"/>
          <w:color w:val="000000"/>
          <w:kern w:val="0"/>
          <w:sz w:val="28"/>
          <w:szCs w:val="28"/>
          <w:lang w:bidi="ar"/>
        </w:rPr>
        <w:t>）以及农业技术发达国家（如美国、欧盟成员国等）均未颁布专门针对“饲用甜高粱与玉米间作”这一特定农作模式的生产技术标准。因此，本标准在核心技术体系、模式设计和操作规程上未采用任何现行的国际标准或国外先进标准。</w:t>
      </w:r>
    </w:p>
    <w:p w14:paraId="491B404D" w14:textId="77777777" w:rsidR="00547D89" w:rsidRDefault="00000000">
      <w:pPr>
        <w:pStyle w:val="2"/>
        <w:numPr>
          <w:ilvl w:val="0"/>
          <w:numId w:val="8"/>
        </w:numPr>
        <w:spacing w:before="140" w:after="20" w:line="240" w:lineRule="auto"/>
        <w:rPr>
          <w:rFonts w:ascii="方正楷体_GB2312" w:eastAsia="方正楷体_GB2312" w:hAnsi="方正楷体_GB2312" w:cs="方正楷体_GB2312" w:hint="eastAsia"/>
          <w:bCs/>
          <w:sz w:val="28"/>
          <w:szCs w:val="28"/>
        </w:rPr>
      </w:pPr>
      <w:bookmarkStart w:id="21" w:name="_Toc2092"/>
      <w:r>
        <w:rPr>
          <w:rFonts w:ascii="方正楷体_GB2312" w:eastAsia="方正楷体_GB2312" w:hAnsi="方正楷体_GB2312" w:cs="方正楷体_GB2312" w:hint="eastAsia"/>
          <w:bCs/>
          <w:sz w:val="28"/>
          <w:szCs w:val="28"/>
        </w:rPr>
        <w:t>与国内同类标准水平的比较</w:t>
      </w:r>
      <w:bookmarkEnd w:id="21"/>
    </w:p>
    <w:p w14:paraId="357EA0AA"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标准与国内现有标准相比，具有鲜明的创新性、专用性和互补性，整体技术水平居于国内先进。本标准参照和遵循了《青贮玉米栽培技术规程》和《甜高粱栽培技术规程》等基础性标准中关于各自作物栽培的通用规范。但与这些单作标准相比，本标准的技术核心与复杂性有本质区别：首次系统性地针对“饲用甜高粱与玉米间作”这一高秆禾本科作物复合系统，制定了涵盖品种搭配、时空配置、水肥协同管理、分期收获等关键环节的技术规程，填补了国内在高生物量饲用作物间作模式标准方面的空白。国内存在部分玉米与豆科作物间作的标准或技术规范，其原理侧重于利用豆科作物的固氮作用实现养分互补。而本标准所规范的甜高粱与玉米间作，是两种高生物量、高需肥需水作物的组合，技术挑战与优势截然不同。本标准基于系统的试验数据和生产实践，重点解决了两种作物在光热资源竞争、水肥差异化运筹、株高协调与抗倒伏、以及最佳收获期确定等方面的核心技术难题。本标准所集成的技术内容，针对性强、技术集成度高，为在干旱、半干旱及盐碱地区开发利用边际土地发展高产饲草产业提供了创新性的标准化解决方案，处于国内同类标准的领先水平。综上所述，本与国内现有标准体系相比，本标准首创了饲用甜高粱与玉米间作的标准化生产体系，技术内容系统、实用，为解决优质饲草供应和土地资源高效利用提供了全新的技术路径，整体技术水平达到国内先进，在特定技术领域处于领先地位。</w:t>
      </w:r>
    </w:p>
    <w:p w14:paraId="55E679AA" w14:textId="77777777" w:rsidR="00547D89" w:rsidRDefault="00000000">
      <w:pPr>
        <w:pStyle w:val="1"/>
        <w:numPr>
          <w:ilvl w:val="0"/>
          <w:numId w:val="2"/>
        </w:numPr>
        <w:spacing w:before="156" w:after="156"/>
        <w:rPr>
          <w:rFonts w:ascii="Times New Roman" w:hAnsi="Times New Roman"/>
          <w:b/>
          <w:bCs/>
          <w:sz w:val="32"/>
          <w:szCs w:val="96"/>
        </w:rPr>
      </w:pPr>
      <w:bookmarkStart w:id="22" w:name="_Toc2560"/>
      <w:r>
        <w:rPr>
          <w:rFonts w:ascii="Times New Roman" w:hAnsi="Times New Roman" w:hint="eastAsia"/>
          <w:b/>
          <w:bCs/>
          <w:sz w:val="32"/>
          <w:szCs w:val="96"/>
        </w:rPr>
        <w:t>重大意见分歧的处理</w:t>
      </w:r>
      <w:bookmarkEnd w:id="22"/>
    </w:p>
    <w:p w14:paraId="05D65BC8"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本规程没有提出重大意见分歧；</w:t>
      </w:r>
    </w:p>
    <w:p w14:paraId="0B8BC626" w14:textId="77777777" w:rsidR="00547D89" w:rsidRDefault="00000000">
      <w:pPr>
        <w:pStyle w:val="1"/>
        <w:numPr>
          <w:ilvl w:val="0"/>
          <w:numId w:val="2"/>
        </w:numPr>
        <w:spacing w:before="156" w:after="156"/>
        <w:rPr>
          <w:rFonts w:ascii="Times New Roman" w:hAnsi="Times New Roman"/>
          <w:b/>
          <w:bCs/>
          <w:sz w:val="32"/>
          <w:szCs w:val="96"/>
        </w:rPr>
      </w:pPr>
      <w:bookmarkStart w:id="23" w:name="_Toc3178"/>
      <w:r>
        <w:rPr>
          <w:rFonts w:ascii="Times New Roman" w:hAnsi="Times New Roman" w:hint="eastAsia"/>
          <w:b/>
          <w:bCs/>
          <w:sz w:val="32"/>
          <w:szCs w:val="96"/>
        </w:rPr>
        <w:t>标准性质的建议说明</w:t>
      </w:r>
      <w:bookmarkEnd w:id="23"/>
    </w:p>
    <w:p w14:paraId="0C3D6604"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本规范（送审稿）是在国家相关的法规和强制性标准的基础上结合地方实际情况制定出来的，因此与现行法律法规没有冲突。建议该规程为推荐性标准。</w:t>
      </w:r>
    </w:p>
    <w:p w14:paraId="2A7F6280" w14:textId="77777777" w:rsidR="00547D89" w:rsidRDefault="00000000">
      <w:pPr>
        <w:pStyle w:val="1"/>
        <w:numPr>
          <w:ilvl w:val="0"/>
          <w:numId w:val="2"/>
        </w:numPr>
        <w:spacing w:before="156" w:after="156"/>
        <w:rPr>
          <w:rFonts w:ascii="Times New Roman" w:hAnsi="Times New Roman"/>
          <w:b/>
          <w:bCs/>
          <w:sz w:val="32"/>
          <w:szCs w:val="96"/>
        </w:rPr>
      </w:pPr>
      <w:bookmarkStart w:id="24" w:name="_Toc19437"/>
      <w:r>
        <w:rPr>
          <w:rFonts w:ascii="Times New Roman" w:hAnsi="Times New Roman" w:hint="eastAsia"/>
          <w:b/>
          <w:bCs/>
          <w:sz w:val="32"/>
          <w:szCs w:val="96"/>
        </w:rPr>
        <w:t>其他应予说明的事项。</w:t>
      </w:r>
      <w:bookmarkEnd w:id="24"/>
    </w:p>
    <w:p w14:paraId="73F28111" w14:textId="77777777" w:rsidR="00547D89" w:rsidRDefault="00000000">
      <w:pPr>
        <w:widowControl/>
        <w:spacing w:beforeLines="30" w:before="93" w:afterLines="30" w:after="93" w:line="480" w:lineRule="exact"/>
        <w:ind w:firstLineChars="200" w:firstLine="560"/>
        <w:rPr>
          <w:rFonts w:ascii="Times New Roman" w:eastAsia="宋体" w:hAnsi="Times New Roman" w:cs="Times New Roman"/>
          <w:color w:val="000000"/>
          <w:kern w:val="0"/>
          <w:sz w:val="28"/>
          <w:szCs w:val="28"/>
          <w:lang w:bidi="ar"/>
        </w:rPr>
      </w:pPr>
      <w:r>
        <w:rPr>
          <w:rFonts w:ascii="Times New Roman" w:eastAsia="宋体" w:hAnsi="Times New Roman" w:cs="Times New Roman" w:hint="eastAsia"/>
          <w:color w:val="000000"/>
          <w:kern w:val="0"/>
          <w:sz w:val="28"/>
          <w:szCs w:val="28"/>
          <w:lang w:bidi="ar"/>
        </w:rPr>
        <w:t>无</w:t>
      </w:r>
    </w:p>
    <w:p w14:paraId="394E6EB3" w14:textId="77777777" w:rsidR="00547D89" w:rsidRDefault="00547D89">
      <w:pPr>
        <w:rPr>
          <w:rFonts w:asciiTheme="minorEastAsia" w:eastAsiaTheme="minorEastAsia" w:hAnsiTheme="minorEastAsia" w:cstheme="minorEastAsia" w:hint="eastAsia"/>
          <w:sz w:val="28"/>
          <w:szCs w:val="28"/>
        </w:rPr>
      </w:pPr>
    </w:p>
    <w:sectPr w:rsidR="00547D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E9829" w14:textId="77777777" w:rsidR="002448C3" w:rsidRDefault="002448C3" w:rsidP="002B0CB4">
      <w:r>
        <w:separator/>
      </w:r>
    </w:p>
  </w:endnote>
  <w:endnote w:type="continuationSeparator" w:id="0">
    <w:p w14:paraId="597B3DA6" w14:textId="77777777" w:rsidR="002448C3" w:rsidRDefault="002448C3" w:rsidP="002B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F5605174-8688-4A10-BB83-C211B734D107}"/>
  </w:font>
  <w:font w:name="黑体">
    <w:altName w:val="SimHei"/>
    <w:panose1 w:val="02010609060101010101"/>
    <w:charset w:val="86"/>
    <w:family w:val="modern"/>
    <w:pitch w:val="fixed"/>
    <w:sig w:usb0="800002BF" w:usb1="38CF7CFA" w:usb2="00000016" w:usb3="00000000" w:csb0="00040001" w:csb1="00000000"/>
    <w:embedRegular r:id="rId2" w:subsetted="1" w:fontKey="{84352302-36E1-4B73-A994-5D53C998483E}"/>
    <w:embedBold r:id="rId3" w:subsetted="1" w:fontKey="{BBC5436F-8A52-4C01-9B22-8CA63D71059B}"/>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auto"/>
    <w:pitch w:val="default"/>
    <w:sig w:usb0="00000001" w:usb1="080E0000" w:usb2="00000000" w:usb3="00000000" w:csb0="00040000" w:csb1="00000000"/>
  </w:font>
  <w:font w:name="方正小标宋简体">
    <w:altName w:val="微软雅黑"/>
    <w:charset w:val="86"/>
    <w:family w:val="auto"/>
    <w:pitch w:val="default"/>
    <w:sig w:usb0="00000001" w:usb1="08000000" w:usb2="00000000" w:usb3="00000000" w:csb0="00040000" w:csb1="00000000"/>
    <w:embedRegular r:id="rId4" w:subsetted="1" w:fontKey="{1DED08CE-38ED-4095-A9C8-66D899DB5711}"/>
  </w:font>
  <w:font w:name="方正楷体_GB2312">
    <w:altName w:val="微软雅黑"/>
    <w:charset w:val="86"/>
    <w:family w:val="auto"/>
    <w:pitch w:val="default"/>
    <w:sig w:usb0="A00002BF" w:usb1="184F6CFA" w:usb2="00000012" w:usb3="00000000" w:csb0="00040001" w:csb1="00000000"/>
    <w:embedRegular r:id="rId5" w:subsetted="1" w:fontKey="{8D8B9640-730F-4D46-AB2B-B377D6D079A1}"/>
    <w:embedBold r:id="rId6" w:subsetted="1" w:fontKey="{9867A346-6C1F-469D-9CCF-9BD398BF42BF}"/>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F82DD" w14:textId="77777777" w:rsidR="002448C3" w:rsidRDefault="002448C3" w:rsidP="002B0CB4">
      <w:r>
        <w:separator/>
      </w:r>
    </w:p>
  </w:footnote>
  <w:footnote w:type="continuationSeparator" w:id="0">
    <w:p w14:paraId="69A91916" w14:textId="77777777" w:rsidR="002448C3" w:rsidRDefault="002448C3" w:rsidP="002B0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43C342"/>
    <w:multiLevelType w:val="singleLevel"/>
    <w:tmpl w:val="9A43C342"/>
    <w:lvl w:ilvl="0">
      <w:start w:val="3"/>
      <w:numFmt w:val="decimal"/>
      <w:suff w:val="nothing"/>
      <w:lvlText w:val="（%1）"/>
      <w:lvlJc w:val="left"/>
    </w:lvl>
  </w:abstractNum>
  <w:abstractNum w:abstractNumId="1" w15:restartNumberingAfterBreak="0">
    <w:nsid w:val="9ECF7C05"/>
    <w:multiLevelType w:val="singleLevel"/>
    <w:tmpl w:val="9ECF7C05"/>
    <w:lvl w:ilvl="0">
      <w:start w:val="1"/>
      <w:numFmt w:val="decimal"/>
      <w:suff w:val="space"/>
      <w:lvlText w:val="%1、"/>
      <w:lvlJc w:val="left"/>
    </w:lvl>
  </w:abstractNum>
  <w:abstractNum w:abstractNumId="2" w15:restartNumberingAfterBreak="0">
    <w:nsid w:val="AE1BD070"/>
    <w:multiLevelType w:val="singleLevel"/>
    <w:tmpl w:val="AE1BD070"/>
    <w:lvl w:ilvl="0">
      <w:start w:val="1"/>
      <w:numFmt w:val="decimal"/>
      <w:suff w:val="space"/>
      <w:lvlText w:val="%1、"/>
      <w:lvlJc w:val="left"/>
    </w:lvl>
  </w:abstractNum>
  <w:abstractNum w:abstractNumId="3" w15:restartNumberingAfterBreak="0">
    <w:nsid w:val="B6BF9C3D"/>
    <w:multiLevelType w:val="singleLevel"/>
    <w:tmpl w:val="B6BF9C3D"/>
    <w:lvl w:ilvl="0">
      <w:start w:val="1"/>
      <w:numFmt w:val="decimal"/>
      <w:suff w:val="space"/>
      <w:lvlText w:val="%1、"/>
      <w:lvlJc w:val="left"/>
    </w:lvl>
  </w:abstractNum>
  <w:abstractNum w:abstractNumId="4" w15:restartNumberingAfterBreak="0">
    <w:nsid w:val="1EF3954C"/>
    <w:multiLevelType w:val="singleLevel"/>
    <w:tmpl w:val="1EF3954C"/>
    <w:lvl w:ilvl="0">
      <w:start w:val="1"/>
      <w:numFmt w:val="decimal"/>
      <w:suff w:val="space"/>
      <w:lvlText w:val="%1、"/>
      <w:lvlJc w:val="left"/>
    </w:lvl>
  </w:abstractNum>
  <w:abstractNum w:abstractNumId="5" w15:restartNumberingAfterBreak="0">
    <w:nsid w:val="54A94839"/>
    <w:multiLevelType w:val="singleLevel"/>
    <w:tmpl w:val="54A94839"/>
    <w:lvl w:ilvl="0">
      <w:start w:val="1"/>
      <w:numFmt w:val="chineseCounting"/>
      <w:suff w:val="nothing"/>
      <w:lvlText w:val="%1、"/>
      <w:lvlJc w:val="left"/>
      <w:pPr>
        <w:ind w:left="-420" w:firstLine="420"/>
      </w:pPr>
      <w:rPr>
        <w:rFonts w:hint="eastAsia"/>
      </w:rPr>
    </w:lvl>
  </w:abstractNum>
  <w:abstractNum w:abstractNumId="6" w15:restartNumberingAfterBreak="0">
    <w:nsid w:val="65A291E7"/>
    <w:multiLevelType w:val="singleLevel"/>
    <w:tmpl w:val="65A291E7"/>
    <w:lvl w:ilvl="0">
      <w:start w:val="1"/>
      <w:numFmt w:val="decimal"/>
      <w:suff w:val="space"/>
      <w:lvlText w:val="%1、"/>
      <w:lvlJc w:val="left"/>
    </w:lvl>
  </w:abstractNum>
  <w:abstractNum w:abstractNumId="7" w15:restartNumberingAfterBreak="0">
    <w:nsid w:val="7CCF5278"/>
    <w:multiLevelType w:val="multilevel"/>
    <w:tmpl w:val="7CCF5278"/>
    <w:lvl w:ilvl="0">
      <w:start w:val="1"/>
      <w:numFmt w:val="decimal"/>
      <w:pStyle w:val="1"/>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544027539">
    <w:abstractNumId w:val="7"/>
  </w:num>
  <w:num w:numId="2" w16cid:durableId="1794128679">
    <w:abstractNumId w:val="5"/>
  </w:num>
  <w:num w:numId="3" w16cid:durableId="352415487">
    <w:abstractNumId w:val="2"/>
  </w:num>
  <w:num w:numId="4" w16cid:durableId="163472459">
    <w:abstractNumId w:val="0"/>
  </w:num>
  <w:num w:numId="5" w16cid:durableId="1873106751">
    <w:abstractNumId w:val="6"/>
  </w:num>
  <w:num w:numId="6" w16cid:durableId="1678189837">
    <w:abstractNumId w:val="4"/>
  </w:num>
  <w:num w:numId="7" w16cid:durableId="450176043">
    <w:abstractNumId w:val="1"/>
  </w:num>
  <w:num w:numId="8" w16cid:durableId="82729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defaultTabStop w:val="42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D89"/>
    <w:rsid w:val="002448C3"/>
    <w:rsid w:val="002B0CB4"/>
    <w:rsid w:val="00547D89"/>
    <w:rsid w:val="00A57999"/>
    <w:rsid w:val="06F67F5F"/>
    <w:rsid w:val="147E6BC0"/>
    <w:rsid w:val="19A07671"/>
    <w:rsid w:val="22C640B6"/>
    <w:rsid w:val="28AD73B1"/>
    <w:rsid w:val="2B3E64CC"/>
    <w:rsid w:val="2C9B6447"/>
    <w:rsid w:val="37972456"/>
    <w:rsid w:val="3FB862F5"/>
    <w:rsid w:val="4BF929FE"/>
    <w:rsid w:val="572770FD"/>
    <w:rsid w:val="596D16BC"/>
    <w:rsid w:val="5B0B3AE8"/>
    <w:rsid w:val="61EC1C37"/>
    <w:rsid w:val="7DFA5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F6DE98D"/>
  <w15:docId w15:val="{7CC17CD0-CED2-4581-BB1E-A1A532EE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黑体" w:hAnsiTheme="minorHAnsi" w:cs="黑体"/>
      <w:color w:val="000000" w:themeColor="text1"/>
      <w:kern w:val="2"/>
      <w:sz w:val="18"/>
      <w:szCs w:val="18"/>
    </w:rPr>
  </w:style>
  <w:style w:type="paragraph" w:styleId="1">
    <w:name w:val="heading 1"/>
    <w:basedOn w:val="a"/>
    <w:next w:val="a"/>
    <w:uiPriority w:val="9"/>
    <w:qFormat/>
    <w:pPr>
      <w:keepNext/>
      <w:keepLines/>
      <w:numPr>
        <w:numId w:val="1"/>
      </w:numPr>
      <w:spacing w:beforeLines="50" w:before="50" w:afterLines="50" w:after="50"/>
      <w:outlineLvl w:val="0"/>
    </w:pPr>
    <w:rPr>
      <w:rFonts w:cs="Times New Roman"/>
      <w:kern w:val="44"/>
      <w:szCs w:val="44"/>
    </w:rPr>
  </w:style>
  <w:style w:type="paragraph" w:styleId="2">
    <w:name w:val="heading 2"/>
    <w:basedOn w:val="a"/>
    <w:next w:val="a"/>
    <w:uiPriority w:val="9"/>
    <w:qFormat/>
    <w:pPr>
      <w:keepNext/>
      <w:keepLines/>
      <w:spacing w:before="260" w:after="260" w:line="413" w:lineRule="auto"/>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qFormat/>
    <w:pPr>
      <w:spacing w:after="120"/>
    </w:pPr>
  </w:style>
  <w:style w:type="paragraph" w:styleId="a4">
    <w:name w:val="Body Text Indent"/>
    <w:basedOn w:val="a"/>
    <w:qFormat/>
    <w:pPr>
      <w:spacing w:line="560" w:lineRule="exact"/>
      <w:ind w:firstLineChars="200" w:firstLine="600"/>
    </w:pPr>
    <w:rPr>
      <w:rFonts w:ascii="仿宋_GB2312"/>
      <w:sz w:val="30"/>
      <w:szCs w:val="24"/>
    </w:rPr>
  </w:style>
  <w:style w:type="paragraph" w:styleId="TOC1">
    <w:name w:val="toc 1"/>
    <w:basedOn w:val="a"/>
    <w:next w:val="a"/>
  </w:style>
  <w:style w:type="paragraph" w:styleId="TOC2">
    <w:name w:val="toc 2"/>
    <w:basedOn w:val="a"/>
    <w:next w:val="a"/>
    <w:pPr>
      <w:ind w:leftChars="200" w:left="420"/>
    </w:pPr>
  </w:style>
  <w:style w:type="paragraph" w:styleId="a5">
    <w:name w:val="Body Text First Indent"/>
    <w:basedOn w:val="a3"/>
    <w:qFormat/>
    <w:pPr>
      <w:ind w:firstLineChars="100" w:firstLine="100"/>
    </w:pPr>
  </w:style>
  <w:style w:type="paragraph" w:styleId="20">
    <w:name w:val="Body Text First Indent 2"/>
    <w:basedOn w:val="a4"/>
    <w:next w:val="a5"/>
    <w:qFormat/>
    <w:pPr>
      <w:ind w:firstLine="200"/>
    </w:p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22"/>
      <w:szCs w:val="22"/>
      <w:u w:val="none"/>
    </w:rPr>
  </w:style>
  <w:style w:type="character" w:customStyle="1" w:styleId="font61">
    <w:name w:val="font61"/>
    <w:basedOn w:val="a0"/>
    <w:qFormat/>
    <w:rPr>
      <w:rFonts w:ascii="Times New Roman" w:hAnsi="Times New Roman" w:cs="Times New Roman" w:hint="default"/>
      <w:color w:val="000000"/>
      <w:sz w:val="22"/>
      <w:szCs w:val="22"/>
      <w:u w:val="none"/>
      <w:vertAlign w:val="subscript"/>
    </w:rPr>
  </w:style>
  <w:style w:type="character" w:customStyle="1" w:styleId="font71">
    <w:name w:val="font71"/>
    <w:basedOn w:val="a0"/>
    <w:qFormat/>
    <w:rPr>
      <w:rFonts w:ascii="宋体" w:eastAsia="宋体" w:hAnsi="宋体" w:cs="宋体" w:hint="eastAsia"/>
      <w:color w:val="000000"/>
      <w:sz w:val="22"/>
      <w:szCs w:val="22"/>
      <w:u w:val="none"/>
    </w:rPr>
  </w:style>
  <w:style w:type="paragraph" w:styleId="a7">
    <w:name w:val="header"/>
    <w:basedOn w:val="a"/>
    <w:link w:val="a8"/>
    <w:rsid w:val="002B0CB4"/>
    <w:pPr>
      <w:tabs>
        <w:tab w:val="center" w:pos="4153"/>
        <w:tab w:val="right" w:pos="8306"/>
      </w:tabs>
      <w:snapToGrid w:val="0"/>
      <w:jc w:val="center"/>
    </w:pPr>
  </w:style>
  <w:style w:type="character" w:customStyle="1" w:styleId="a8">
    <w:name w:val="页眉 字符"/>
    <w:basedOn w:val="a0"/>
    <w:link w:val="a7"/>
    <w:rsid w:val="002B0CB4"/>
    <w:rPr>
      <w:rFonts w:asciiTheme="minorHAnsi" w:eastAsia="黑体" w:hAnsiTheme="minorHAnsi" w:cs="黑体"/>
      <w:color w:val="000000" w:themeColor="text1"/>
      <w:kern w:val="2"/>
      <w:sz w:val="18"/>
      <w:szCs w:val="18"/>
    </w:rPr>
  </w:style>
  <w:style w:type="paragraph" w:styleId="a9">
    <w:name w:val="footer"/>
    <w:basedOn w:val="a"/>
    <w:link w:val="aa"/>
    <w:rsid w:val="002B0CB4"/>
    <w:pPr>
      <w:tabs>
        <w:tab w:val="center" w:pos="4153"/>
        <w:tab w:val="right" w:pos="8306"/>
      </w:tabs>
      <w:snapToGrid w:val="0"/>
      <w:jc w:val="left"/>
    </w:pPr>
  </w:style>
  <w:style w:type="character" w:customStyle="1" w:styleId="aa">
    <w:name w:val="页脚 字符"/>
    <w:basedOn w:val="a0"/>
    <w:link w:val="a9"/>
    <w:rsid w:val="002B0CB4"/>
    <w:rPr>
      <w:rFonts w:asciiTheme="minorHAnsi" w:eastAsia="黑体" w:hAnsiTheme="minorHAnsi" w:cs="黑体"/>
      <w:color w:val="000000" w:themeColor="text1"/>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1592</Words>
  <Characters>9081</Characters>
  <Application>Microsoft Office Word</Application>
  <DocSecurity>0</DocSecurity>
  <Lines>75</Lines>
  <Paragraphs>21</Paragraphs>
  <ScaleCrop>false</ScaleCrop>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xjndx</dc:creator>
  <cp:lastModifiedBy>周晓丽</cp:lastModifiedBy>
  <cp:revision>2</cp:revision>
  <dcterms:created xsi:type="dcterms:W3CDTF">2024-12-29T02:09:00Z</dcterms:created>
  <dcterms:modified xsi:type="dcterms:W3CDTF">2025-11-04T04:39:00Z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DEB0857D71514080A9EA4F15D26A891F_12</vt:lpwstr>
  </property>
  <property fmtid="{D5CDD505-2E9C-101B-9397-08002B2CF9AE}" pid="4" name="KSOTemplateDocerSaveRecord">
    <vt:lpwstr>eyJoZGlkIjoiMzEwNTM5NzYwMDRjMzkwZTVkZjY2ODkwMGIxNGU0OTUiLCJ1c2VySWQiOiIyNjM1NDQ1MjQifQ==</vt:lpwstr>
  </property>
</Properties>
</file>