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B68D1" w:rsidRDefault="00CB68D1">
      <w:pPr>
        <w:spacing w:line="360" w:lineRule="auto"/>
        <w:ind w:right="160"/>
        <w:jc w:val="center"/>
        <w:rPr>
          <w:rFonts w:cs="宋体"/>
          <w:b/>
          <w:bCs/>
          <w:color w:val="000000"/>
          <w:sz w:val="48"/>
          <w:szCs w:val="48"/>
        </w:rPr>
      </w:pPr>
      <w:bookmarkStart w:id="0" w:name="_Hlk528261495"/>
    </w:p>
    <w:p w:rsidR="00CB68D1" w:rsidRDefault="00CB68D1">
      <w:pPr>
        <w:spacing w:line="360" w:lineRule="auto"/>
        <w:ind w:right="160"/>
        <w:jc w:val="center"/>
        <w:rPr>
          <w:rFonts w:cs="宋体"/>
          <w:b/>
          <w:bCs/>
          <w:color w:val="000000"/>
          <w:sz w:val="48"/>
          <w:szCs w:val="48"/>
        </w:rPr>
      </w:pPr>
    </w:p>
    <w:p w:rsidR="00CB68D1" w:rsidRDefault="00CB68D1">
      <w:pPr>
        <w:spacing w:line="360" w:lineRule="auto"/>
        <w:ind w:right="160"/>
        <w:jc w:val="center"/>
        <w:rPr>
          <w:rFonts w:cs="宋体"/>
          <w:b/>
          <w:bCs/>
          <w:color w:val="000000"/>
          <w:sz w:val="48"/>
          <w:szCs w:val="48"/>
        </w:rPr>
      </w:pPr>
    </w:p>
    <w:p w:rsidR="00CB68D1" w:rsidRDefault="00CB68D1">
      <w:pPr>
        <w:spacing w:line="360" w:lineRule="auto"/>
        <w:ind w:right="160"/>
        <w:jc w:val="center"/>
        <w:rPr>
          <w:rFonts w:cs="宋体"/>
          <w:b/>
          <w:bCs/>
          <w:color w:val="000000"/>
          <w:sz w:val="48"/>
          <w:szCs w:val="48"/>
        </w:rPr>
      </w:pPr>
    </w:p>
    <w:p w:rsidR="00CB68D1" w:rsidRDefault="00000000">
      <w:pPr>
        <w:jc w:val="center"/>
        <w:rPr>
          <w:rFonts w:ascii="宋体" w:hAnsi="宋体" w:cs="宋体" w:hint="eastAsia"/>
          <w:sz w:val="72"/>
          <w:szCs w:val="72"/>
        </w:rPr>
      </w:pPr>
      <w:r>
        <w:rPr>
          <w:rFonts w:ascii="宋体" w:hAnsi="宋体" w:cs="宋体" w:hint="eastAsia"/>
          <w:sz w:val="72"/>
          <w:szCs w:val="72"/>
        </w:rPr>
        <w:t>团 体 标 准</w:t>
      </w:r>
    </w:p>
    <w:p w:rsidR="00CB68D1" w:rsidRDefault="00CB68D1">
      <w:pPr>
        <w:jc w:val="center"/>
        <w:rPr>
          <w:rFonts w:eastAsiaTheme="minorEastAsia"/>
          <w:sz w:val="72"/>
          <w:szCs w:val="72"/>
        </w:rPr>
      </w:pPr>
    </w:p>
    <w:p w:rsidR="00CB68D1" w:rsidRPr="00532393" w:rsidRDefault="00CB68D1">
      <w:pPr>
        <w:jc w:val="center"/>
        <w:rPr>
          <w:rFonts w:eastAsiaTheme="minorEastAsia"/>
          <w:sz w:val="72"/>
          <w:szCs w:val="72"/>
        </w:rPr>
      </w:pPr>
    </w:p>
    <w:bookmarkEnd w:id="0"/>
    <w:p w:rsidR="00CB68D1" w:rsidRDefault="00000000">
      <w:pPr>
        <w:spacing w:after="240" w:line="360" w:lineRule="auto"/>
        <w:jc w:val="center"/>
        <w:rPr>
          <w:rFonts w:ascii="黑体" w:eastAsia="黑体" w:hAnsi="黑体" w:cs="黑体" w:hint="eastAsia"/>
          <w:color w:val="000000"/>
          <w:kern w:val="0"/>
          <w:sz w:val="40"/>
          <w:szCs w:val="40"/>
        </w:rPr>
      </w:pPr>
      <w:proofErr w:type="gramStart"/>
      <w:r>
        <w:rPr>
          <w:rFonts w:ascii="黑体" w:eastAsia="黑体" w:hAnsi="黑体" w:cs="黑体" w:hint="eastAsia"/>
          <w:color w:val="000000"/>
          <w:kern w:val="0"/>
          <w:sz w:val="40"/>
          <w:szCs w:val="40"/>
        </w:rPr>
        <w:t>《</w:t>
      </w:r>
      <w:proofErr w:type="gramEnd"/>
      <w:r>
        <w:rPr>
          <w:rFonts w:ascii="黑体" w:eastAsia="黑体" w:hAnsi="黑体" w:cs="黑体" w:hint="eastAsia"/>
          <w:color w:val="000000"/>
          <w:kern w:val="0"/>
          <w:sz w:val="40"/>
          <w:szCs w:val="40"/>
        </w:rPr>
        <w:t>青贮饲用小黑麦中可溶性碳水化合物测定技</w:t>
      </w:r>
    </w:p>
    <w:p w:rsidR="00CB68D1" w:rsidRDefault="00000000">
      <w:pPr>
        <w:spacing w:after="240" w:line="360" w:lineRule="auto"/>
        <w:jc w:val="center"/>
        <w:rPr>
          <w:rFonts w:cs="宋体"/>
          <w:b/>
          <w:bCs/>
          <w:color w:val="000000"/>
          <w:sz w:val="36"/>
          <w:szCs w:val="48"/>
        </w:rPr>
      </w:pPr>
      <w:r>
        <w:rPr>
          <w:rFonts w:ascii="黑体" w:eastAsia="黑体" w:hAnsi="黑体" w:cs="黑体" w:hint="eastAsia"/>
          <w:color w:val="000000"/>
          <w:kern w:val="0"/>
          <w:sz w:val="40"/>
          <w:szCs w:val="40"/>
        </w:rPr>
        <w:t>术规程</w:t>
      </w:r>
      <w:r w:rsidR="00532393">
        <w:rPr>
          <w:rFonts w:ascii="黑体" w:eastAsia="黑体" w:hAnsi="黑体" w:cs="黑体" w:hint="eastAsia"/>
          <w:color w:val="000000"/>
          <w:kern w:val="0"/>
          <w:sz w:val="40"/>
          <w:szCs w:val="40"/>
        </w:rPr>
        <w:t>——</w:t>
      </w:r>
      <w:r>
        <w:rPr>
          <w:rFonts w:ascii="黑体" w:eastAsia="黑体" w:hAnsi="黑体" w:cs="黑体" w:hint="eastAsia"/>
          <w:color w:val="000000"/>
          <w:kern w:val="0"/>
          <w:sz w:val="40"/>
          <w:szCs w:val="40"/>
        </w:rPr>
        <w:t>近红外光谱分析法》</w:t>
      </w:r>
    </w:p>
    <w:p w:rsidR="00CB68D1" w:rsidRDefault="00000000">
      <w:pPr>
        <w:spacing w:after="240" w:line="360" w:lineRule="auto"/>
        <w:ind w:leftChars="-1" w:left="-2" w:firstLine="1"/>
        <w:jc w:val="center"/>
        <w:rPr>
          <w:rFonts w:ascii="黑体" w:eastAsia="黑体" w:hAnsi="黑体" w:cs="黑体" w:hint="eastAsia"/>
          <w:color w:val="000000"/>
          <w:kern w:val="0"/>
          <w:sz w:val="40"/>
          <w:szCs w:val="40"/>
        </w:rPr>
      </w:pPr>
      <w:r>
        <w:rPr>
          <w:rFonts w:ascii="黑体" w:eastAsia="黑体" w:hAnsi="黑体" w:cs="黑体" w:hint="eastAsia"/>
          <w:color w:val="000000"/>
          <w:kern w:val="0"/>
          <w:sz w:val="40"/>
          <w:szCs w:val="40"/>
        </w:rPr>
        <w:t>编制说明</w:t>
      </w:r>
    </w:p>
    <w:p w:rsidR="00CB68D1" w:rsidRDefault="00CB68D1">
      <w:pPr>
        <w:spacing w:line="360" w:lineRule="auto"/>
        <w:jc w:val="center"/>
        <w:rPr>
          <w:b/>
          <w:bCs/>
          <w:color w:val="000000"/>
        </w:rPr>
      </w:pPr>
    </w:p>
    <w:p w:rsidR="00CB68D1" w:rsidRDefault="00CB68D1">
      <w:pPr>
        <w:spacing w:line="360" w:lineRule="auto"/>
        <w:jc w:val="center"/>
        <w:rPr>
          <w:b/>
          <w:bCs/>
          <w:color w:val="000000"/>
        </w:rPr>
      </w:pPr>
    </w:p>
    <w:p w:rsidR="00CB68D1" w:rsidRDefault="00CB68D1">
      <w:pPr>
        <w:spacing w:line="360" w:lineRule="auto"/>
        <w:jc w:val="center"/>
        <w:rPr>
          <w:b/>
          <w:bCs/>
          <w:color w:val="000000"/>
        </w:rPr>
      </w:pPr>
    </w:p>
    <w:p w:rsidR="00CB68D1" w:rsidRDefault="00CB68D1" w:rsidP="00532393">
      <w:pPr>
        <w:spacing w:line="360" w:lineRule="auto"/>
        <w:rPr>
          <w:b/>
          <w:bCs/>
          <w:color w:val="000000"/>
        </w:rPr>
      </w:pPr>
    </w:p>
    <w:p w:rsidR="00CB68D1" w:rsidRDefault="00CB68D1">
      <w:pPr>
        <w:spacing w:line="360" w:lineRule="auto"/>
        <w:jc w:val="center"/>
        <w:rPr>
          <w:b/>
          <w:bCs/>
          <w:color w:val="000000"/>
        </w:rPr>
      </w:pPr>
    </w:p>
    <w:p w:rsidR="00CB68D1" w:rsidRDefault="00CB68D1">
      <w:pPr>
        <w:spacing w:line="360" w:lineRule="auto"/>
        <w:rPr>
          <w:b/>
          <w:bCs/>
          <w:color w:val="000000"/>
        </w:rPr>
      </w:pPr>
    </w:p>
    <w:p w:rsidR="00CB68D1" w:rsidRDefault="00000000">
      <w:pPr>
        <w:spacing w:after="240" w:line="360" w:lineRule="auto"/>
        <w:jc w:val="center"/>
        <w:rPr>
          <w:rFonts w:ascii="黑体" w:eastAsia="黑体" w:hAnsi="黑体" w:cs="黑体" w:hint="eastAsia"/>
          <w:color w:val="000000"/>
          <w:kern w:val="0"/>
          <w:sz w:val="30"/>
          <w:szCs w:val="30"/>
        </w:rPr>
      </w:pPr>
      <w:proofErr w:type="gramStart"/>
      <w:r>
        <w:rPr>
          <w:rFonts w:ascii="黑体" w:eastAsia="黑体" w:hAnsi="黑体" w:cs="黑体" w:hint="eastAsia"/>
          <w:color w:val="000000"/>
          <w:kern w:val="0"/>
          <w:sz w:val="30"/>
          <w:szCs w:val="30"/>
        </w:rPr>
        <w:t>《</w:t>
      </w:r>
      <w:proofErr w:type="gramEnd"/>
      <w:r>
        <w:rPr>
          <w:rFonts w:ascii="黑体" w:eastAsia="黑体" w:hAnsi="黑体" w:cs="黑体" w:hint="eastAsia"/>
          <w:color w:val="000000"/>
          <w:kern w:val="0"/>
          <w:sz w:val="30"/>
          <w:szCs w:val="30"/>
        </w:rPr>
        <w:t>青贮饲用小黑麦中可溶性碳水化合物测定技</w:t>
      </w:r>
    </w:p>
    <w:p w:rsidR="00CB68D1" w:rsidRDefault="00000000">
      <w:pPr>
        <w:spacing w:after="240" w:line="360" w:lineRule="auto"/>
        <w:jc w:val="center"/>
        <w:rPr>
          <w:b/>
          <w:bCs/>
          <w:color w:val="000000"/>
        </w:rPr>
      </w:pPr>
      <w:r>
        <w:rPr>
          <w:rFonts w:ascii="黑体" w:eastAsia="黑体" w:hAnsi="黑体" w:cs="黑体" w:hint="eastAsia"/>
          <w:color w:val="000000"/>
          <w:kern w:val="0"/>
          <w:sz w:val="30"/>
          <w:szCs w:val="30"/>
        </w:rPr>
        <w:t>术规程</w:t>
      </w:r>
      <w:r w:rsidR="00532393">
        <w:rPr>
          <w:rFonts w:ascii="黑体" w:eastAsia="黑体" w:hAnsi="黑体" w:cs="黑体" w:hint="eastAsia"/>
          <w:color w:val="000000"/>
          <w:kern w:val="0"/>
          <w:sz w:val="30"/>
          <w:szCs w:val="30"/>
        </w:rPr>
        <w:t>——</w:t>
      </w:r>
      <w:r>
        <w:rPr>
          <w:rFonts w:ascii="黑体" w:eastAsia="黑体" w:hAnsi="黑体" w:cs="黑体" w:hint="eastAsia"/>
          <w:color w:val="000000"/>
          <w:kern w:val="0"/>
          <w:sz w:val="30"/>
          <w:szCs w:val="30"/>
        </w:rPr>
        <w:t>近红外光谱分析法</w:t>
      </w:r>
      <w:proofErr w:type="gramStart"/>
      <w:r>
        <w:rPr>
          <w:rFonts w:ascii="黑体" w:eastAsia="黑体" w:hAnsi="黑体" w:cs="黑体" w:hint="eastAsia"/>
          <w:color w:val="000000"/>
          <w:kern w:val="0"/>
          <w:sz w:val="30"/>
          <w:szCs w:val="30"/>
        </w:rPr>
        <w:t>》团标制定</w:t>
      </w:r>
      <w:proofErr w:type="gramEnd"/>
      <w:r>
        <w:rPr>
          <w:rFonts w:ascii="黑体" w:eastAsia="黑体" w:hAnsi="黑体" w:cs="黑体" w:hint="eastAsia"/>
          <w:color w:val="000000"/>
          <w:kern w:val="0"/>
          <w:sz w:val="30"/>
          <w:szCs w:val="30"/>
        </w:rPr>
        <w:t>组</w:t>
      </w:r>
    </w:p>
    <w:p w:rsidR="00CB68D1" w:rsidRDefault="00000000">
      <w:pPr>
        <w:spacing w:line="360" w:lineRule="auto"/>
        <w:jc w:val="center"/>
        <w:rPr>
          <w:rFonts w:cs="宋体"/>
          <w:b/>
          <w:bCs/>
          <w:color w:val="000000"/>
          <w:sz w:val="44"/>
          <w:szCs w:val="44"/>
        </w:rPr>
      </w:pPr>
      <w:r>
        <w:rPr>
          <w:rFonts w:ascii="黑体" w:eastAsia="黑体" w:hAnsi="黑体" w:cstheme="minorBidi" w:hint="eastAsia"/>
          <w:bCs/>
          <w:sz w:val="28"/>
          <w:szCs w:val="28"/>
        </w:rPr>
        <w:t>二〇二五年十月</w:t>
      </w:r>
    </w:p>
    <w:p w:rsidR="00CB68D1" w:rsidRDefault="00000000">
      <w:pPr>
        <w:widowControl/>
        <w:jc w:val="left"/>
        <w:rPr>
          <w:rFonts w:cs="宋体"/>
          <w:b/>
          <w:bCs/>
          <w:color w:val="000000"/>
          <w:sz w:val="44"/>
          <w:szCs w:val="44"/>
        </w:rPr>
      </w:pPr>
      <w:r>
        <w:rPr>
          <w:rFonts w:cs="宋体"/>
          <w:b/>
          <w:bCs/>
          <w:color w:val="000000"/>
          <w:sz w:val="44"/>
          <w:szCs w:val="44"/>
        </w:rPr>
        <w:br w:type="page"/>
      </w:r>
    </w:p>
    <w:p w:rsidR="00CB68D1" w:rsidRDefault="00CB68D1">
      <w:pPr>
        <w:widowControl/>
        <w:jc w:val="left"/>
        <w:rPr>
          <w:rFonts w:cs="宋体"/>
          <w:b/>
          <w:bCs/>
          <w:color w:val="000000"/>
          <w:sz w:val="44"/>
          <w:szCs w:val="44"/>
        </w:rPr>
      </w:pPr>
    </w:p>
    <w:sdt>
      <w:sdtPr>
        <w:rPr>
          <w:rFonts w:asciiTheme="minorHAnsi" w:eastAsiaTheme="minorEastAsia" w:hAnsiTheme="minorHAnsi" w:cstheme="minorBidi"/>
          <w:color w:val="auto"/>
          <w:kern w:val="2"/>
          <w:sz w:val="21"/>
          <w:szCs w:val="24"/>
          <w:lang w:val="zh-CN"/>
        </w:rPr>
        <w:id w:val="147460436"/>
        <w:docPartObj>
          <w:docPartGallery w:val="Table of Contents"/>
          <w:docPartUnique/>
        </w:docPartObj>
      </w:sdtPr>
      <w:sdtEndPr>
        <w:rPr>
          <w:b/>
          <w:bCs/>
        </w:rPr>
      </w:sdtEndPr>
      <w:sdtContent>
        <w:p w:rsidR="00CB68D1" w:rsidRDefault="00000000">
          <w:pPr>
            <w:pStyle w:val="TOC10"/>
            <w:jc w:val="center"/>
            <w:rPr>
              <w:rStyle w:val="ae"/>
              <w:rFonts w:hint="eastAsia"/>
              <w:color w:val="auto"/>
            </w:rPr>
          </w:pPr>
          <w:r>
            <w:rPr>
              <w:rStyle w:val="ae"/>
              <w:rFonts w:ascii="宋体" w:eastAsia="宋体" w:hAnsi="宋体" w:cs="宋体" w:hint="eastAsia"/>
              <w:color w:val="auto"/>
            </w:rPr>
            <w:t>目  次</w:t>
          </w:r>
        </w:p>
        <w:p w:rsidR="00CB68D1" w:rsidRDefault="00000000">
          <w:pPr>
            <w:pStyle w:val="TOC1"/>
            <w:tabs>
              <w:tab w:val="clear" w:pos="8296"/>
              <w:tab w:val="right" w:leader="dot" w:pos="9746"/>
            </w:tabs>
          </w:pPr>
          <w:r>
            <w:rPr>
              <w:sz w:val="24"/>
            </w:rPr>
            <w:fldChar w:fldCharType="begin"/>
          </w:r>
          <w:r>
            <w:rPr>
              <w:sz w:val="24"/>
            </w:rPr>
            <w:instrText xml:space="preserve"> TOC \o "1-3" \h \z \u </w:instrText>
          </w:r>
          <w:r>
            <w:rPr>
              <w:sz w:val="24"/>
            </w:rPr>
            <w:fldChar w:fldCharType="separate"/>
          </w:r>
          <w:hyperlink w:anchor="_Toc22507" w:history="1">
            <w:r w:rsidR="00CB68D1">
              <w:rPr>
                <w:szCs w:val="28"/>
              </w:rPr>
              <w:t>一、</w:t>
            </w:r>
            <w:r w:rsidR="00CB68D1">
              <w:rPr>
                <w:szCs w:val="28"/>
              </w:rPr>
              <w:t xml:space="preserve"> </w:t>
            </w:r>
            <w:r w:rsidR="00CB68D1">
              <w:rPr>
                <w:szCs w:val="28"/>
              </w:rPr>
              <w:t>任务来源及标准制定背景</w:t>
            </w:r>
            <w:r w:rsidR="00CB68D1">
              <w:tab/>
            </w:r>
            <w:r w:rsidR="00CB68D1">
              <w:fldChar w:fldCharType="begin"/>
            </w:r>
            <w:r w:rsidR="00CB68D1">
              <w:instrText xml:space="preserve"> PAGEREF _Toc22507 \h </w:instrText>
            </w:r>
            <w:r w:rsidR="00CB68D1">
              <w:fldChar w:fldCharType="separate"/>
            </w:r>
            <w:r w:rsidR="00CB68D1">
              <w:t>3</w:t>
            </w:r>
            <w:r w:rsidR="00CB68D1">
              <w:fldChar w:fldCharType="end"/>
            </w:r>
          </w:hyperlink>
        </w:p>
        <w:p w:rsidR="00CB68D1" w:rsidRDefault="00CB68D1">
          <w:pPr>
            <w:pStyle w:val="TOC1"/>
            <w:tabs>
              <w:tab w:val="clear" w:pos="8296"/>
              <w:tab w:val="right" w:leader="dot" w:pos="9746"/>
            </w:tabs>
          </w:pPr>
          <w:hyperlink w:anchor="_Toc9621" w:history="1">
            <w:r>
              <w:rPr>
                <w:szCs w:val="28"/>
              </w:rPr>
              <w:t>二、</w:t>
            </w:r>
            <w:r>
              <w:rPr>
                <w:szCs w:val="28"/>
              </w:rPr>
              <w:t xml:space="preserve"> </w:t>
            </w:r>
            <w:r>
              <w:rPr>
                <w:rFonts w:hint="eastAsia"/>
                <w:szCs w:val="28"/>
              </w:rPr>
              <w:t>主要工作过程</w:t>
            </w:r>
            <w:r>
              <w:tab/>
            </w:r>
            <w:r>
              <w:fldChar w:fldCharType="begin"/>
            </w:r>
            <w:r>
              <w:instrText xml:space="preserve"> PAGEREF _Toc9621 \h </w:instrText>
            </w:r>
            <w:r>
              <w:fldChar w:fldCharType="separate"/>
            </w:r>
            <w:r>
              <w:t>3</w:t>
            </w:r>
            <w:r>
              <w:fldChar w:fldCharType="end"/>
            </w:r>
          </w:hyperlink>
        </w:p>
        <w:p w:rsidR="00CB68D1" w:rsidRDefault="00CB68D1">
          <w:pPr>
            <w:pStyle w:val="TOC1"/>
            <w:tabs>
              <w:tab w:val="clear" w:pos="8296"/>
              <w:tab w:val="right" w:leader="dot" w:pos="9746"/>
            </w:tabs>
          </w:pPr>
          <w:hyperlink w:anchor="_Toc12490" w:history="1">
            <w:r>
              <w:rPr>
                <w:szCs w:val="28"/>
              </w:rPr>
              <w:t>三、</w:t>
            </w:r>
            <w:r>
              <w:rPr>
                <w:szCs w:val="28"/>
              </w:rPr>
              <w:t xml:space="preserve"> </w:t>
            </w:r>
            <w:r>
              <w:rPr>
                <w:szCs w:val="28"/>
              </w:rPr>
              <w:t>标准编制原则和主要技术内容确定的依据</w:t>
            </w:r>
            <w:r>
              <w:tab/>
            </w:r>
            <w:r>
              <w:fldChar w:fldCharType="begin"/>
            </w:r>
            <w:r>
              <w:instrText xml:space="preserve"> PAGEREF _Toc12490 \h </w:instrText>
            </w:r>
            <w:r>
              <w:fldChar w:fldCharType="separate"/>
            </w:r>
            <w:r>
              <w:t>4</w:t>
            </w:r>
            <w:r>
              <w:fldChar w:fldCharType="end"/>
            </w:r>
          </w:hyperlink>
        </w:p>
        <w:p w:rsidR="00CB68D1" w:rsidRDefault="00CB68D1">
          <w:pPr>
            <w:pStyle w:val="TOC1"/>
            <w:tabs>
              <w:tab w:val="clear" w:pos="8296"/>
              <w:tab w:val="right" w:leader="dot" w:pos="9746"/>
            </w:tabs>
          </w:pPr>
          <w:hyperlink w:anchor="_Toc27367" w:history="1">
            <w:r>
              <w:rPr>
                <w:rFonts w:hint="eastAsia"/>
                <w:szCs w:val="28"/>
              </w:rPr>
              <w:t>四</w:t>
            </w:r>
            <w:r>
              <w:rPr>
                <w:szCs w:val="28"/>
              </w:rPr>
              <w:t>、</w:t>
            </w:r>
            <w:r>
              <w:rPr>
                <w:rFonts w:hint="eastAsia"/>
                <w:szCs w:val="28"/>
              </w:rPr>
              <w:t>采用的国际标准</w:t>
            </w:r>
            <w:r>
              <w:tab/>
            </w:r>
            <w:r>
              <w:fldChar w:fldCharType="begin"/>
            </w:r>
            <w:r>
              <w:instrText xml:space="preserve"> PAGEREF _Toc27367 \h </w:instrText>
            </w:r>
            <w:r>
              <w:fldChar w:fldCharType="separate"/>
            </w:r>
            <w:r>
              <w:t>7</w:t>
            </w:r>
            <w:r>
              <w:fldChar w:fldCharType="end"/>
            </w:r>
          </w:hyperlink>
        </w:p>
        <w:p w:rsidR="00CB68D1" w:rsidRDefault="00CB68D1">
          <w:pPr>
            <w:pStyle w:val="TOC1"/>
            <w:tabs>
              <w:tab w:val="clear" w:pos="8296"/>
              <w:tab w:val="right" w:leader="dot" w:pos="9746"/>
            </w:tabs>
          </w:pPr>
          <w:hyperlink w:anchor="_Toc11619" w:history="1">
            <w:r>
              <w:rPr>
                <w:rFonts w:hint="eastAsia"/>
                <w:szCs w:val="28"/>
              </w:rPr>
              <w:t>五</w:t>
            </w:r>
            <w:r>
              <w:rPr>
                <w:szCs w:val="28"/>
              </w:rPr>
              <w:t>、</w:t>
            </w:r>
            <w:r>
              <w:rPr>
                <w:rFonts w:hint="eastAsia"/>
                <w:szCs w:val="28"/>
              </w:rPr>
              <w:t>与现行法律法规和强制性标准的关系</w:t>
            </w:r>
            <w:r>
              <w:tab/>
            </w:r>
            <w:r>
              <w:fldChar w:fldCharType="begin"/>
            </w:r>
            <w:r>
              <w:instrText xml:space="preserve"> PAGEREF _Toc11619 \h </w:instrText>
            </w:r>
            <w:r>
              <w:fldChar w:fldCharType="separate"/>
            </w:r>
            <w:r>
              <w:t>7</w:t>
            </w:r>
            <w:r>
              <w:fldChar w:fldCharType="end"/>
            </w:r>
          </w:hyperlink>
        </w:p>
        <w:p w:rsidR="00CB68D1" w:rsidRDefault="00CB68D1">
          <w:pPr>
            <w:pStyle w:val="TOC1"/>
            <w:tabs>
              <w:tab w:val="clear" w:pos="8296"/>
              <w:tab w:val="right" w:leader="dot" w:pos="9746"/>
            </w:tabs>
          </w:pPr>
          <w:hyperlink w:anchor="_Toc8620" w:history="1">
            <w:r>
              <w:rPr>
                <w:rFonts w:hint="eastAsia"/>
                <w:szCs w:val="28"/>
              </w:rPr>
              <w:t>六</w:t>
            </w:r>
            <w:r>
              <w:rPr>
                <w:szCs w:val="28"/>
              </w:rPr>
              <w:t>、</w:t>
            </w:r>
            <w:r>
              <w:rPr>
                <w:rFonts w:hint="eastAsia"/>
                <w:szCs w:val="28"/>
              </w:rPr>
              <w:t>重大分歧意见的处理经过和依据</w:t>
            </w:r>
            <w:r>
              <w:tab/>
            </w:r>
            <w:r>
              <w:fldChar w:fldCharType="begin"/>
            </w:r>
            <w:r>
              <w:instrText xml:space="preserve"> PAGEREF _Toc8620 \h </w:instrText>
            </w:r>
            <w:r>
              <w:fldChar w:fldCharType="separate"/>
            </w:r>
            <w:r>
              <w:t>7</w:t>
            </w:r>
            <w:r>
              <w:fldChar w:fldCharType="end"/>
            </w:r>
          </w:hyperlink>
        </w:p>
        <w:p w:rsidR="00CB68D1" w:rsidRDefault="00CB68D1">
          <w:pPr>
            <w:pStyle w:val="TOC1"/>
            <w:tabs>
              <w:tab w:val="clear" w:pos="8296"/>
              <w:tab w:val="right" w:leader="dot" w:pos="9746"/>
            </w:tabs>
          </w:pPr>
          <w:hyperlink w:anchor="_Toc26507" w:history="1">
            <w:r>
              <w:rPr>
                <w:szCs w:val="28"/>
              </w:rPr>
              <w:t>七、标准作为强制性或推荐性标准的意见</w:t>
            </w:r>
            <w:r>
              <w:tab/>
            </w:r>
            <w:r>
              <w:fldChar w:fldCharType="begin"/>
            </w:r>
            <w:r>
              <w:instrText xml:space="preserve"> PAGEREF _Toc26507 \h </w:instrText>
            </w:r>
            <w:r>
              <w:fldChar w:fldCharType="separate"/>
            </w:r>
            <w:r>
              <w:t>7</w:t>
            </w:r>
            <w:r>
              <w:fldChar w:fldCharType="end"/>
            </w:r>
          </w:hyperlink>
        </w:p>
        <w:p w:rsidR="00CB68D1" w:rsidRDefault="00CB68D1">
          <w:pPr>
            <w:pStyle w:val="TOC1"/>
            <w:tabs>
              <w:tab w:val="clear" w:pos="8296"/>
              <w:tab w:val="right" w:leader="dot" w:pos="9746"/>
            </w:tabs>
          </w:pPr>
          <w:hyperlink w:anchor="_Toc27632" w:history="1">
            <w:r>
              <w:rPr>
                <w:szCs w:val="28"/>
              </w:rPr>
              <w:t>八、贯彻标准的要求和措施建议</w:t>
            </w:r>
            <w:r>
              <w:tab/>
            </w:r>
            <w:r>
              <w:fldChar w:fldCharType="begin"/>
            </w:r>
            <w:r>
              <w:instrText xml:space="preserve"> PAGEREF _Toc27632 \h </w:instrText>
            </w:r>
            <w:r>
              <w:fldChar w:fldCharType="separate"/>
            </w:r>
            <w:r>
              <w:t>7</w:t>
            </w:r>
            <w:r>
              <w:fldChar w:fldCharType="end"/>
            </w:r>
          </w:hyperlink>
        </w:p>
        <w:p w:rsidR="00CB68D1" w:rsidRDefault="00CB68D1">
          <w:pPr>
            <w:pStyle w:val="TOC1"/>
            <w:tabs>
              <w:tab w:val="clear" w:pos="8296"/>
              <w:tab w:val="right" w:leader="dot" w:pos="9746"/>
            </w:tabs>
          </w:pPr>
          <w:hyperlink w:anchor="_Toc25128" w:history="1">
            <w:r>
              <w:rPr>
                <w:szCs w:val="28"/>
              </w:rPr>
              <w:t>九、废止现行有关标准的建议</w:t>
            </w:r>
            <w:r>
              <w:tab/>
            </w:r>
            <w:r>
              <w:fldChar w:fldCharType="begin"/>
            </w:r>
            <w:r>
              <w:instrText xml:space="preserve"> PAGEREF _Toc25128 \h </w:instrText>
            </w:r>
            <w:r>
              <w:fldChar w:fldCharType="separate"/>
            </w:r>
            <w:r>
              <w:t>7</w:t>
            </w:r>
            <w:r>
              <w:fldChar w:fldCharType="end"/>
            </w:r>
          </w:hyperlink>
        </w:p>
        <w:p w:rsidR="00CB68D1" w:rsidRDefault="00CB68D1">
          <w:pPr>
            <w:pStyle w:val="TOC1"/>
            <w:tabs>
              <w:tab w:val="clear" w:pos="8296"/>
              <w:tab w:val="right" w:leader="dot" w:pos="9746"/>
            </w:tabs>
          </w:pPr>
          <w:hyperlink w:anchor="_Toc9464" w:history="1">
            <w:r>
              <w:rPr>
                <w:szCs w:val="28"/>
              </w:rPr>
              <w:t>十、其他应予说明的事项</w:t>
            </w:r>
            <w:r>
              <w:tab/>
            </w:r>
            <w:r>
              <w:fldChar w:fldCharType="begin"/>
            </w:r>
            <w:r>
              <w:instrText xml:space="preserve"> PAGEREF _Toc9464 \h </w:instrText>
            </w:r>
            <w:r>
              <w:fldChar w:fldCharType="separate"/>
            </w:r>
            <w:r>
              <w:t>7</w:t>
            </w:r>
            <w:r>
              <w:fldChar w:fldCharType="end"/>
            </w:r>
          </w:hyperlink>
        </w:p>
        <w:p w:rsidR="00CB68D1" w:rsidRDefault="00000000">
          <w:pPr>
            <w:widowControl/>
            <w:jc w:val="left"/>
            <w:rPr>
              <w:rFonts w:asciiTheme="minorHAnsi" w:eastAsiaTheme="minorEastAsia" w:hAnsiTheme="minorHAnsi" w:cstheme="minorBidi" w:hint="eastAsia"/>
              <w:b/>
              <w:bCs/>
              <w:szCs w:val="24"/>
              <w:lang w:val="zh-CN"/>
            </w:rPr>
          </w:pPr>
          <w:r>
            <w:rPr>
              <w:bCs/>
              <w:lang w:val="zh-CN"/>
            </w:rPr>
            <w:fldChar w:fldCharType="end"/>
          </w:r>
        </w:p>
      </w:sdtContent>
    </w:sdt>
    <w:p w:rsidR="00CB68D1" w:rsidRDefault="00CB68D1">
      <w:pPr>
        <w:widowControl/>
        <w:jc w:val="left"/>
        <w:rPr>
          <w:rFonts w:asciiTheme="minorHAnsi" w:eastAsiaTheme="minorEastAsia" w:hAnsiTheme="minorHAnsi" w:cstheme="minorBidi" w:hint="eastAsia"/>
          <w:b/>
          <w:bCs/>
          <w:szCs w:val="24"/>
          <w:lang w:val="zh-CN"/>
        </w:rPr>
      </w:pPr>
    </w:p>
    <w:p w:rsidR="00CB68D1" w:rsidRDefault="00CB68D1">
      <w:pPr>
        <w:widowControl/>
        <w:jc w:val="left"/>
        <w:rPr>
          <w:rFonts w:cs="宋体"/>
          <w:b/>
          <w:bCs/>
          <w:color w:val="000000"/>
          <w:sz w:val="44"/>
          <w:szCs w:val="44"/>
        </w:rPr>
      </w:pPr>
    </w:p>
    <w:p w:rsidR="00CB68D1" w:rsidRDefault="00CB68D1">
      <w:pPr>
        <w:widowControl/>
        <w:jc w:val="left"/>
        <w:rPr>
          <w:rFonts w:cs="宋体"/>
          <w:b/>
          <w:bCs/>
          <w:color w:val="000000"/>
          <w:sz w:val="44"/>
          <w:szCs w:val="44"/>
        </w:rPr>
      </w:pPr>
    </w:p>
    <w:p w:rsidR="00CB68D1" w:rsidRDefault="00CB68D1">
      <w:pPr>
        <w:widowControl/>
        <w:jc w:val="left"/>
        <w:rPr>
          <w:rFonts w:cs="宋体"/>
          <w:b/>
          <w:bCs/>
          <w:color w:val="000000"/>
          <w:sz w:val="44"/>
          <w:szCs w:val="44"/>
        </w:rPr>
      </w:pPr>
    </w:p>
    <w:p w:rsidR="00CB68D1" w:rsidRDefault="00CB68D1">
      <w:pPr>
        <w:widowControl/>
        <w:jc w:val="left"/>
        <w:rPr>
          <w:rFonts w:cs="宋体"/>
          <w:b/>
          <w:bCs/>
          <w:color w:val="000000"/>
          <w:sz w:val="44"/>
          <w:szCs w:val="44"/>
        </w:rPr>
      </w:pPr>
    </w:p>
    <w:p w:rsidR="00CB68D1" w:rsidRDefault="00CB68D1">
      <w:pPr>
        <w:widowControl/>
        <w:jc w:val="left"/>
        <w:rPr>
          <w:rFonts w:cs="宋体"/>
          <w:b/>
          <w:bCs/>
          <w:color w:val="000000"/>
          <w:sz w:val="44"/>
          <w:szCs w:val="44"/>
        </w:rPr>
      </w:pPr>
    </w:p>
    <w:p w:rsidR="00CB68D1" w:rsidRDefault="00CB68D1">
      <w:pPr>
        <w:widowControl/>
        <w:jc w:val="left"/>
        <w:rPr>
          <w:rFonts w:cs="宋体"/>
          <w:b/>
          <w:bCs/>
          <w:color w:val="000000"/>
          <w:sz w:val="44"/>
          <w:szCs w:val="44"/>
        </w:rPr>
      </w:pPr>
    </w:p>
    <w:p w:rsidR="00CB68D1" w:rsidRDefault="00CB68D1">
      <w:pPr>
        <w:widowControl/>
        <w:jc w:val="left"/>
        <w:rPr>
          <w:rFonts w:cs="宋体"/>
          <w:b/>
          <w:bCs/>
          <w:color w:val="000000"/>
          <w:sz w:val="44"/>
          <w:szCs w:val="44"/>
        </w:rPr>
      </w:pPr>
    </w:p>
    <w:p w:rsidR="00CB68D1" w:rsidRDefault="00CB68D1">
      <w:pPr>
        <w:widowControl/>
        <w:jc w:val="left"/>
        <w:rPr>
          <w:rFonts w:cs="宋体"/>
          <w:b/>
          <w:bCs/>
          <w:color w:val="000000"/>
          <w:sz w:val="44"/>
          <w:szCs w:val="44"/>
        </w:rPr>
      </w:pPr>
    </w:p>
    <w:p w:rsidR="00CB68D1" w:rsidRDefault="00000000">
      <w:pPr>
        <w:pStyle w:val="af3"/>
        <w:numPr>
          <w:ilvl w:val="0"/>
          <w:numId w:val="1"/>
        </w:numPr>
        <w:spacing w:beforeLines="100" w:before="312" w:afterLines="100" w:after="312" w:line="420" w:lineRule="exact"/>
        <w:ind w:left="578" w:firstLineChars="0" w:hanging="578"/>
        <w:outlineLvl w:val="0"/>
        <w:rPr>
          <w:rFonts w:asciiTheme="minorHAnsi" w:eastAsiaTheme="majorEastAsia" w:hAnsiTheme="minorHAnsi" w:cstheme="minorBidi" w:hint="eastAsia"/>
          <w:b/>
          <w:bCs/>
          <w:kern w:val="44"/>
          <w:sz w:val="28"/>
          <w:szCs w:val="44"/>
        </w:rPr>
      </w:pPr>
      <w:bookmarkStart w:id="1" w:name="_Toc22507"/>
      <w:r>
        <w:rPr>
          <w:rFonts w:ascii="宋体" w:hAnsi="宋体" w:cs="宋体" w:hint="eastAsia"/>
          <w:b/>
          <w:bCs/>
          <w:kern w:val="44"/>
          <w:sz w:val="28"/>
          <w:szCs w:val="44"/>
        </w:rPr>
        <w:lastRenderedPageBreak/>
        <w:t>任务来源及标准制定背景</w:t>
      </w:r>
      <w:bookmarkEnd w:id="1"/>
    </w:p>
    <w:p w:rsidR="00CB68D1" w:rsidRDefault="00000000">
      <w:pPr>
        <w:pStyle w:val="af3"/>
        <w:ind w:left="578" w:firstLineChars="0" w:firstLine="0"/>
        <w:outlineLvl w:val="1"/>
        <w:rPr>
          <w:b/>
          <w:color w:val="000000" w:themeColor="text1"/>
          <w:sz w:val="24"/>
        </w:rPr>
      </w:pPr>
      <w:bookmarkStart w:id="2" w:name="_Toc4615"/>
      <w:r>
        <w:rPr>
          <w:rFonts w:hint="eastAsia"/>
          <w:b/>
          <w:sz w:val="28"/>
          <w:szCs w:val="28"/>
        </w:rPr>
        <w:t>1</w:t>
      </w:r>
      <w:r>
        <w:rPr>
          <w:rFonts w:hint="eastAsia"/>
          <w:b/>
          <w:sz w:val="28"/>
          <w:szCs w:val="28"/>
        </w:rPr>
        <w:t>、</w:t>
      </w:r>
      <w:r>
        <w:rPr>
          <w:rFonts w:hint="eastAsia"/>
          <w:b/>
          <w:color w:val="000000" w:themeColor="text1"/>
          <w:sz w:val="28"/>
          <w:szCs w:val="28"/>
        </w:rPr>
        <w:t>任务来源</w:t>
      </w:r>
      <w:bookmarkEnd w:id="2"/>
    </w:p>
    <w:p w:rsidR="00CB68D1" w:rsidRPr="004178B5" w:rsidRDefault="004178B5" w:rsidP="004178B5">
      <w:pPr>
        <w:widowControl/>
        <w:spacing w:line="360" w:lineRule="auto"/>
        <w:ind w:firstLineChars="200" w:firstLine="480"/>
        <w:jc w:val="left"/>
        <w:rPr>
          <w:rFonts w:cs="宋体"/>
          <w:sz w:val="24"/>
          <w:szCs w:val="24"/>
        </w:rPr>
      </w:pPr>
      <w:r w:rsidRPr="004178B5">
        <w:rPr>
          <w:rFonts w:cs="宋体" w:hint="eastAsia"/>
          <w:sz w:val="24"/>
          <w:szCs w:val="24"/>
        </w:rPr>
        <w:t>项目依托国家重点研发项目子课题“</w:t>
      </w:r>
      <w:r w:rsidRPr="004178B5">
        <w:rPr>
          <w:rFonts w:cs="宋体"/>
          <w:sz w:val="24"/>
          <w:szCs w:val="24"/>
        </w:rPr>
        <w:t>饲草品质快速检测技术与质量分级研究</w:t>
      </w:r>
      <w:r w:rsidRPr="004178B5">
        <w:rPr>
          <w:rFonts w:cs="宋体" w:hint="eastAsia"/>
          <w:sz w:val="24"/>
          <w:szCs w:val="24"/>
        </w:rPr>
        <w:t>”，采用近红外光谱分析技术（</w:t>
      </w:r>
      <w:r w:rsidRPr="004178B5">
        <w:rPr>
          <w:rFonts w:cs="宋体" w:hint="eastAsia"/>
          <w:sz w:val="24"/>
          <w:szCs w:val="24"/>
        </w:rPr>
        <w:t>NIRS</w:t>
      </w:r>
      <w:r w:rsidRPr="004178B5">
        <w:rPr>
          <w:rFonts w:cs="宋体" w:hint="eastAsia"/>
          <w:sz w:val="24"/>
          <w:szCs w:val="24"/>
        </w:rPr>
        <w:t>），研究饲草样本光谱预处理、样本筛选、特征波长，构建、优化和验证饲草品质的近红外光谱模型，形成饲草品质快速精准检测技术，建立简洁科学精准的青贮饲料产品饲用价值快速评价体系</w:t>
      </w:r>
      <w:r>
        <w:rPr>
          <w:rFonts w:cs="宋体" w:hint="eastAsia"/>
          <w:sz w:val="24"/>
          <w:szCs w:val="24"/>
        </w:rPr>
        <w:t>。</w:t>
      </w:r>
    </w:p>
    <w:p w:rsidR="00CB68D1" w:rsidRDefault="00000000">
      <w:pPr>
        <w:pStyle w:val="af3"/>
        <w:ind w:left="578" w:firstLineChars="0" w:firstLine="0"/>
        <w:outlineLvl w:val="1"/>
        <w:rPr>
          <w:b/>
          <w:sz w:val="28"/>
          <w:szCs w:val="28"/>
        </w:rPr>
      </w:pPr>
      <w:bookmarkStart w:id="3" w:name="_Toc27881"/>
      <w:r>
        <w:rPr>
          <w:rFonts w:hint="eastAsia"/>
          <w:b/>
          <w:sz w:val="28"/>
          <w:szCs w:val="28"/>
        </w:rPr>
        <w:t>2</w:t>
      </w:r>
      <w:r>
        <w:rPr>
          <w:rFonts w:hint="eastAsia"/>
          <w:b/>
          <w:sz w:val="28"/>
          <w:szCs w:val="28"/>
        </w:rPr>
        <w:t>、标准制定背景</w:t>
      </w:r>
      <w:bookmarkEnd w:id="3"/>
    </w:p>
    <w:p w:rsidR="00CB68D1" w:rsidRDefault="00000000">
      <w:pPr>
        <w:widowControl/>
        <w:spacing w:line="360" w:lineRule="auto"/>
        <w:ind w:firstLineChars="200" w:firstLine="480"/>
        <w:jc w:val="left"/>
        <w:rPr>
          <w:rFonts w:cs="宋体"/>
          <w:sz w:val="24"/>
          <w:szCs w:val="24"/>
        </w:rPr>
      </w:pPr>
      <w:r>
        <w:rPr>
          <w:rFonts w:cs="宋体" w:hint="eastAsia"/>
          <w:sz w:val="24"/>
          <w:szCs w:val="24"/>
        </w:rPr>
        <w:t>小黑麦是由黑麦属和小麦</w:t>
      </w:r>
      <w:proofErr w:type="gramStart"/>
      <w:r>
        <w:rPr>
          <w:rFonts w:cs="宋体" w:hint="eastAsia"/>
          <w:sz w:val="24"/>
          <w:szCs w:val="24"/>
        </w:rPr>
        <w:t>属通过</w:t>
      </w:r>
      <w:proofErr w:type="gramEnd"/>
      <w:r>
        <w:rPr>
          <w:rFonts w:cs="宋体" w:hint="eastAsia"/>
          <w:sz w:val="24"/>
          <w:szCs w:val="24"/>
        </w:rPr>
        <w:t>远缘杂交，由染色体工程育种技术人工创造的异源多倍体新物种，属于一年生禾本科植物。小黑麦既保留了黑麦属在非生物胁迫耐受性方面的进化优势，又兼具小麦属在生物量产出效能与营养组分富集方面的栽培特性，具有产量高、品质优良、适应性光和综合抗性强等优良性状，为畜禽所喜食，是一种新型粮饲兼用型牧草，在我国每年种植面积约为</w:t>
      </w:r>
      <w:r>
        <w:rPr>
          <w:rFonts w:cs="宋体" w:hint="eastAsia"/>
          <w:sz w:val="24"/>
          <w:szCs w:val="24"/>
        </w:rPr>
        <w:t>450</w:t>
      </w:r>
      <w:r>
        <w:rPr>
          <w:rFonts w:cs="宋体" w:hint="eastAsia"/>
          <w:sz w:val="24"/>
          <w:szCs w:val="24"/>
        </w:rPr>
        <w:t>万亩。作为秋播型饲草，能够利用冬闲田种植，在冬春季</w:t>
      </w:r>
      <w:proofErr w:type="gramStart"/>
      <w:r>
        <w:rPr>
          <w:rFonts w:cs="宋体" w:hint="eastAsia"/>
          <w:sz w:val="24"/>
          <w:szCs w:val="24"/>
        </w:rPr>
        <w:t>节生产</w:t>
      </w:r>
      <w:proofErr w:type="gramEnd"/>
      <w:r>
        <w:rPr>
          <w:rFonts w:cs="宋体" w:hint="eastAsia"/>
          <w:sz w:val="24"/>
          <w:szCs w:val="24"/>
        </w:rPr>
        <w:t>优质饲草，有效缓解反刍家畜冬</w:t>
      </w:r>
      <w:proofErr w:type="gramStart"/>
      <w:r>
        <w:rPr>
          <w:rFonts w:cs="宋体" w:hint="eastAsia"/>
          <w:sz w:val="24"/>
          <w:szCs w:val="24"/>
        </w:rPr>
        <w:t>春季因</w:t>
      </w:r>
      <w:proofErr w:type="gramEnd"/>
      <w:r>
        <w:rPr>
          <w:rFonts w:cs="宋体" w:hint="eastAsia"/>
          <w:sz w:val="24"/>
          <w:szCs w:val="24"/>
        </w:rPr>
        <w:t>粗饲料短缺而产生的冬瘦春乏的问题。饲用小黑麦生物产量高、适口性好、消化率高，利用方式灵活多样，可制作干草、青贮和精饲料等，其中青贮能够有效提高其利用率。青贮作为饲草加工的主要方式之一，已在小黑麦中得到广泛研究和利用，但有关快速检测饲用小黑麦青贮品质方法研究</w:t>
      </w:r>
      <w:proofErr w:type="gramStart"/>
      <w:r>
        <w:rPr>
          <w:rFonts w:cs="宋体" w:hint="eastAsia"/>
          <w:sz w:val="24"/>
          <w:szCs w:val="24"/>
        </w:rPr>
        <w:t>报道仍</w:t>
      </w:r>
      <w:proofErr w:type="gramEnd"/>
      <w:r>
        <w:rPr>
          <w:rFonts w:cs="宋体" w:hint="eastAsia"/>
          <w:sz w:val="24"/>
          <w:szCs w:val="24"/>
        </w:rPr>
        <w:t>较缺乏，难以指导生产实践。</w:t>
      </w:r>
    </w:p>
    <w:p w:rsidR="00CB68D1" w:rsidRDefault="00000000">
      <w:pPr>
        <w:widowControl/>
        <w:spacing w:line="360" w:lineRule="auto"/>
        <w:ind w:firstLineChars="200" w:firstLine="480"/>
        <w:rPr>
          <w:bCs/>
          <w:sz w:val="24"/>
          <w:szCs w:val="24"/>
        </w:rPr>
      </w:pPr>
      <w:r>
        <w:rPr>
          <w:rFonts w:cs="宋体" w:hint="eastAsia"/>
          <w:sz w:val="24"/>
          <w:szCs w:val="24"/>
        </w:rPr>
        <w:t>近红外光谱（</w:t>
      </w:r>
      <w:r>
        <w:rPr>
          <w:rFonts w:cs="宋体" w:hint="eastAsia"/>
          <w:sz w:val="24"/>
          <w:szCs w:val="24"/>
        </w:rPr>
        <w:t>Near</w:t>
      </w:r>
      <w:r>
        <w:rPr>
          <w:rFonts w:cs="宋体"/>
          <w:sz w:val="24"/>
          <w:szCs w:val="24"/>
        </w:rPr>
        <w:t xml:space="preserve"> </w:t>
      </w:r>
      <w:r>
        <w:rPr>
          <w:rFonts w:cs="宋体" w:hint="eastAsia"/>
          <w:sz w:val="24"/>
          <w:szCs w:val="24"/>
        </w:rPr>
        <w:t>Infrared</w:t>
      </w:r>
      <w:r>
        <w:rPr>
          <w:rFonts w:cs="宋体"/>
          <w:sz w:val="24"/>
          <w:szCs w:val="24"/>
        </w:rPr>
        <w:t xml:space="preserve"> </w:t>
      </w:r>
      <w:r>
        <w:rPr>
          <w:rFonts w:cs="宋体" w:hint="eastAsia"/>
          <w:sz w:val="24"/>
          <w:szCs w:val="24"/>
        </w:rPr>
        <w:t>Spectroscop</w:t>
      </w:r>
      <w:r>
        <w:rPr>
          <w:rFonts w:cs="宋体"/>
          <w:sz w:val="24"/>
          <w:szCs w:val="24"/>
        </w:rPr>
        <w:t>y</w:t>
      </w:r>
      <w:r>
        <w:rPr>
          <w:rFonts w:cs="宋体" w:hint="eastAsia"/>
          <w:sz w:val="24"/>
          <w:szCs w:val="24"/>
        </w:rPr>
        <w:t>）分析技术可以解决由于实验室法维护成本高而受到限制的饲料和膳食质量问题，实现饲草营养指标检测快速化、分析标准化、营养精准化。</w:t>
      </w:r>
      <w:r>
        <w:rPr>
          <w:rFonts w:hAnsi="宋体" w:cs="宋体" w:hint="eastAsia"/>
          <w:sz w:val="24"/>
          <w:szCs w:val="24"/>
        </w:rPr>
        <w:t>采用近红外光谱技术（</w:t>
      </w:r>
      <w:r>
        <w:rPr>
          <w:rFonts w:hAnsi="宋体" w:cs="宋体" w:hint="eastAsia"/>
          <w:sz w:val="24"/>
          <w:szCs w:val="24"/>
        </w:rPr>
        <w:t>NIRS</w:t>
      </w:r>
      <w:r>
        <w:rPr>
          <w:rFonts w:hAnsi="宋体" w:cs="宋体" w:hint="eastAsia"/>
          <w:sz w:val="24"/>
          <w:szCs w:val="24"/>
        </w:rPr>
        <w:t>）测定青贮饲用小黑麦可溶性碳水化合物能进行连续、无限次、多组分的分析，上机时间仅需十几秒，极大地提高了分析效率，建立相应的分析模型。因此，有必要开展青贮饲用小黑麦中可溶性碳水化合物测定技术规程</w:t>
      </w:r>
      <w:r w:rsidR="004178B5">
        <w:rPr>
          <w:rFonts w:hAnsi="宋体" w:cs="宋体" w:hint="eastAsia"/>
          <w:sz w:val="24"/>
          <w:szCs w:val="24"/>
        </w:rPr>
        <w:t>——</w:t>
      </w:r>
      <w:r>
        <w:rPr>
          <w:rFonts w:hAnsi="宋体" w:cs="宋体" w:hint="eastAsia"/>
          <w:sz w:val="24"/>
          <w:szCs w:val="24"/>
        </w:rPr>
        <w:t>近红外光谱分析法技术规程制订，既有利于规模效益，也有利于标准化管理。</w:t>
      </w:r>
    </w:p>
    <w:p w:rsidR="00CB68D1" w:rsidRDefault="00000000">
      <w:pPr>
        <w:pStyle w:val="af3"/>
        <w:numPr>
          <w:ilvl w:val="0"/>
          <w:numId w:val="1"/>
        </w:numPr>
        <w:spacing w:beforeLines="100" w:before="312" w:afterLines="100" w:after="312" w:line="420" w:lineRule="exact"/>
        <w:ind w:left="578" w:firstLineChars="0" w:hanging="578"/>
        <w:outlineLvl w:val="0"/>
        <w:rPr>
          <w:b/>
          <w:color w:val="000000" w:themeColor="text1"/>
          <w:sz w:val="28"/>
          <w:szCs w:val="28"/>
        </w:rPr>
      </w:pPr>
      <w:bookmarkStart w:id="4" w:name="_Toc9621"/>
      <w:r>
        <w:rPr>
          <w:rFonts w:hint="eastAsia"/>
          <w:b/>
          <w:color w:val="000000" w:themeColor="text1"/>
          <w:sz w:val="28"/>
          <w:szCs w:val="28"/>
        </w:rPr>
        <w:t>主要工作过程</w:t>
      </w:r>
      <w:bookmarkEnd w:id="4"/>
    </w:p>
    <w:p w:rsidR="004137FF" w:rsidRPr="004137FF" w:rsidRDefault="004137FF" w:rsidP="004137FF">
      <w:pPr>
        <w:widowControl/>
        <w:spacing w:line="360" w:lineRule="auto"/>
        <w:ind w:firstLineChars="200" w:firstLine="480"/>
        <w:jc w:val="left"/>
        <w:rPr>
          <w:rFonts w:cs="宋体"/>
          <w:sz w:val="24"/>
          <w:szCs w:val="24"/>
        </w:rPr>
      </w:pPr>
      <w:r>
        <w:rPr>
          <w:rFonts w:cs="宋体" w:hint="eastAsia"/>
          <w:sz w:val="24"/>
          <w:szCs w:val="24"/>
        </w:rPr>
        <w:t>2</w:t>
      </w:r>
      <w:r w:rsidRPr="004137FF">
        <w:rPr>
          <w:rFonts w:cs="宋体" w:hint="eastAsia"/>
          <w:sz w:val="24"/>
          <w:szCs w:val="24"/>
        </w:rPr>
        <w:t>025</w:t>
      </w:r>
      <w:r w:rsidRPr="004137FF">
        <w:rPr>
          <w:rFonts w:cs="宋体" w:hint="eastAsia"/>
          <w:sz w:val="24"/>
          <w:szCs w:val="24"/>
        </w:rPr>
        <w:t>年</w:t>
      </w:r>
      <w:r>
        <w:rPr>
          <w:rFonts w:cs="宋体" w:hint="eastAsia"/>
          <w:sz w:val="24"/>
          <w:szCs w:val="24"/>
        </w:rPr>
        <w:t>8</w:t>
      </w:r>
      <w:r w:rsidRPr="004137FF">
        <w:rPr>
          <w:rFonts w:cs="宋体" w:hint="eastAsia"/>
          <w:sz w:val="24"/>
          <w:szCs w:val="24"/>
        </w:rPr>
        <w:t>月，依据</w:t>
      </w:r>
      <w:r w:rsidRPr="004137FF">
        <w:rPr>
          <w:rFonts w:cs="宋体" w:hint="eastAsia"/>
          <w:sz w:val="24"/>
          <w:szCs w:val="24"/>
        </w:rPr>
        <w:t>2025</w:t>
      </w:r>
      <w:r w:rsidRPr="004137FF">
        <w:rPr>
          <w:rFonts w:cs="宋体" w:hint="eastAsia"/>
          <w:sz w:val="24"/>
          <w:szCs w:val="24"/>
        </w:rPr>
        <w:t>年《北京华夏草业产业技术创新战略联盟团体标准制修订管理办法》的相关规定</w:t>
      </w:r>
      <w:r>
        <w:rPr>
          <w:rFonts w:cs="宋体" w:hint="eastAsia"/>
          <w:sz w:val="24"/>
          <w:szCs w:val="24"/>
        </w:rPr>
        <w:t>，中国农业大学</w:t>
      </w:r>
      <w:r w:rsidRPr="004137FF">
        <w:rPr>
          <w:rFonts w:cs="宋体" w:hint="eastAsia"/>
          <w:sz w:val="24"/>
          <w:szCs w:val="24"/>
        </w:rPr>
        <w:t>牵头组建了标准起草小组，并就标准编写工作进行了讨论。</w:t>
      </w:r>
    </w:p>
    <w:p w:rsidR="004137FF" w:rsidRPr="004137FF" w:rsidRDefault="004137FF" w:rsidP="004137FF">
      <w:pPr>
        <w:widowControl/>
        <w:spacing w:line="360" w:lineRule="auto"/>
        <w:ind w:firstLineChars="200" w:firstLine="480"/>
        <w:jc w:val="left"/>
        <w:rPr>
          <w:rFonts w:cs="宋体"/>
          <w:sz w:val="24"/>
          <w:szCs w:val="24"/>
        </w:rPr>
      </w:pPr>
      <w:r w:rsidRPr="004137FF">
        <w:rPr>
          <w:rFonts w:cs="宋体" w:hint="eastAsia"/>
          <w:sz w:val="24"/>
          <w:szCs w:val="24"/>
        </w:rPr>
        <w:lastRenderedPageBreak/>
        <w:t>2025</w:t>
      </w:r>
      <w:r w:rsidRPr="004137FF">
        <w:rPr>
          <w:rFonts w:cs="宋体" w:hint="eastAsia"/>
          <w:sz w:val="24"/>
          <w:szCs w:val="24"/>
        </w:rPr>
        <w:t>年</w:t>
      </w:r>
      <w:r>
        <w:rPr>
          <w:rFonts w:cs="宋体" w:hint="eastAsia"/>
          <w:sz w:val="24"/>
          <w:szCs w:val="24"/>
        </w:rPr>
        <w:t>9</w:t>
      </w:r>
      <w:r w:rsidRPr="004137FF">
        <w:rPr>
          <w:rFonts w:cs="宋体" w:hint="eastAsia"/>
          <w:sz w:val="24"/>
          <w:szCs w:val="24"/>
        </w:rPr>
        <w:t>月，在系统总结研究团队现有研究成果的基础上，起草小组向北京华夏草业产业技术创新战略联盟提交了《</w:t>
      </w:r>
      <w:r w:rsidRPr="004137FF">
        <w:rPr>
          <w:rFonts w:cs="宋体"/>
          <w:sz w:val="24"/>
          <w:szCs w:val="24"/>
        </w:rPr>
        <w:t>基于近红外光谱分析法测定饲用小黑麦青贮中可溶性碳水化合物含量技术规程</w:t>
      </w:r>
      <w:r w:rsidRPr="004137FF">
        <w:rPr>
          <w:rFonts w:cs="宋体" w:hint="eastAsia"/>
          <w:sz w:val="24"/>
          <w:szCs w:val="24"/>
        </w:rPr>
        <w:t>》团体标准立项申请表，正式申请立项。</w:t>
      </w:r>
    </w:p>
    <w:p w:rsidR="004137FF" w:rsidRPr="004137FF" w:rsidRDefault="004137FF" w:rsidP="004137FF">
      <w:pPr>
        <w:widowControl/>
        <w:spacing w:line="360" w:lineRule="auto"/>
        <w:ind w:firstLineChars="200" w:firstLine="480"/>
        <w:jc w:val="left"/>
        <w:rPr>
          <w:rFonts w:cs="宋体"/>
          <w:sz w:val="24"/>
          <w:szCs w:val="24"/>
        </w:rPr>
      </w:pPr>
      <w:r w:rsidRPr="004137FF">
        <w:rPr>
          <w:rFonts w:cs="宋体" w:hint="eastAsia"/>
          <w:sz w:val="24"/>
          <w:szCs w:val="24"/>
        </w:rPr>
        <w:t>2025</w:t>
      </w:r>
      <w:r w:rsidRPr="004137FF">
        <w:rPr>
          <w:rFonts w:cs="宋体" w:hint="eastAsia"/>
          <w:sz w:val="24"/>
          <w:szCs w:val="24"/>
        </w:rPr>
        <w:t>年</w:t>
      </w:r>
      <w:r>
        <w:rPr>
          <w:rFonts w:cs="宋体" w:hint="eastAsia"/>
          <w:sz w:val="24"/>
          <w:szCs w:val="24"/>
        </w:rPr>
        <w:t>10</w:t>
      </w:r>
      <w:r w:rsidRPr="004137FF">
        <w:rPr>
          <w:rFonts w:cs="宋体" w:hint="eastAsia"/>
          <w:sz w:val="24"/>
          <w:szCs w:val="24"/>
        </w:rPr>
        <w:t>月，北京华夏草业产业技术创新战略联盟组织了对该团体标准立项的评审，并于</w:t>
      </w:r>
      <w:r>
        <w:rPr>
          <w:rFonts w:cs="宋体" w:hint="eastAsia"/>
          <w:sz w:val="24"/>
          <w:szCs w:val="24"/>
        </w:rPr>
        <w:t>10</w:t>
      </w:r>
      <w:r w:rsidRPr="004137FF">
        <w:rPr>
          <w:rFonts w:cs="宋体" w:hint="eastAsia"/>
          <w:sz w:val="24"/>
          <w:szCs w:val="24"/>
        </w:rPr>
        <w:t>月</w:t>
      </w:r>
      <w:r>
        <w:rPr>
          <w:rFonts w:cs="宋体" w:hint="eastAsia"/>
          <w:sz w:val="24"/>
          <w:szCs w:val="24"/>
        </w:rPr>
        <w:t>13</w:t>
      </w:r>
      <w:r w:rsidRPr="004137FF">
        <w:rPr>
          <w:rFonts w:cs="宋体" w:hint="eastAsia"/>
          <w:sz w:val="24"/>
          <w:szCs w:val="24"/>
        </w:rPr>
        <w:t>日正式发布了“草联盟关于对《基于近红外光谱分析法测定饲用小黑麦青贮中可溶性碳水化合物含量技术规程》</w:t>
      </w:r>
      <w:r w:rsidRPr="004137FF">
        <w:rPr>
          <w:rFonts w:cs="宋体"/>
          <w:sz w:val="24"/>
          <w:szCs w:val="24"/>
        </w:rPr>
        <w:t>团体标准立项审议意见</w:t>
      </w:r>
      <w:r w:rsidRPr="004137FF">
        <w:rPr>
          <w:rFonts w:cs="宋体" w:hint="eastAsia"/>
          <w:sz w:val="24"/>
          <w:szCs w:val="24"/>
        </w:rPr>
        <w:t>”，</w:t>
      </w:r>
      <w:r>
        <w:rPr>
          <w:rFonts w:cs="宋体" w:hint="eastAsia"/>
          <w:sz w:val="24"/>
          <w:szCs w:val="24"/>
        </w:rPr>
        <w:t>建议</w:t>
      </w:r>
      <w:r w:rsidRPr="004137FF">
        <w:rPr>
          <w:rFonts w:cs="宋体"/>
          <w:sz w:val="24"/>
          <w:szCs w:val="24"/>
        </w:rPr>
        <w:t>题目改为</w:t>
      </w:r>
      <w:r>
        <w:rPr>
          <w:rFonts w:cs="宋体" w:hint="eastAsia"/>
          <w:sz w:val="24"/>
          <w:szCs w:val="24"/>
        </w:rPr>
        <w:t>《</w:t>
      </w:r>
      <w:bookmarkStart w:id="5" w:name="OLE_LINK1"/>
      <w:r w:rsidRPr="004137FF">
        <w:rPr>
          <w:rFonts w:cs="宋体"/>
          <w:sz w:val="24"/>
          <w:szCs w:val="24"/>
        </w:rPr>
        <w:t>青贮饲用小黑麦中可溶性碳水化合物测定技术规程</w:t>
      </w:r>
      <w:r>
        <w:rPr>
          <w:rFonts w:cs="宋体" w:hint="eastAsia"/>
          <w:sz w:val="24"/>
          <w:szCs w:val="24"/>
        </w:rPr>
        <w:t>——</w:t>
      </w:r>
      <w:r w:rsidRPr="004137FF">
        <w:rPr>
          <w:rFonts w:cs="宋体"/>
          <w:sz w:val="24"/>
          <w:szCs w:val="24"/>
        </w:rPr>
        <w:t>近红外光谱分析法</w:t>
      </w:r>
      <w:bookmarkEnd w:id="5"/>
      <w:r>
        <w:rPr>
          <w:rFonts w:cs="宋体" w:hint="eastAsia"/>
          <w:sz w:val="24"/>
          <w:szCs w:val="24"/>
        </w:rPr>
        <w:t>》，并</w:t>
      </w:r>
      <w:r w:rsidRPr="004137FF">
        <w:rPr>
          <w:rFonts w:cs="宋体" w:hint="eastAsia"/>
          <w:sz w:val="24"/>
          <w:szCs w:val="24"/>
        </w:rPr>
        <w:t>通过其立项。</w:t>
      </w:r>
    </w:p>
    <w:p w:rsidR="00CB68D1" w:rsidRPr="004137FF" w:rsidRDefault="004137FF" w:rsidP="004137FF">
      <w:pPr>
        <w:widowControl/>
        <w:spacing w:line="360" w:lineRule="auto"/>
        <w:ind w:firstLineChars="200" w:firstLine="480"/>
        <w:jc w:val="left"/>
        <w:rPr>
          <w:rFonts w:cs="宋体"/>
          <w:sz w:val="24"/>
          <w:szCs w:val="24"/>
        </w:rPr>
      </w:pPr>
      <w:r w:rsidRPr="004137FF">
        <w:rPr>
          <w:rFonts w:cs="宋体" w:hint="eastAsia"/>
          <w:sz w:val="24"/>
          <w:szCs w:val="24"/>
        </w:rPr>
        <w:t>2025</w:t>
      </w:r>
      <w:r w:rsidRPr="004137FF">
        <w:rPr>
          <w:rFonts w:cs="宋体" w:hint="eastAsia"/>
          <w:sz w:val="24"/>
          <w:szCs w:val="24"/>
        </w:rPr>
        <w:t>年</w:t>
      </w:r>
      <w:r>
        <w:rPr>
          <w:rFonts w:cs="宋体" w:hint="eastAsia"/>
          <w:sz w:val="24"/>
          <w:szCs w:val="24"/>
        </w:rPr>
        <w:t>1</w:t>
      </w:r>
      <w:r w:rsidR="00BC58A5">
        <w:rPr>
          <w:rFonts w:cs="宋体" w:hint="eastAsia"/>
          <w:sz w:val="24"/>
          <w:szCs w:val="24"/>
        </w:rPr>
        <w:t>0</w:t>
      </w:r>
      <w:r w:rsidRPr="004137FF">
        <w:rPr>
          <w:rFonts w:cs="宋体" w:hint="eastAsia"/>
          <w:sz w:val="24"/>
          <w:szCs w:val="24"/>
        </w:rPr>
        <w:t>月，编制组在</w:t>
      </w:r>
      <w:r w:rsidR="0003208C">
        <w:rPr>
          <w:rFonts w:cs="宋体" w:hint="eastAsia"/>
          <w:sz w:val="24"/>
          <w:szCs w:val="24"/>
        </w:rPr>
        <w:t>小黑麦</w:t>
      </w:r>
      <w:r w:rsidR="003A3F07">
        <w:rPr>
          <w:rFonts w:cs="宋体" w:hint="eastAsia"/>
          <w:sz w:val="24"/>
          <w:szCs w:val="24"/>
        </w:rPr>
        <w:t>饲草青贮品质近红外模型构建实验</w:t>
      </w:r>
      <w:r w:rsidRPr="004137FF">
        <w:rPr>
          <w:rFonts w:cs="宋体" w:hint="eastAsia"/>
          <w:sz w:val="24"/>
          <w:szCs w:val="24"/>
        </w:rPr>
        <w:t>的基础上，结合大量文献调研以及吸纳团体标准评审专家的意见，完成《</w:t>
      </w:r>
      <w:r w:rsidR="00BC58A5" w:rsidRPr="00BC58A5">
        <w:rPr>
          <w:rFonts w:cs="宋体" w:hint="eastAsia"/>
          <w:sz w:val="24"/>
          <w:szCs w:val="24"/>
        </w:rPr>
        <w:t>青贮饲用小黑麦中可溶性碳水化合物测定技术规程——近红外光谱分析法</w:t>
      </w:r>
      <w:r w:rsidRPr="004137FF">
        <w:rPr>
          <w:rFonts w:cs="宋体" w:hint="eastAsia"/>
          <w:sz w:val="24"/>
          <w:szCs w:val="24"/>
        </w:rPr>
        <w:t>》征求意见稿及编制说明的撰写，并提交至北京华夏草业产业技术创新战略联盟</w:t>
      </w:r>
    </w:p>
    <w:p w:rsidR="00CB68D1" w:rsidRDefault="00000000">
      <w:pPr>
        <w:pStyle w:val="af3"/>
        <w:numPr>
          <w:ilvl w:val="0"/>
          <w:numId w:val="1"/>
        </w:numPr>
        <w:spacing w:beforeLines="100" w:before="312" w:afterLines="100" w:after="312" w:line="420" w:lineRule="exact"/>
        <w:ind w:left="578" w:firstLineChars="0" w:hanging="578"/>
        <w:outlineLvl w:val="0"/>
        <w:rPr>
          <w:b/>
          <w:color w:val="000000"/>
          <w:sz w:val="28"/>
          <w:szCs w:val="28"/>
        </w:rPr>
      </w:pPr>
      <w:bookmarkStart w:id="6" w:name="_Toc12490"/>
      <w:r>
        <w:rPr>
          <w:b/>
          <w:color w:val="000000"/>
          <w:sz w:val="28"/>
          <w:szCs w:val="28"/>
        </w:rPr>
        <w:t>标准编制原则和主要技术内容确定的依据</w:t>
      </w:r>
      <w:bookmarkEnd w:id="6"/>
    </w:p>
    <w:p w:rsidR="00CB68D1" w:rsidRDefault="00000000">
      <w:pPr>
        <w:spacing w:line="360" w:lineRule="auto"/>
        <w:ind w:firstLineChars="200" w:firstLine="482"/>
        <w:outlineLvl w:val="1"/>
        <w:rPr>
          <w:b/>
          <w:bCs/>
          <w:sz w:val="24"/>
        </w:rPr>
      </w:pPr>
      <w:bookmarkStart w:id="7" w:name="_Toc31730"/>
      <w:r>
        <w:rPr>
          <w:rFonts w:hint="eastAsia"/>
          <w:b/>
          <w:bCs/>
          <w:sz w:val="24"/>
        </w:rPr>
        <w:t>1</w:t>
      </w:r>
      <w:r>
        <w:rPr>
          <w:rFonts w:hint="eastAsia"/>
          <w:b/>
          <w:bCs/>
          <w:sz w:val="24"/>
        </w:rPr>
        <w:t>、标准编制原则</w:t>
      </w:r>
      <w:bookmarkEnd w:id="7"/>
    </w:p>
    <w:p w:rsidR="00C81EB5" w:rsidRDefault="009F37E9" w:rsidP="006F6FDF">
      <w:pPr>
        <w:widowControl/>
        <w:spacing w:line="360" w:lineRule="auto"/>
        <w:ind w:firstLineChars="200" w:firstLine="480"/>
        <w:jc w:val="left"/>
        <w:rPr>
          <w:rFonts w:cs="宋体"/>
          <w:sz w:val="24"/>
          <w:szCs w:val="24"/>
        </w:rPr>
      </w:pPr>
      <w:r w:rsidRPr="006F6FDF">
        <w:rPr>
          <w:rFonts w:cs="宋体" w:hint="eastAsia"/>
          <w:sz w:val="24"/>
          <w:szCs w:val="24"/>
        </w:rPr>
        <w:t>本标准的编制严格遵循</w:t>
      </w:r>
      <w:r w:rsidRPr="006F6FDF">
        <w:rPr>
          <w:rFonts w:cs="宋体" w:hint="eastAsia"/>
          <w:sz w:val="24"/>
          <w:szCs w:val="24"/>
        </w:rPr>
        <w:t>GB/T 1.1</w:t>
      </w:r>
      <w:r w:rsidRPr="006F6FDF">
        <w:rPr>
          <w:rFonts w:cs="宋体" w:hint="eastAsia"/>
          <w:sz w:val="24"/>
          <w:szCs w:val="24"/>
        </w:rPr>
        <w:t>—</w:t>
      </w:r>
      <w:r w:rsidRPr="006F6FDF">
        <w:rPr>
          <w:rFonts w:cs="宋体" w:hint="eastAsia"/>
          <w:sz w:val="24"/>
          <w:szCs w:val="24"/>
        </w:rPr>
        <w:t>2020</w:t>
      </w:r>
      <w:r w:rsidRPr="006F6FDF">
        <w:rPr>
          <w:rFonts w:cs="宋体" w:hint="eastAsia"/>
          <w:sz w:val="24"/>
          <w:szCs w:val="24"/>
        </w:rPr>
        <w:t>《标准化工作导则</w:t>
      </w:r>
      <w:r w:rsidRPr="006F6FDF">
        <w:rPr>
          <w:rFonts w:cs="宋体" w:hint="eastAsia"/>
          <w:sz w:val="24"/>
          <w:szCs w:val="24"/>
        </w:rPr>
        <w:t xml:space="preserve"> </w:t>
      </w:r>
      <w:r w:rsidRPr="006F6FDF">
        <w:rPr>
          <w:rFonts w:cs="宋体" w:hint="eastAsia"/>
          <w:sz w:val="24"/>
          <w:szCs w:val="24"/>
        </w:rPr>
        <w:t>第</w:t>
      </w:r>
      <w:r w:rsidRPr="006F6FDF">
        <w:rPr>
          <w:rFonts w:cs="宋体" w:hint="eastAsia"/>
          <w:sz w:val="24"/>
          <w:szCs w:val="24"/>
        </w:rPr>
        <w:t>1</w:t>
      </w:r>
      <w:r w:rsidRPr="006F6FDF">
        <w:rPr>
          <w:rFonts w:cs="宋体" w:hint="eastAsia"/>
          <w:sz w:val="24"/>
          <w:szCs w:val="24"/>
        </w:rPr>
        <w:t>部分：标准化文件的结构和起草规则》的要求与规定。在编制过程中，标准起草小组始终坚持科学性、规范性与可操作性相结合的原则，根据河北省</w:t>
      </w:r>
      <w:r w:rsidR="006F6FDF" w:rsidRPr="006F6FDF">
        <w:rPr>
          <w:rFonts w:cs="宋体" w:hint="eastAsia"/>
          <w:sz w:val="24"/>
          <w:szCs w:val="24"/>
        </w:rPr>
        <w:t>涿州市和贵州省贵阳市</w:t>
      </w:r>
      <w:r w:rsidR="003A3F07">
        <w:rPr>
          <w:rFonts w:cs="宋体" w:hint="eastAsia"/>
          <w:sz w:val="24"/>
          <w:szCs w:val="24"/>
        </w:rPr>
        <w:t>等</w:t>
      </w:r>
      <w:r w:rsidR="003A3F07">
        <w:rPr>
          <w:rFonts w:cs="宋体" w:hint="eastAsia"/>
          <w:sz w:val="24"/>
          <w:szCs w:val="24"/>
        </w:rPr>
        <w:t>10</w:t>
      </w:r>
      <w:r w:rsidR="003A3F07">
        <w:rPr>
          <w:rFonts w:cs="宋体" w:hint="eastAsia"/>
          <w:sz w:val="24"/>
          <w:szCs w:val="24"/>
        </w:rPr>
        <w:t>余地</w:t>
      </w:r>
      <w:r w:rsidRPr="006F6FDF">
        <w:rPr>
          <w:rFonts w:cs="宋体" w:hint="eastAsia"/>
          <w:sz w:val="24"/>
          <w:szCs w:val="24"/>
        </w:rPr>
        <w:t>种植的</w:t>
      </w:r>
      <w:r w:rsidR="006F6FDF" w:rsidRPr="006F6FDF">
        <w:rPr>
          <w:rFonts w:cs="宋体" w:hint="eastAsia"/>
          <w:sz w:val="24"/>
          <w:szCs w:val="24"/>
        </w:rPr>
        <w:t>饲用小黑麦</w:t>
      </w:r>
      <w:r w:rsidRPr="006F6FDF">
        <w:rPr>
          <w:rFonts w:cs="宋体" w:hint="eastAsia"/>
          <w:sz w:val="24"/>
          <w:szCs w:val="24"/>
        </w:rPr>
        <w:t>一系列科研成果数据及结合总结大量的实践经验的实际情况，确定相应的技术，保证标准编制的科学性和适用性。</w:t>
      </w:r>
    </w:p>
    <w:p w:rsidR="009F37E9" w:rsidRPr="006F6FDF" w:rsidRDefault="00C81EB5" w:rsidP="006F6FDF">
      <w:pPr>
        <w:widowControl/>
        <w:spacing w:line="360" w:lineRule="auto"/>
        <w:ind w:firstLineChars="200" w:firstLine="480"/>
        <w:jc w:val="left"/>
        <w:rPr>
          <w:rFonts w:cs="宋体"/>
          <w:sz w:val="24"/>
          <w:szCs w:val="24"/>
        </w:rPr>
      </w:pPr>
      <w:r w:rsidRPr="00C81EB5">
        <w:rPr>
          <w:rFonts w:cs="宋体"/>
          <w:sz w:val="24"/>
          <w:szCs w:val="24"/>
        </w:rPr>
        <w:t>制定</w:t>
      </w:r>
      <w:r w:rsidRPr="00C81EB5">
        <w:rPr>
          <w:rFonts w:cs="宋体" w:hint="eastAsia"/>
          <w:sz w:val="24"/>
          <w:szCs w:val="24"/>
        </w:rPr>
        <w:t>过程中除了认真总结多年来的试验研究结果外，还</w:t>
      </w:r>
      <w:r w:rsidRPr="00C81EB5">
        <w:rPr>
          <w:rFonts w:cs="宋体"/>
          <w:sz w:val="24"/>
          <w:szCs w:val="24"/>
        </w:rPr>
        <w:t>参阅和汲取</w:t>
      </w:r>
      <w:r w:rsidRPr="00C81EB5">
        <w:rPr>
          <w:rFonts w:cs="宋体" w:hint="eastAsia"/>
          <w:sz w:val="24"/>
          <w:szCs w:val="24"/>
        </w:rPr>
        <w:t>了</w:t>
      </w:r>
      <w:r w:rsidRPr="00C81EB5">
        <w:rPr>
          <w:rFonts w:cs="宋体"/>
          <w:sz w:val="24"/>
          <w:szCs w:val="24"/>
        </w:rPr>
        <w:t>国内相关标准的</w:t>
      </w:r>
      <w:r w:rsidR="009F37E9" w:rsidRPr="006F6FDF">
        <w:rPr>
          <w:rFonts w:cs="宋体" w:hint="eastAsia"/>
          <w:sz w:val="24"/>
          <w:szCs w:val="24"/>
        </w:rPr>
        <w:t>经验和条款，符合</w:t>
      </w:r>
      <w:r w:rsidR="006F6FDF" w:rsidRPr="006F6FDF">
        <w:rPr>
          <w:rFonts w:cs="宋体" w:hint="eastAsia"/>
          <w:sz w:val="24"/>
          <w:szCs w:val="24"/>
        </w:rPr>
        <w:t>青贮饲用小黑麦</w:t>
      </w:r>
      <w:r w:rsidR="009F37E9" w:rsidRPr="006F6FDF">
        <w:rPr>
          <w:rFonts w:cs="宋体" w:hint="eastAsia"/>
          <w:sz w:val="24"/>
          <w:szCs w:val="24"/>
        </w:rPr>
        <w:t>近红外技术快速检测的生产实际，达到内容全面、技术含量高、操作性强的要求。该标准与现行法律法规无冲突，并保证了对该标准最新版本的引用。</w:t>
      </w:r>
    </w:p>
    <w:p w:rsidR="00CB68D1" w:rsidRDefault="00000000">
      <w:pPr>
        <w:spacing w:line="360" w:lineRule="auto"/>
        <w:ind w:firstLineChars="200" w:firstLine="482"/>
        <w:outlineLvl w:val="1"/>
        <w:rPr>
          <w:b/>
          <w:sz w:val="28"/>
          <w:szCs w:val="28"/>
        </w:rPr>
      </w:pPr>
      <w:bookmarkStart w:id="8" w:name="_Toc28372"/>
      <w:r>
        <w:rPr>
          <w:rFonts w:hint="eastAsia"/>
          <w:b/>
          <w:bCs/>
          <w:sz w:val="24"/>
        </w:rPr>
        <w:t>2</w:t>
      </w:r>
      <w:r>
        <w:rPr>
          <w:rFonts w:hint="eastAsia"/>
          <w:b/>
          <w:bCs/>
          <w:sz w:val="24"/>
        </w:rPr>
        <w:t>、</w:t>
      </w:r>
      <w:r>
        <w:rPr>
          <w:rFonts w:hint="eastAsia"/>
          <w:b/>
          <w:sz w:val="28"/>
          <w:szCs w:val="28"/>
        </w:rPr>
        <w:t>主要技术内容确定的论据</w:t>
      </w:r>
      <w:bookmarkEnd w:id="8"/>
    </w:p>
    <w:p w:rsidR="00CB68D1" w:rsidRDefault="00000000">
      <w:pPr>
        <w:spacing w:line="360" w:lineRule="auto"/>
        <w:ind w:firstLineChars="200" w:firstLine="480"/>
        <w:jc w:val="left"/>
        <w:rPr>
          <w:sz w:val="24"/>
        </w:rPr>
      </w:pPr>
      <w:r>
        <w:rPr>
          <w:rFonts w:hint="eastAsia"/>
          <w:sz w:val="24"/>
        </w:rPr>
        <w:t>（</w:t>
      </w:r>
      <w:r>
        <w:rPr>
          <w:rFonts w:hint="eastAsia"/>
          <w:sz w:val="24"/>
        </w:rPr>
        <w:t>1</w:t>
      </w:r>
      <w:r>
        <w:rPr>
          <w:rFonts w:hint="eastAsia"/>
          <w:sz w:val="24"/>
        </w:rPr>
        <w:t>）适用范围</w:t>
      </w:r>
    </w:p>
    <w:p w:rsidR="00CB68D1" w:rsidRDefault="00000000">
      <w:pPr>
        <w:spacing w:line="360" w:lineRule="auto"/>
        <w:ind w:firstLineChars="200" w:firstLine="480"/>
        <w:rPr>
          <w:sz w:val="24"/>
        </w:rPr>
      </w:pPr>
      <w:r>
        <w:rPr>
          <w:rFonts w:hint="eastAsia"/>
          <w:sz w:val="24"/>
        </w:rPr>
        <w:t>本标准规定了包括近红外法测定青贮饲用小黑麦中可溶性碳水化合物含量的原理、仪器设备、样品的制备、分析步骤、结果处理和表示、异常样品的确认和处理、准确性和精密度、测试报告等内容和技术。</w:t>
      </w:r>
    </w:p>
    <w:p w:rsidR="00CB68D1" w:rsidRDefault="00000000">
      <w:pPr>
        <w:spacing w:line="360" w:lineRule="auto"/>
        <w:ind w:firstLineChars="200" w:firstLine="480"/>
        <w:rPr>
          <w:sz w:val="24"/>
        </w:rPr>
      </w:pPr>
      <w:r>
        <w:rPr>
          <w:rFonts w:hint="eastAsia"/>
          <w:sz w:val="24"/>
        </w:rPr>
        <w:t>本标准适用于我国分布的所有饲用小黑麦可溶性碳水化合物含量测定技术规程。</w:t>
      </w:r>
    </w:p>
    <w:p w:rsidR="00CB68D1" w:rsidRDefault="00000000">
      <w:pPr>
        <w:spacing w:line="360" w:lineRule="auto"/>
        <w:ind w:firstLineChars="200" w:firstLine="480"/>
        <w:rPr>
          <w:sz w:val="24"/>
        </w:rPr>
      </w:pPr>
      <w:r>
        <w:rPr>
          <w:rFonts w:hint="eastAsia"/>
          <w:sz w:val="24"/>
        </w:rPr>
        <w:t>（</w:t>
      </w:r>
      <w:r>
        <w:rPr>
          <w:rFonts w:hint="eastAsia"/>
          <w:sz w:val="24"/>
        </w:rPr>
        <w:t>2</w:t>
      </w:r>
      <w:r>
        <w:rPr>
          <w:rFonts w:hint="eastAsia"/>
          <w:sz w:val="24"/>
        </w:rPr>
        <w:t>）规范性引用文件</w:t>
      </w:r>
    </w:p>
    <w:p w:rsidR="00CB68D1" w:rsidRDefault="00000000">
      <w:pPr>
        <w:spacing w:line="360" w:lineRule="auto"/>
        <w:ind w:firstLineChars="200" w:firstLine="480"/>
        <w:rPr>
          <w:sz w:val="24"/>
        </w:rPr>
      </w:pPr>
      <w:r>
        <w:rPr>
          <w:rFonts w:hint="eastAsia"/>
          <w:sz w:val="24"/>
        </w:rPr>
        <w:lastRenderedPageBreak/>
        <w:t>本标准制定时，参照了近红外光谱定性分析通则（</w:t>
      </w:r>
      <w:r>
        <w:rPr>
          <w:rFonts w:hint="eastAsia"/>
          <w:sz w:val="24"/>
        </w:rPr>
        <w:t>GB/T 37969-2019</w:t>
      </w:r>
      <w:r>
        <w:rPr>
          <w:rFonts w:hint="eastAsia"/>
          <w:sz w:val="24"/>
        </w:rPr>
        <w:t>）等</w:t>
      </w:r>
      <w:r>
        <w:rPr>
          <w:rFonts w:hint="eastAsia"/>
          <w:sz w:val="24"/>
        </w:rPr>
        <w:t>4</w:t>
      </w:r>
      <w:r>
        <w:rPr>
          <w:rFonts w:hint="eastAsia"/>
          <w:sz w:val="24"/>
        </w:rPr>
        <w:t>个国家、行业标准。</w:t>
      </w:r>
    </w:p>
    <w:p w:rsidR="00CB68D1" w:rsidRDefault="00000000">
      <w:pPr>
        <w:spacing w:line="360" w:lineRule="auto"/>
        <w:ind w:firstLineChars="200" w:firstLine="480"/>
        <w:jc w:val="left"/>
        <w:rPr>
          <w:sz w:val="24"/>
        </w:rPr>
      </w:pPr>
      <w:r>
        <w:rPr>
          <w:rFonts w:hint="eastAsia"/>
          <w:sz w:val="24"/>
        </w:rPr>
        <w:t>（</w:t>
      </w:r>
      <w:r>
        <w:rPr>
          <w:rFonts w:hint="eastAsia"/>
          <w:sz w:val="24"/>
        </w:rPr>
        <w:t>3</w:t>
      </w:r>
      <w:r>
        <w:rPr>
          <w:rFonts w:hint="eastAsia"/>
          <w:sz w:val="24"/>
        </w:rPr>
        <w:t>）术语与定义</w:t>
      </w:r>
    </w:p>
    <w:p w:rsidR="00CB68D1" w:rsidRDefault="00000000">
      <w:pPr>
        <w:spacing w:line="360" w:lineRule="auto"/>
        <w:ind w:firstLineChars="200" w:firstLine="480"/>
        <w:jc w:val="left"/>
        <w:rPr>
          <w:sz w:val="24"/>
        </w:rPr>
      </w:pPr>
      <w:r>
        <w:rPr>
          <w:rFonts w:hint="eastAsia"/>
          <w:sz w:val="24"/>
        </w:rPr>
        <w:t>《青贮饲用小黑麦中可溶性碳水化合物测定技术规程</w:t>
      </w:r>
      <w:r w:rsidR="00844B8B">
        <w:rPr>
          <w:rFonts w:hint="eastAsia"/>
          <w:sz w:val="24"/>
        </w:rPr>
        <w:t>——</w:t>
      </w:r>
      <w:r>
        <w:rPr>
          <w:rFonts w:hint="eastAsia"/>
          <w:sz w:val="24"/>
        </w:rPr>
        <w:t>近红外光谱分析法》中的术语是参考国内外相关文献资料，经编写小组研究讨论确定。其中的“重复性”和“再现性”根据粮油检验，近红外分析定标模型验证和网络管理与维护通用规则（</w:t>
      </w:r>
      <w:r>
        <w:rPr>
          <w:rFonts w:hint="eastAsia"/>
          <w:sz w:val="24"/>
        </w:rPr>
        <w:t>GB/T 24895-2010</w:t>
      </w:r>
      <w:r>
        <w:rPr>
          <w:rFonts w:hint="eastAsia"/>
          <w:sz w:val="24"/>
        </w:rPr>
        <w:t>）标准的规范要求进行引用。</w:t>
      </w:r>
    </w:p>
    <w:p w:rsidR="00CB68D1" w:rsidRDefault="00000000">
      <w:pPr>
        <w:spacing w:line="360" w:lineRule="auto"/>
        <w:ind w:firstLineChars="200" w:firstLine="480"/>
        <w:jc w:val="left"/>
        <w:rPr>
          <w:sz w:val="24"/>
        </w:rPr>
      </w:pPr>
      <w:r>
        <w:rPr>
          <w:rFonts w:hint="eastAsia"/>
          <w:sz w:val="24"/>
        </w:rPr>
        <w:t>（</w:t>
      </w:r>
      <w:r>
        <w:rPr>
          <w:rFonts w:hint="eastAsia"/>
          <w:sz w:val="24"/>
        </w:rPr>
        <w:t>4</w:t>
      </w:r>
      <w:r>
        <w:rPr>
          <w:rFonts w:hint="eastAsia"/>
          <w:sz w:val="24"/>
        </w:rPr>
        <w:t>）主要技术指标确定的依据</w:t>
      </w:r>
    </w:p>
    <w:p w:rsidR="00CB68D1" w:rsidRDefault="00000000">
      <w:pPr>
        <w:spacing w:line="360" w:lineRule="auto"/>
        <w:ind w:firstLineChars="200" w:firstLine="480"/>
        <w:rPr>
          <w:sz w:val="24"/>
        </w:rPr>
      </w:pPr>
      <w:r>
        <w:rPr>
          <w:rFonts w:hint="eastAsia"/>
          <w:sz w:val="24"/>
        </w:rPr>
        <w:t>本技术规程主要起草单位中国农业大学</w:t>
      </w:r>
      <w:r>
        <w:rPr>
          <w:sz w:val="24"/>
        </w:rPr>
        <w:t>开展</w:t>
      </w:r>
      <w:r>
        <w:rPr>
          <w:rFonts w:hint="eastAsia"/>
          <w:sz w:val="24"/>
        </w:rPr>
        <w:t>近红外检测技术相关</w:t>
      </w:r>
      <w:r>
        <w:rPr>
          <w:sz w:val="24"/>
        </w:rPr>
        <w:t>研究</w:t>
      </w:r>
      <w:r w:rsidR="0031118A">
        <w:rPr>
          <w:rFonts w:hint="eastAsia"/>
          <w:sz w:val="24"/>
        </w:rPr>
        <w:t>时间较早</w:t>
      </w:r>
      <w:r>
        <w:rPr>
          <w:rFonts w:hint="eastAsia"/>
          <w:sz w:val="24"/>
        </w:rPr>
        <w:t>，</w:t>
      </w:r>
      <w:r>
        <w:rPr>
          <w:sz w:val="24"/>
        </w:rPr>
        <w:t>先后承担</w:t>
      </w:r>
      <w:r>
        <w:rPr>
          <w:rFonts w:hint="eastAsia"/>
          <w:bCs/>
          <w:sz w:val="24"/>
        </w:rPr>
        <w:t>中国科学院战略性先导科技专项</w:t>
      </w:r>
      <w:r>
        <w:rPr>
          <w:rFonts w:hint="eastAsia"/>
          <w:bCs/>
          <w:sz w:val="24"/>
        </w:rPr>
        <w:t>(A</w:t>
      </w:r>
      <w:r>
        <w:rPr>
          <w:rFonts w:hint="eastAsia"/>
          <w:bCs/>
          <w:sz w:val="24"/>
        </w:rPr>
        <w:t>类</w:t>
      </w:r>
      <w:r>
        <w:rPr>
          <w:rFonts w:hint="eastAsia"/>
          <w:bCs/>
          <w:sz w:val="24"/>
        </w:rPr>
        <w:t>)</w:t>
      </w:r>
      <w:r>
        <w:rPr>
          <w:rFonts w:hint="eastAsia"/>
          <w:sz w:val="24"/>
        </w:rPr>
        <w:t>“创建生态草牧业科技体系”和国家重点研发计划“优质饲草供给及草畜种养循环关键技术研发”等项目</w:t>
      </w:r>
    </w:p>
    <w:p w:rsidR="00CB68D1" w:rsidRDefault="00000000">
      <w:pPr>
        <w:spacing w:line="360" w:lineRule="auto"/>
        <w:ind w:firstLineChars="200" w:firstLine="562"/>
        <w:outlineLvl w:val="1"/>
        <w:rPr>
          <w:b/>
          <w:bCs/>
          <w:sz w:val="28"/>
          <w:szCs w:val="28"/>
        </w:rPr>
      </w:pPr>
      <w:bookmarkStart w:id="9" w:name="_Toc2317"/>
      <w:r>
        <w:rPr>
          <w:rFonts w:hint="eastAsia"/>
          <w:b/>
          <w:bCs/>
          <w:sz w:val="28"/>
          <w:szCs w:val="28"/>
        </w:rPr>
        <w:t>3</w:t>
      </w:r>
      <w:r>
        <w:rPr>
          <w:rFonts w:hint="eastAsia"/>
          <w:b/>
          <w:bCs/>
          <w:sz w:val="28"/>
          <w:szCs w:val="28"/>
        </w:rPr>
        <w:t>、</w:t>
      </w:r>
      <w:r>
        <w:rPr>
          <w:b/>
          <w:bCs/>
          <w:sz w:val="28"/>
          <w:szCs w:val="28"/>
        </w:rPr>
        <w:t>主要技术内容</w:t>
      </w:r>
      <w:bookmarkEnd w:id="9"/>
    </w:p>
    <w:p w:rsidR="00CB68D1" w:rsidRDefault="00000000">
      <w:pPr>
        <w:spacing w:line="360" w:lineRule="auto"/>
        <w:outlineLvl w:val="2"/>
        <w:rPr>
          <w:sz w:val="24"/>
        </w:rPr>
      </w:pPr>
      <w:bookmarkStart w:id="10" w:name="_Toc20982"/>
      <w:r>
        <w:rPr>
          <w:sz w:val="24"/>
        </w:rPr>
        <w:t>3.1</w:t>
      </w:r>
      <w:r>
        <w:rPr>
          <w:rFonts w:hint="eastAsia"/>
          <w:sz w:val="24"/>
        </w:rPr>
        <w:t>确定</w:t>
      </w:r>
      <w:r>
        <w:rPr>
          <w:rFonts w:hint="eastAsia"/>
          <w:sz w:val="24"/>
        </w:rPr>
        <w:t>NIRS</w:t>
      </w:r>
      <w:r>
        <w:rPr>
          <w:rFonts w:hint="eastAsia"/>
          <w:sz w:val="24"/>
        </w:rPr>
        <w:t>建模样品</w:t>
      </w:r>
      <w:bookmarkEnd w:id="10"/>
    </w:p>
    <w:p w:rsidR="00CB68D1" w:rsidRDefault="00000000">
      <w:pPr>
        <w:spacing w:line="360" w:lineRule="auto"/>
        <w:ind w:firstLineChars="200" w:firstLine="480"/>
        <w:rPr>
          <w:sz w:val="24"/>
        </w:rPr>
      </w:pPr>
      <w:r>
        <w:rPr>
          <w:rFonts w:hint="eastAsia"/>
          <w:sz w:val="24"/>
        </w:rPr>
        <w:t>通过采集或制作具有代表性的饲用小黑麦青贮饲料样本，采用</w:t>
      </w:r>
      <w:r>
        <w:rPr>
          <w:rFonts w:hint="eastAsia"/>
          <w:sz w:val="24"/>
        </w:rPr>
        <w:t>GB</w:t>
      </w:r>
      <w:r>
        <w:rPr>
          <w:rFonts w:hint="eastAsia"/>
          <w:sz w:val="24"/>
        </w:rPr>
        <w:t>或其他公认的化学分析法测定样品成分含量。如表</w:t>
      </w:r>
      <w:r>
        <w:rPr>
          <w:rFonts w:hint="eastAsia"/>
          <w:sz w:val="24"/>
        </w:rPr>
        <w:t>1</w:t>
      </w:r>
      <w:r>
        <w:rPr>
          <w:rFonts w:hint="eastAsia"/>
          <w:sz w:val="24"/>
        </w:rPr>
        <w:t>所示，</w:t>
      </w:r>
      <w:r>
        <w:rPr>
          <w:rFonts w:hint="eastAsia"/>
          <w:bCs/>
          <w:sz w:val="24"/>
          <w:szCs w:val="24"/>
        </w:rPr>
        <w:t>青贮</w:t>
      </w:r>
      <w:r>
        <w:rPr>
          <w:rFonts w:hint="eastAsia"/>
          <w:sz w:val="24"/>
        </w:rPr>
        <w:t>饲用小黑麦</w:t>
      </w:r>
      <w:r>
        <w:rPr>
          <w:rFonts w:hint="eastAsia"/>
          <w:bCs/>
          <w:sz w:val="24"/>
          <w:szCs w:val="24"/>
        </w:rPr>
        <w:t>可溶性碳水化合物</w:t>
      </w:r>
      <w:r>
        <w:rPr>
          <w:rFonts w:hint="eastAsia"/>
          <w:sz w:val="24"/>
        </w:rPr>
        <w:t>含量变异较大，覆盖度广，表明样品代表性好。同时，对于定标样品的选择使用主成分分析法</w:t>
      </w:r>
      <w:r>
        <w:rPr>
          <w:rFonts w:hint="eastAsia"/>
          <w:sz w:val="24"/>
        </w:rPr>
        <w:t>PCA</w:t>
      </w:r>
      <w:r>
        <w:rPr>
          <w:rFonts w:hint="eastAsia"/>
          <w:sz w:val="24"/>
        </w:rPr>
        <w:t>进行样品剔除，根据样品近红外光谱和其他样品光谱的相似性，仅选择其近红外光谱数据具有代表性的样品，去除光谱非常接近的样品。</w:t>
      </w:r>
    </w:p>
    <w:p w:rsidR="00CB68D1" w:rsidRDefault="00000000">
      <w:pPr>
        <w:spacing w:line="360" w:lineRule="auto"/>
        <w:ind w:firstLineChars="200" w:firstLine="480"/>
        <w:jc w:val="center"/>
        <w:rPr>
          <w:sz w:val="24"/>
        </w:rPr>
      </w:pPr>
      <w:r>
        <w:rPr>
          <w:rFonts w:hint="eastAsia"/>
          <w:sz w:val="24"/>
        </w:rPr>
        <w:t>表</w:t>
      </w:r>
      <w:r>
        <w:rPr>
          <w:rFonts w:hint="eastAsia"/>
          <w:sz w:val="24"/>
        </w:rPr>
        <w:t>1</w:t>
      </w:r>
      <w:r>
        <w:rPr>
          <w:sz w:val="24"/>
        </w:rPr>
        <w:t xml:space="preserve"> </w:t>
      </w:r>
      <w:r>
        <w:rPr>
          <w:rFonts w:hint="eastAsia"/>
          <w:sz w:val="24"/>
        </w:rPr>
        <w:t>青贮饲用小黑麦饲料样品可溶性碳水化合物含量分析</w:t>
      </w:r>
    </w:p>
    <w:tbl>
      <w:tblPr>
        <w:tblStyle w:val="af"/>
        <w:tblW w:w="9960" w:type="dxa"/>
        <w:jc w:val="center"/>
        <w:tblLook w:val="04A0" w:firstRow="1" w:lastRow="0" w:firstColumn="1" w:lastColumn="0" w:noHBand="0" w:noVBand="1"/>
      </w:tblPr>
      <w:tblGrid>
        <w:gridCol w:w="2172"/>
        <w:gridCol w:w="1078"/>
        <w:gridCol w:w="1422"/>
        <w:gridCol w:w="1283"/>
        <w:gridCol w:w="1335"/>
        <w:gridCol w:w="1335"/>
        <w:gridCol w:w="1335"/>
      </w:tblGrid>
      <w:tr w:rsidR="00CB68D1">
        <w:trPr>
          <w:jc w:val="center"/>
        </w:trPr>
        <w:tc>
          <w:tcPr>
            <w:tcW w:w="2172" w:type="dxa"/>
          </w:tcPr>
          <w:p w:rsidR="00CB68D1" w:rsidRDefault="00CB68D1">
            <w:pPr>
              <w:spacing w:line="276" w:lineRule="auto"/>
              <w:rPr>
                <w:sz w:val="24"/>
              </w:rPr>
            </w:pPr>
          </w:p>
        </w:tc>
        <w:tc>
          <w:tcPr>
            <w:tcW w:w="1078" w:type="dxa"/>
          </w:tcPr>
          <w:p w:rsidR="00CB68D1" w:rsidRDefault="00000000">
            <w:pPr>
              <w:spacing w:line="276" w:lineRule="auto"/>
              <w:jc w:val="center"/>
              <w:rPr>
                <w:sz w:val="24"/>
              </w:rPr>
            </w:pPr>
            <w:r>
              <w:rPr>
                <w:rFonts w:hint="eastAsia"/>
                <w:sz w:val="24"/>
              </w:rPr>
              <w:t>样品数</w:t>
            </w:r>
          </w:p>
          <w:p w:rsidR="00CB68D1" w:rsidRDefault="00CB68D1">
            <w:pPr>
              <w:spacing w:line="276" w:lineRule="auto"/>
              <w:jc w:val="center"/>
              <w:rPr>
                <w:sz w:val="24"/>
              </w:rPr>
            </w:pPr>
          </w:p>
        </w:tc>
        <w:tc>
          <w:tcPr>
            <w:tcW w:w="1422" w:type="dxa"/>
          </w:tcPr>
          <w:p w:rsidR="00CB68D1" w:rsidRDefault="00000000">
            <w:pPr>
              <w:spacing w:line="276" w:lineRule="auto"/>
              <w:jc w:val="center"/>
              <w:rPr>
                <w:sz w:val="24"/>
              </w:rPr>
            </w:pPr>
            <w:r>
              <w:rPr>
                <w:rFonts w:hint="eastAsia"/>
                <w:sz w:val="24"/>
              </w:rPr>
              <w:t>最高值（</w:t>
            </w:r>
            <w:r>
              <w:rPr>
                <w:sz w:val="24"/>
              </w:rPr>
              <w:t>%DM</w:t>
            </w:r>
            <w:r>
              <w:rPr>
                <w:rFonts w:hint="eastAsia"/>
                <w:sz w:val="24"/>
              </w:rPr>
              <w:t>）</w:t>
            </w:r>
          </w:p>
        </w:tc>
        <w:tc>
          <w:tcPr>
            <w:tcW w:w="1283" w:type="dxa"/>
          </w:tcPr>
          <w:p w:rsidR="00CB68D1" w:rsidRDefault="00000000">
            <w:pPr>
              <w:spacing w:line="276" w:lineRule="auto"/>
              <w:jc w:val="center"/>
              <w:rPr>
                <w:sz w:val="24"/>
              </w:rPr>
            </w:pPr>
            <w:r>
              <w:rPr>
                <w:rFonts w:hint="eastAsia"/>
                <w:sz w:val="24"/>
              </w:rPr>
              <w:t>最低值（</w:t>
            </w:r>
            <w:r>
              <w:rPr>
                <w:rFonts w:hint="eastAsia"/>
                <w:sz w:val="24"/>
              </w:rPr>
              <w:t>%</w:t>
            </w:r>
            <w:r>
              <w:rPr>
                <w:sz w:val="24"/>
              </w:rPr>
              <w:t>DM</w:t>
            </w:r>
            <w:r>
              <w:rPr>
                <w:rFonts w:hint="eastAsia"/>
                <w:sz w:val="24"/>
              </w:rPr>
              <w:t>）</w:t>
            </w:r>
          </w:p>
        </w:tc>
        <w:tc>
          <w:tcPr>
            <w:tcW w:w="1335" w:type="dxa"/>
          </w:tcPr>
          <w:p w:rsidR="00CB68D1" w:rsidRDefault="00000000">
            <w:pPr>
              <w:spacing w:line="276" w:lineRule="auto"/>
              <w:jc w:val="center"/>
              <w:rPr>
                <w:sz w:val="24"/>
              </w:rPr>
            </w:pPr>
            <w:r>
              <w:rPr>
                <w:rFonts w:hint="eastAsia"/>
                <w:sz w:val="24"/>
              </w:rPr>
              <w:t>平均值</w:t>
            </w:r>
          </w:p>
          <w:p w:rsidR="00CB68D1" w:rsidRDefault="00000000">
            <w:pPr>
              <w:spacing w:line="276" w:lineRule="auto"/>
              <w:jc w:val="center"/>
              <w:rPr>
                <w:sz w:val="24"/>
              </w:rPr>
            </w:pPr>
            <w:r>
              <w:rPr>
                <w:rFonts w:hint="eastAsia"/>
                <w:sz w:val="24"/>
              </w:rPr>
              <w:t>（</w:t>
            </w:r>
            <w:r>
              <w:rPr>
                <w:rFonts w:hint="eastAsia"/>
                <w:sz w:val="24"/>
              </w:rPr>
              <w:t>%</w:t>
            </w:r>
            <w:r>
              <w:rPr>
                <w:sz w:val="24"/>
              </w:rPr>
              <w:t>DM</w:t>
            </w:r>
            <w:r>
              <w:rPr>
                <w:rFonts w:hint="eastAsia"/>
                <w:sz w:val="24"/>
              </w:rPr>
              <w:t>）</w:t>
            </w:r>
          </w:p>
        </w:tc>
        <w:tc>
          <w:tcPr>
            <w:tcW w:w="1335" w:type="dxa"/>
          </w:tcPr>
          <w:p w:rsidR="00CB68D1" w:rsidRDefault="00000000">
            <w:pPr>
              <w:spacing w:line="276" w:lineRule="auto"/>
              <w:jc w:val="center"/>
              <w:rPr>
                <w:sz w:val="24"/>
              </w:rPr>
            </w:pPr>
            <w:r>
              <w:rPr>
                <w:rFonts w:hint="eastAsia"/>
                <w:sz w:val="24"/>
              </w:rPr>
              <w:t>标准差</w:t>
            </w:r>
          </w:p>
          <w:p w:rsidR="00CB68D1" w:rsidRDefault="00000000">
            <w:pPr>
              <w:spacing w:line="276" w:lineRule="auto"/>
              <w:jc w:val="center"/>
              <w:rPr>
                <w:sz w:val="24"/>
              </w:rPr>
            </w:pPr>
            <w:r>
              <w:rPr>
                <w:rFonts w:hint="eastAsia"/>
                <w:sz w:val="24"/>
              </w:rPr>
              <w:t>（</w:t>
            </w:r>
            <w:r>
              <w:rPr>
                <w:rFonts w:hint="eastAsia"/>
                <w:sz w:val="24"/>
              </w:rPr>
              <w:t>%</w:t>
            </w:r>
            <w:r>
              <w:rPr>
                <w:sz w:val="24"/>
              </w:rPr>
              <w:t>DM</w:t>
            </w:r>
            <w:r>
              <w:rPr>
                <w:rFonts w:hint="eastAsia"/>
                <w:sz w:val="24"/>
              </w:rPr>
              <w:t>）</w:t>
            </w:r>
          </w:p>
        </w:tc>
        <w:tc>
          <w:tcPr>
            <w:tcW w:w="1335" w:type="dxa"/>
          </w:tcPr>
          <w:p w:rsidR="00CB68D1" w:rsidRDefault="00000000">
            <w:pPr>
              <w:spacing w:line="276" w:lineRule="auto"/>
              <w:jc w:val="center"/>
              <w:rPr>
                <w:sz w:val="24"/>
              </w:rPr>
            </w:pPr>
            <w:r>
              <w:rPr>
                <w:rFonts w:hint="eastAsia"/>
                <w:sz w:val="24"/>
              </w:rPr>
              <w:t>变异系数</w:t>
            </w:r>
          </w:p>
          <w:p w:rsidR="00CB68D1" w:rsidRDefault="00000000">
            <w:pPr>
              <w:spacing w:line="276" w:lineRule="auto"/>
              <w:jc w:val="center"/>
              <w:rPr>
                <w:sz w:val="24"/>
              </w:rPr>
            </w:pPr>
            <w:r>
              <w:rPr>
                <w:rFonts w:hint="eastAsia"/>
                <w:sz w:val="24"/>
              </w:rPr>
              <w:t>（</w:t>
            </w:r>
            <w:r>
              <w:rPr>
                <w:rFonts w:hint="eastAsia"/>
                <w:sz w:val="24"/>
              </w:rPr>
              <w:t>%</w:t>
            </w:r>
            <w:r>
              <w:rPr>
                <w:sz w:val="24"/>
              </w:rPr>
              <w:t>DM</w:t>
            </w:r>
            <w:r>
              <w:rPr>
                <w:rFonts w:hint="eastAsia"/>
                <w:sz w:val="24"/>
              </w:rPr>
              <w:t>）</w:t>
            </w:r>
          </w:p>
        </w:tc>
      </w:tr>
      <w:tr w:rsidR="00CB68D1">
        <w:trPr>
          <w:jc w:val="center"/>
        </w:trPr>
        <w:tc>
          <w:tcPr>
            <w:tcW w:w="2172" w:type="dxa"/>
          </w:tcPr>
          <w:p w:rsidR="00CB68D1" w:rsidRDefault="00000000">
            <w:pPr>
              <w:spacing w:line="276" w:lineRule="auto"/>
              <w:rPr>
                <w:sz w:val="24"/>
              </w:rPr>
            </w:pPr>
            <w:r>
              <w:rPr>
                <w:rFonts w:hint="eastAsia"/>
                <w:sz w:val="24"/>
              </w:rPr>
              <w:t>可溶性碳水化合物</w:t>
            </w:r>
          </w:p>
        </w:tc>
        <w:tc>
          <w:tcPr>
            <w:tcW w:w="1078" w:type="dxa"/>
          </w:tcPr>
          <w:p w:rsidR="00CB68D1" w:rsidRDefault="00000000">
            <w:pPr>
              <w:spacing w:line="276" w:lineRule="auto"/>
              <w:jc w:val="center"/>
              <w:rPr>
                <w:sz w:val="24"/>
              </w:rPr>
            </w:pPr>
            <w:r>
              <w:rPr>
                <w:rFonts w:hint="eastAsia"/>
                <w:sz w:val="24"/>
              </w:rPr>
              <w:t>2</w:t>
            </w:r>
            <w:r w:rsidR="00C5158C">
              <w:rPr>
                <w:rFonts w:hint="eastAsia"/>
                <w:sz w:val="24"/>
              </w:rPr>
              <w:t>28</w:t>
            </w:r>
          </w:p>
        </w:tc>
        <w:tc>
          <w:tcPr>
            <w:tcW w:w="1422" w:type="dxa"/>
          </w:tcPr>
          <w:p w:rsidR="00CB68D1" w:rsidRDefault="00000000">
            <w:pPr>
              <w:spacing w:line="276" w:lineRule="auto"/>
              <w:jc w:val="center"/>
              <w:rPr>
                <w:sz w:val="24"/>
              </w:rPr>
            </w:pPr>
            <w:r>
              <w:rPr>
                <w:rFonts w:hint="eastAsia"/>
                <w:sz w:val="24"/>
              </w:rPr>
              <w:t>11.00</w:t>
            </w:r>
          </w:p>
        </w:tc>
        <w:tc>
          <w:tcPr>
            <w:tcW w:w="1283" w:type="dxa"/>
          </w:tcPr>
          <w:p w:rsidR="00CB68D1" w:rsidRDefault="00000000">
            <w:pPr>
              <w:spacing w:line="276" w:lineRule="auto"/>
              <w:jc w:val="center"/>
              <w:rPr>
                <w:sz w:val="24"/>
              </w:rPr>
            </w:pPr>
            <w:r>
              <w:rPr>
                <w:rFonts w:hint="eastAsia"/>
                <w:sz w:val="24"/>
              </w:rPr>
              <w:t>0.13</w:t>
            </w:r>
          </w:p>
        </w:tc>
        <w:tc>
          <w:tcPr>
            <w:tcW w:w="1335" w:type="dxa"/>
          </w:tcPr>
          <w:p w:rsidR="00CB68D1" w:rsidRDefault="00000000">
            <w:pPr>
              <w:spacing w:line="276" w:lineRule="auto"/>
              <w:jc w:val="center"/>
              <w:rPr>
                <w:sz w:val="24"/>
              </w:rPr>
            </w:pPr>
            <w:r>
              <w:rPr>
                <w:rFonts w:hint="eastAsia"/>
                <w:sz w:val="24"/>
              </w:rPr>
              <w:t>2.82</w:t>
            </w:r>
          </w:p>
        </w:tc>
        <w:tc>
          <w:tcPr>
            <w:tcW w:w="1335" w:type="dxa"/>
          </w:tcPr>
          <w:p w:rsidR="00CB68D1" w:rsidRDefault="00000000">
            <w:pPr>
              <w:spacing w:line="276" w:lineRule="auto"/>
              <w:jc w:val="center"/>
              <w:rPr>
                <w:sz w:val="24"/>
              </w:rPr>
            </w:pPr>
            <w:r>
              <w:rPr>
                <w:rFonts w:hint="eastAsia"/>
                <w:sz w:val="24"/>
              </w:rPr>
              <w:t>2.40</w:t>
            </w:r>
          </w:p>
        </w:tc>
        <w:tc>
          <w:tcPr>
            <w:tcW w:w="1335" w:type="dxa"/>
          </w:tcPr>
          <w:p w:rsidR="00CB68D1" w:rsidRDefault="00000000">
            <w:pPr>
              <w:spacing w:line="276" w:lineRule="auto"/>
              <w:jc w:val="center"/>
              <w:rPr>
                <w:sz w:val="24"/>
              </w:rPr>
            </w:pPr>
            <w:r>
              <w:rPr>
                <w:rFonts w:hint="eastAsia"/>
                <w:sz w:val="24"/>
              </w:rPr>
              <w:t>85.14</w:t>
            </w:r>
          </w:p>
        </w:tc>
      </w:tr>
    </w:tbl>
    <w:p w:rsidR="00CB68D1" w:rsidRDefault="00000000">
      <w:pPr>
        <w:spacing w:line="360" w:lineRule="auto"/>
        <w:outlineLvl w:val="2"/>
        <w:rPr>
          <w:sz w:val="24"/>
        </w:rPr>
      </w:pPr>
      <w:bookmarkStart w:id="11" w:name="_Toc8171"/>
      <w:r>
        <w:rPr>
          <w:rFonts w:hint="eastAsia"/>
          <w:sz w:val="24"/>
        </w:rPr>
        <w:t>3.</w:t>
      </w:r>
      <w:r>
        <w:rPr>
          <w:sz w:val="24"/>
        </w:rPr>
        <w:t>2</w:t>
      </w:r>
      <w:r>
        <w:rPr>
          <w:rFonts w:hint="eastAsia"/>
          <w:sz w:val="24"/>
        </w:rPr>
        <w:t>建立定标模型</w:t>
      </w:r>
      <w:bookmarkEnd w:id="11"/>
    </w:p>
    <w:p w:rsidR="00CB68D1" w:rsidRDefault="00000000">
      <w:pPr>
        <w:spacing w:line="360" w:lineRule="auto"/>
        <w:ind w:firstLineChars="200" w:firstLine="480"/>
        <w:rPr>
          <w:sz w:val="24"/>
        </w:rPr>
      </w:pPr>
      <w:r>
        <w:rPr>
          <w:rFonts w:hint="eastAsia"/>
          <w:sz w:val="24"/>
        </w:rPr>
        <w:t>利用近红外仪器扫描样品获得青贮饲用小黑麦不同类型的近红外光谱数据，如表</w:t>
      </w:r>
      <w:r>
        <w:rPr>
          <w:rFonts w:hint="eastAsia"/>
          <w:sz w:val="24"/>
        </w:rPr>
        <w:t>2</w:t>
      </w:r>
      <w:r>
        <w:rPr>
          <w:rFonts w:hint="eastAsia"/>
          <w:sz w:val="24"/>
        </w:rPr>
        <w:t>所示，并进行数学转换。一般将光谱数据进行转换处理（一阶或二阶导数），结合化学分析数据和近红外光谱数据建立饲料中可溶性碳水化合物含量的近红外模型，用验证集样品来确定所建立模型的质量好坏。</w:t>
      </w:r>
    </w:p>
    <w:p w:rsidR="00CB68D1" w:rsidRDefault="00000000">
      <w:pPr>
        <w:spacing w:line="360" w:lineRule="auto"/>
        <w:ind w:firstLineChars="200" w:firstLine="480"/>
        <w:jc w:val="center"/>
        <w:rPr>
          <w:sz w:val="24"/>
        </w:rPr>
      </w:pPr>
      <w:r>
        <w:rPr>
          <w:rFonts w:hint="eastAsia"/>
          <w:sz w:val="24"/>
        </w:rPr>
        <w:t>表</w:t>
      </w:r>
      <w:r>
        <w:rPr>
          <w:rFonts w:hint="eastAsia"/>
          <w:sz w:val="24"/>
        </w:rPr>
        <w:t xml:space="preserve">2 </w:t>
      </w:r>
      <w:r>
        <w:rPr>
          <w:rFonts w:hint="eastAsia"/>
          <w:sz w:val="24"/>
        </w:rPr>
        <w:t>青贮饲用小黑麦饲料样品定标集和验证集样本可溶性碳水化合物含量分析</w:t>
      </w:r>
    </w:p>
    <w:tbl>
      <w:tblPr>
        <w:tblStyle w:val="af"/>
        <w:tblW w:w="9960" w:type="dxa"/>
        <w:jc w:val="center"/>
        <w:tblLook w:val="04A0" w:firstRow="1" w:lastRow="0" w:firstColumn="1" w:lastColumn="0" w:noHBand="0" w:noVBand="1"/>
      </w:tblPr>
      <w:tblGrid>
        <w:gridCol w:w="1473"/>
        <w:gridCol w:w="1776"/>
        <w:gridCol w:w="1423"/>
        <w:gridCol w:w="1283"/>
        <w:gridCol w:w="1335"/>
        <w:gridCol w:w="1335"/>
        <w:gridCol w:w="1335"/>
      </w:tblGrid>
      <w:tr w:rsidR="00CB68D1">
        <w:trPr>
          <w:jc w:val="center"/>
        </w:trPr>
        <w:tc>
          <w:tcPr>
            <w:tcW w:w="1510" w:type="dxa"/>
          </w:tcPr>
          <w:p w:rsidR="00CB68D1" w:rsidRDefault="00CB68D1">
            <w:pPr>
              <w:spacing w:line="276" w:lineRule="auto"/>
              <w:rPr>
                <w:sz w:val="24"/>
              </w:rPr>
            </w:pPr>
          </w:p>
        </w:tc>
        <w:tc>
          <w:tcPr>
            <w:tcW w:w="1820" w:type="dxa"/>
          </w:tcPr>
          <w:p w:rsidR="00CB68D1" w:rsidRDefault="00000000">
            <w:pPr>
              <w:spacing w:line="276" w:lineRule="auto"/>
              <w:jc w:val="center"/>
              <w:rPr>
                <w:sz w:val="24"/>
              </w:rPr>
            </w:pPr>
            <w:r>
              <w:rPr>
                <w:rFonts w:hint="eastAsia"/>
                <w:sz w:val="24"/>
              </w:rPr>
              <w:t>样品数</w:t>
            </w:r>
          </w:p>
          <w:p w:rsidR="00CB68D1" w:rsidRDefault="00CB68D1">
            <w:pPr>
              <w:spacing w:line="276" w:lineRule="auto"/>
              <w:jc w:val="center"/>
              <w:rPr>
                <w:sz w:val="24"/>
              </w:rPr>
            </w:pPr>
          </w:p>
        </w:tc>
        <w:tc>
          <w:tcPr>
            <w:tcW w:w="1428" w:type="dxa"/>
          </w:tcPr>
          <w:p w:rsidR="00CB68D1" w:rsidRDefault="00000000">
            <w:pPr>
              <w:spacing w:line="276" w:lineRule="auto"/>
              <w:jc w:val="center"/>
              <w:rPr>
                <w:sz w:val="24"/>
              </w:rPr>
            </w:pPr>
            <w:r>
              <w:rPr>
                <w:rFonts w:hint="eastAsia"/>
                <w:sz w:val="24"/>
              </w:rPr>
              <w:t>最高值（</w:t>
            </w:r>
            <w:r>
              <w:rPr>
                <w:sz w:val="24"/>
              </w:rPr>
              <w:t>%DM</w:t>
            </w:r>
            <w:r>
              <w:rPr>
                <w:rFonts w:hint="eastAsia"/>
                <w:sz w:val="24"/>
              </w:rPr>
              <w:t>）</w:t>
            </w:r>
          </w:p>
        </w:tc>
        <w:tc>
          <w:tcPr>
            <w:tcW w:w="1191" w:type="dxa"/>
          </w:tcPr>
          <w:p w:rsidR="00CB68D1" w:rsidRDefault="00000000">
            <w:pPr>
              <w:spacing w:line="276" w:lineRule="auto"/>
              <w:jc w:val="center"/>
              <w:rPr>
                <w:sz w:val="24"/>
              </w:rPr>
            </w:pPr>
            <w:r>
              <w:rPr>
                <w:rFonts w:hint="eastAsia"/>
                <w:sz w:val="24"/>
              </w:rPr>
              <w:t>最低值（</w:t>
            </w:r>
            <w:r>
              <w:rPr>
                <w:rFonts w:hint="eastAsia"/>
                <w:sz w:val="24"/>
              </w:rPr>
              <w:t>%</w:t>
            </w:r>
            <w:r>
              <w:rPr>
                <w:sz w:val="24"/>
              </w:rPr>
              <w:t>DM</w:t>
            </w:r>
            <w:r>
              <w:rPr>
                <w:rFonts w:hint="eastAsia"/>
                <w:sz w:val="24"/>
              </w:rPr>
              <w:t>）</w:t>
            </w:r>
          </w:p>
        </w:tc>
        <w:tc>
          <w:tcPr>
            <w:tcW w:w="1337" w:type="dxa"/>
          </w:tcPr>
          <w:p w:rsidR="00CB68D1" w:rsidRDefault="00000000">
            <w:pPr>
              <w:spacing w:line="276" w:lineRule="auto"/>
              <w:jc w:val="center"/>
              <w:rPr>
                <w:sz w:val="24"/>
              </w:rPr>
            </w:pPr>
            <w:r>
              <w:rPr>
                <w:rFonts w:hint="eastAsia"/>
                <w:sz w:val="24"/>
              </w:rPr>
              <w:t>平均值</w:t>
            </w:r>
          </w:p>
          <w:p w:rsidR="00CB68D1" w:rsidRDefault="00000000">
            <w:pPr>
              <w:spacing w:line="276" w:lineRule="auto"/>
              <w:jc w:val="center"/>
              <w:rPr>
                <w:sz w:val="24"/>
              </w:rPr>
            </w:pPr>
            <w:r>
              <w:rPr>
                <w:rFonts w:hint="eastAsia"/>
                <w:sz w:val="24"/>
              </w:rPr>
              <w:t>（</w:t>
            </w:r>
            <w:r>
              <w:rPr>
                <w:rFonts w:hint="eastAsia"/>
                <w:sz w:val="24"/>
              </w:rPr>
              <w:t>%</w:t>
            </w:r>
            <w:r>
              <w:rPr>
                <w:sz w:val="24"/>
              </w:rPr>
              <w:t>DM</w:t>
            </w:r>
            <w:r>
              <w:rPr>
                <w:rFonts w:hint="eastAsia"/>
                <w:sz w:val="24"/>
              </w:rPr>
              <w:t>）</w:t>
            </w:r>
          </w:p>
        </w:tc>
        <w:tc>
          <w:tcPr>
            <w:tcW w:w="1337" w:type="dxa"/>
          </w:tcPr>
          <w:p w:rsidR="00CB68D1" w:rsidRDefault="00000000">
            <w:pPr>
              <w:spacing w:line="276" w:lineRule="auto"/>
              <w:jc w:val="center"/>
              <w:rPr>
                <w:sz w:val="24"/>
              </w:rPr>
            </w:pPr>
            <w:r>
              <w:rPr>
                <w:rFonts w:hint="eastAsia"/>
                <w:sz w:val="24"/>
              </w:rPr>
              <w:t>标准差</w:t>
            </w:r>
          </w:p>
          <w:p w:rsidR="00CB68D1" w:rsidRDefault="00000000">
            <w:pPr>
              <w:spacing w:line="276" w:lineRule="auto"/>
              <w:jc w:val="center"/>
              <w:rPr>
                <w:sz w:val="24"/>
              </w:rPr>
            </w:pPr>
            <w:r>
              <w:rPr>
                <w:rFonts w:hint="eastAsia"/>
                <w:sz w:val="24"/>
              </w:rPr>
              <w:t>（</w:t>
            </w:r>
            <w:r>
              <w:rPr>
                <w:rFonts w:hint="eastAsia"/>
                <w:sz w:val="24"/>
              </w:rPr>
              <w:t>%</w:t>
            </w:r>
            <w:r>
              <w:rPr>
                <w:sz w:val="24"/>
              </w:rPr>
              <w:t>DM</w:t>
            </w:r>
            <w:r>
              <w:rPr>
                <w:rFonts w:hint="eastAsia"/>
                <w:sz w:val="24"/>
              </w:rPr>
              <w:t>）</w:t>
            </w:r>
          </w:p>
        </w:tc>
        <w:tc>
          <w:tcPr>
            <w:tcW w:w="1337" w:type="dxa"/>
          </w:tcPr>
          <w:p w:rsidR="00CB68D1" w:rsidRDefault="00000000">
            <w:pPr>
              <w:spacing w:line="276" w:lineRule="auto"/>
              <w:jc w:val="center"/>
              <w:rPr>
                <w:sz w:val="24"/>
              </w:rPr>
            </w:pPr>
            <w:r>
              <w:rPr>
                <w:rFonts w:hint="eastAsia"/>
                <w:sz w:val="24"/>
              </w:rPr>
              <w:t>变异系数</w:t>
            </w:r>
          </w:p>
          <w:p w:rsidR="00CB68D1" w:rsidRDefault="00000000">
            <w:pPr>
              <w:spacing w:line="276" w:lineRule="auto"/>
              <w:jc w:val="center"/>
              <w:rPr>
                <w:sz w:val="24"/>
              </w:rPr>
            </w:pPr>
            <w:r>
              <w:rPr>
                <w:rFonts w:hint="eastAsia"/>
                <w:sz w:val="24"/>
              </w:rPr>
              <w:t>（</w:t>
            </w:r>
            <w:r>
              <w:rPr>
                <w:rFonts w:hint="eastAsia"/>
                <w:sz w:val="24"/>
              </w:rPr>
              <w:t>%</w:t>
            </w:r>
            <w:r>
              <w:rPr>
                <w:sz w:val="24"/>
              </w:rPr>
              <w:t>DM</w:t>
            </w:r>
            <w:r>
              <w:rPr>
                <w:rFonts w:hint="eastAsia"/>
                <w:sz w:val="24"/>
              </w:rPr>
              <w:t>）</w:t>
            </w:r>
          </w:p>
        </w:tc>
      </w:tr>
      <w:tr w:rsidR="00CB68D1">
        <w:trPr>
          <w:jc w:val="center"/>
        </w:trPr>
        <w:tc>
          <w:tcPr>
            <w:tcW w:w="1510" w:type="dxa"/>
          </w:tcPr>
          <w:p w:rsidR="00CB68D1" w:rsidRDefault="00000000">
            <w:pPr>
              <w:spacing w:line="276" w:lineRule="auto"/>
              <w:rPr>
                <w:sz w:val="24"/>
              </w:rPr>
            </w:pPr>
            <w:r>
              <w:rPr>
                <w:rFonts w:hint="eastAsia"/>
                <w:sz w:val="24"/>
              </w:rPr>
              <w:lastRenderedPageBreak/>
              <w:t>定标集</w:t>
            </w:r>
          </w:p>
        </w:tc>
        <w:tc>
          <w:tcPr>
            <w:tcW w:w="1820" w:type="dxa"/>
          </w:tcPr>
          <w:p w:rsidR="00CB68D1" w:rsidRDefault="00C5158C">
            <w:pPr>
              <w:spacing w:line="276" w:lineRule="auto"/>
              <w:jc w:val="center"/>
              <w:rPr>
                <w:sz w:val="24"/>
              </w:rPr>
            </w:pPr>
            <w:r>
              <w:rPr>
                <w:rFonts w:hint="eastAsia"/>
                <w:sz w:val="24"/>
              </w:rPr>
              <w:t>159</w:t>
            </w:r>
          </w:p>
        </w:tc>
        <w:tc>
          <w:tcPr>
            <w:tcW w:w="1428" w:type="dxa"/>
          </w:tcPr>
          <w:p w:rsidR="00CB68D1" w:rsidRDefault="00000000">
            <w:pPr>
              <w:spacing w:line="276" w:lineRule="auto"/>
              <w:jc w:val="center"/>
              <w:rPr>
                <w:sz w:val="24"/>
              </w:rPr>
            </w:pPr>
            <w:r>
              <w:rPr>
                <w:rFonts w:hint="eastAsia"/>
                <w:sz w:val="24"/>
              </w:rPr>
              <w:t>11.00</w:t>
            </w:r>
          </w:p>
        </w:tc>
        <w:tc>
          <w:tcPr>
            <w:tcW w:w="1191" w:type="dxa"/>
          </w:tcPr>
          <w:p w:rsidR="00CB68D1" w:rsidRDefault="00000000">
            <w:pPr>
              <w:spacing w:line="276" w:lineRule="auto"/>
              <w:jc w:val="center"/>
              <w:rPr>
                <w:sz w:val="24"/>
              </w:rPr>
            </w:pPr>
            <w:r>
              <w:rPr>
                <w:rFonts w:hint="eastAsia"/>
                <w:sz w:val="24"/>
              </w:rPr>
              <w:t>0.13</w:t>
            </w:r>
          </w:p>
        </w:tc>
        <w:tc>
          <w:tcPr>
            <w:tcW w:w="1337" w:type="dxa"/>
          </w:tcPr>
          <w:p w:rsidR="00CB68D1" w:rsidRDefault="00000000">
            <w:pPr>
              <w:spacing w:line="276" w:lineRule="auto"/>
              <w:jc w:val="center"/>
              <w:rPr>
                <w:sz w:val="24"/>
              </w:rPr>
            </w:pPr>
            <w:r>
              <w:rPr>
                <w:rFonts w:hint="eastAsia"/>
                <w:sz w:val="24"/>
              </w:rPr>
              <w:t>2.90</w:t>
            </w:r>
          </w:p>
        </w:tc>
        <w:tc>
          <w:tcPr>
            <w:tcW w:w="1337" w:type="dxa"/>
          </w:tcPr>
          <w:p w:rsidR="00CB68D1" w:rsidRDefault="00000000">
            <w:pPr>
              <w:spacing w:line="276" w:lineRule="auto"/>
              <w:jc w:val="center"/>
              <w:rPr>
                <w:sz w:val="24"/>
              </w:rPr>
            </w:pPr>
            <w:r>
              <w:rPr>
                <w:rFonts w:hint="eastAsia"/>
                <w:sz w:val="24"/>
              </w:rPr>
              <w:t>2.39</w:t>
            </w:r>
          </w:p>
        </w:tc>
        <w:tc>
          <w:tcPr>
            <w:tcW w:w="1337" w:type="dxa"/>
          </w:tcPr>
          <w:p w:rsidR="00CB68D1" w:rsidRDefault="00000000">
            <w:pPr>
              <w:spacing w:line="276" w:lineRule="auto"/>
              <w:jc w:val="center"/>
              <w:rPr>
                <w:sz w:val="24"/>
              </w:rPr>
            </w:pPr>
            <w:r>
              <w:rPr>
                <w:rFonts w:hint="eastAsia"/>
                <w:sz w:val="24"/>
              </w:rPr>
              <w:t>82.61</w:t>
            </w:r>
          </w:p>
        </w:tc>
      </w:tr>
      <w:tr w:rsidR="00CB68D1">
        <w:trPr>
          <w:jc w:val="center"/>
        </w:trPr>
        <w:tc>
          <w:tcPr>
            <w:tcW w:w="1510" w:type="dxa"/>
          </w:tcPr>
          <w:p w:rsidR="00CB68D1" w:rsidRDefault="00000000">
            <w:pPr>
              <w:spacing w:line="276" w:lineRule="auto"/>
              <w:rPr>
                <w:sz w:val="24"/>
              </w:rPr>
            </w:pPr>
            <w:r>
              <w:rPr>
                <w:rFonts w:hint="eastAsia"/>
                <w:sz w:val="24"/>
              </w:rPr>
              <w:t>验证集</w:t>
            </w:r>
          </w:p>
        </w:tc>
        <w:tc>
          <w:tcPr>
            <w:tcW w:w="1820" w:type="dxa"/>
          </w:tcPr>
          <w:p w:rsidR="00CB68D1" w:rsidRDefault="003A3F07">
            <w:pPr>
              <w:spacing w:line="276" w:lineRule="auto"/>
              <w:jc w:val="center"/>
              <w:rPr>
                <w:sz w:val="24"/>
              </w:rPr>
            </w:pPr>
            <w:r>
              <w:rPr>
                <w:rFonts w:hint="eastAsia"/>
                <w:sz w:val="24"/>
              </w:rPr>
              <w:t>69</w:t>
            </w:r>
          </w:p>
        </w:tc>
        <w:tc>
          <w:tcPr>
            <w:tcW w:w="1428" w:type="dxa"/>
          </w:tcPr>
          <w:p w:rsidR="00CB68D1" w:rsidRDefault="00000000">
            <w:pPr>
              <w:spacing w:line="276" w:lineRule="auto"/>
              <w:jc w:val="center"/>
              <w:rPr>
                <w:sz w:val="24"/>
              </w:rPr>
            </w:pPr>
            <w:r>
              <w:rPr>
                <w:rFonts w:hint="eastAsia"/>
                <w:sz w:val="24"/>
              </w:rPr>
              <w:t>10.63</w:t>
            </w:r>
          </w:p>
        </w:tc>
        <w:tc>
          <w:tcPr>
            <w:tcW w:w="1191" w:type="dxa"/>
          </w:tcPr>
          <w:p w:rsidR="00CB68D1" w:rsidRDefault="00000000">
            <w:pPr>
              <w:spacing w:line="276" w:lineRule="auto"/>
              <w:jc w:val="center"/>
              <w:rPr>
                <w:sz w:val="24"/>
              </w:rPr>
            </w:pPr>
            <w:r>
              <w:rPr>
                <w:rFonts w:hint="eastAsia"/>
                <w:sz w:val="24"/>
              </w:rPr>
              <w:t>0.49</w:t>
            </w:r>
          </w:p>
        </w:tc>
        <w:tc>
          <w:tcPr>
            <w:tcW w:w="1337" w:type="dxa"/>
          </w:tcPr>
          <w:p w:rsidR="00CB68D1" w:rsidRDefault="00000000">
            <w:pPr>
              <w:spacing w:line="276" w:lineRule="auto"/>
              <w:jc w:val="center"/>
              <w:rPr>
                <w:sz w:val="24"/>
              </w:rPr>
            </w:pPr>
            <w:r>
              <w:rPr>
                <w:rFonts w:hint="eastAsia"/>
                <w:sz w:val="24"/>
              </w:rPr>
              <w:t>2.64</w:t>
            </w:r>
          </w:p>
        </w:tc>
        <w:tc>
          <w:tcPr>
            <w:tcW w:w="1337" w:type="dxa"/>
          </w:tcPr>
          <w:p w:rsidR="00CB68D1" w:rsidRDefault="00000000">
            <w:pPr>
              <w:spacing w:line="276" w:lineRule="auto"/>
              <w:jc w:val="center"/>
              <w:rPr>
                <w:sz w:val="24"/>
              </w:rPr>
            </w:pPr>
            <w:r>
              <w:rPr>
                <w:rFonts w:hint="eastAsia"/>
                <w:sz w:val="24"/>
              </w:rPr>
              <w:t>2.43</w:t>
            </w:r>
          </w:p>
        </w:tc>
        <w:tc>
          <w:tcPr>
            <w:tcW w:w="1337" w:type="dxa"/>
          </w:tcPr>
          <w:p w:rsidR="00CB68D1" w:rsidRDefault="00000000">
            <w:pPr>
              <w:spacing w:line="276" w:lineRule="auto"/>
              <w:jc w:val="center"/>
              <w:rPr>
                <w:sz w:val="24"/>
              </w:rPr>
            </w:pPr>
            <w:r>
              <w:rPr>
                <w:rFonts w:hint="eastAsia"/>
                <w:sz w:val="24"/>
              </w:rPr>
              <w:t>91.82</w:t>
            </w:r>
          </w:p>
        </w:tc>
      </w:tr>
    </w:tbl>
    <w:p w:rsidR="00CB68D1" w:rsidRDefault="00CB68D1">
      <w:pPr>
        <w:spacing w:line="360" w:lineRule="auto"/>
        <w:rPr>
          <w:sz w:val="24"/>
        </w:rPr>
      </w:pPr>
    </w:p>
    <w:p w:rsidR="00CB68D1" w:rsidRDefault="00000000">
      <w:pPr>
        <w:spacing w:line="360" w:lineRule="auto"/>
        <w:outlineLvl w:val="2"/>
        <w:rPr>
          <w:sz w:val="24"/>
        </w:rPr>
      </w:pPr>
      <w:bookmarkStart w:id="12" w:name="_Toc11690"/>
      <w:r>
        <w:rPr>
          <w:rFonts w:hint="eastAsia"/>
          <w:sz w:val="24"/>
        </w:rPr>
        <w:t>3.</w:t>
      </w:r>
      <w:r>
        <w:rPr>
          <w:sz w:val="24"/>
        </w:rPr>
        <w:t>3</w:t>
      </w:r>
      <w:r>
        <w:rPr>
          <w:rFonts w:hint="eastAsia"/>
          <w:sz w:val="24"/>
        </w:rPr>
        <w:t>模型验证与使用</w:t>
      </w:r>
      <w:bookmarkEnd w:id="12"/>
    </w:p>
    <w:p w:rsidR="00CB68D1" w:rsidRDefault="00000000">
      <w:pPr>
        <w:spacing w:line="360" w:lineRule="auto"/>
        <w:ind w:firstLineChars="200" w:firstLine="480"/>
        <w:rPr>
          <w:sz w:val="24"/>
        </w:rPr>
      </w:pPr>
      <w:r>
        <w:rPr>
          <w:rFonts w:hint="eastAsia"/>
          <w:sz w:val="24"/>
        </w:rPr>
        <w:t>已获得的数学模型需要进行验证和模型优化，在分析未知样品时，先对待测样品进行扫描，根据光谱</w:t>
      </w:r>
      <w:proofErr w:type="gramStart"/>
      <w:r>
        <w:rPr>
          <w:rFonts w:hint="eastAsia"/>
          <w:sz w:val="24"/>
        </w:rPr>
        <w:t>值利用</w:t>
      </w:r>
      <w:proofErr w:type="gramEnd"/>
      <w:r>
        <w:rPr>
          <w:rFonts w:hint="eastAsia"/>
          <w:sz w:val="24"/>
        </w:rPr>
        <w:t>建立的模型计算出待测样品的成分含量。</w:t>
      </w:r>
    </w:p>
    <w:p w:rsidR="00CB68D1" w:rsidRDefault="00000000">
      <w:pPr>
        <w:spacing w:line="360" w:lineRule="auto"/>
        <w:outlineLvl w:val="2"/>
        <w:rPr>
          <w:sz w:val="24"/>
        </w:rPr>
      </w:pPr>
      <w:bookmarkStart w:id="13" w:name="_Toc2179"/>
      <w:r>
        <w:rPr>
          <w:sz w:val="24"/>
        </w:rPr>
        <w:t>3.4</w:t>
      </w:r>
      <w:r>
        <w:rPr>
          <w:rFonts w:hint="eastAsia"/>
          <w:sz w:val="24"/>
        </w:rPr>
        <w:t>其依据主要为</w:t>
      </w:r>
      <w:bookmarkEnd w:id="13"/>
    </w:p>
    <w:p w:rsidR="00CB68D1" w:rsidRPr="00532393" w:rsidRDefault="00000000" w:rsidP="00532393">
      <w:pPr>
        <w:spacing w:line="360" w:lineRule="auto"/>
        <w:ind w:firstLineChars="200" w:firstLine="480"/>
        <w:rPr>
          <w:sz w:val="24"/>
        </w:rPr>
      </w:pPr>
      <w:r>
        <w:rPr>
          <w:rFonts w:hint="eastAsia"/>
          <w:sz w:val="24"/>
        </w:rPr>
        <w:t>利用</w:t>
      </w:r>
      <w:r>
        <w:rPr>
          <w:rFonts w:hint="eastAsia"/>
          <w:sz w:val="24"/>
        </w:rPr>
        <w:t>UCAL</w:t>
      </w:r>
      <w:r>
        <w:rPr>
          <w:rFonts w:hint="eastAsia"/>
          <w:sz w:val="24"/>
        </w:rPr>
        <w:t>软件主成分分析来剔除马氏距离值＞</w:t>
      </w:r>
      <w:r>
        <w:rPr>
          <w:rFonts w:hint="eastAsia"/>
          <w:sz w:val="24"/>
        </w:rPr>
        <w:t>3</w:t>
      </w:r>
      <w:r>
        <w:rPr>
          <w:rFonts w:hint="eastAsia"/>
          <w:sz w:val="24"/>
        </w:rPr>
        <w:t>的异常样品，确定建模的最佳处理方法，确定试验波长范围、挑选出</w:t>
      </w:r>
      <w:proofErr w:type="gramStart"/>
      <w:r>
        <w:rPr>
          <w:rFonts w:hint="eastAsia"/>
          <w:sz w:val="24"/>
        </w:rPr>
        <w:t>最佳主</w:t>
      </w:r>
      <w:proofErr w:type="gramEnd"/>
      <w:r>
        <w:rPr>
          <w:rFonts w:hint="eastAsia"/>
          <w:sz w:val="24"/>
        </w:rPr>
        <w:t>因子数</w:t>
      </w:r>
      <w:r>
        <w:rPr>
          <w:rFonts w:hint="eastAsia"/>
          <w:sz w:val="24"/>
        </w:rPr>
        <w:t>(</w:t>
      </w:r>
      <w:r>
        <w:rPr>
          <w:rFonts w:hint="eastAsia"/>
          <w:sz w:val="24"/>
        </w:rPr>
        <w:t>即主成分数</w:t>
      </w:r>
      <w:r>
        <w:rPr>
          <w:rFonts w:hint="eastAsia"/>
          <w:sz w:val="24"/>
        </w:rPr>
        <w:t>)</w:t>
      </w:r>
      <w:r>
        <w:rPr>
          <w:rFonts w:hint="eastAsia"/>
          <w:sz w:val="24"/>
        </w:rPr>
        <w:t>。如图</w:t>
      </w:r>
      <w:r>
        <w:rPr>
          <w:rFonts w:hint="eastAsia"/>
          <w:sz w:val="24"/>
        </w:rPr>
        <w:t>1</w:t>
      </w:r>
      <w:r>
        <w:rPr>
          <w:rFonts w:hint="eastAsia"/>
          <w:sz w:val="24"/>
        </w:rPr>
        <w:t>所示，光谱的吸光度范围为</w:t>
      </w:r>
      <w:r>
        <w:rPr>
          <w:rFonts w:hint="eastAsia"/>
          <w:sz w:val="24"/>
        </w:rPr>
        <w:t>0.05~0.21</w:t>
      </w:r>
      <w:r>
        <w:rPr>
          <w:rFonts w:hint="eastAsia"/>
          <w:sz w:val="24"/>
        </w:rPr>
        <w:t>之间。本试验确定</w:t>
      </w:r>
      <w:proofErr w:type="gramStart"/>
      <w:r>
        <w:rPr>
          <w:rFonts w:hint="eastAsia"/>
          <w:sz w:val="24"/>
        </w:rPr>
        <w:t>最佳主</w:t>
      </w:r>
      <w:proofErr w:type="gramEnd"/>
      <w:r>
        <w:rPr>
          <w:rFonts w:hint="eastAsia"/>
          <w:sz w:val="24"/>
        </w:rPr>
        <w:t>因子数为交互验证法，利用</w:t>
      </w:r>
      <w:r>
        <w:rPr>
          <w:rFonts w:hint="eastAsia"/>
          <w:sz w:val="24"/>
        </w:rPr>
        <w:t>UCAL</w:t>
      </w:r>
      <w:r>
        <w:rPr>
          <w:rFonts w:hint="eastAsia"/>
          <w:sz w:val="24"/>
        </w:rPr>
        <w:t>软件筛选出的青贮饲用小黑麦饲料各种营养成分的最佳建模条件建立</w:t>
      </w:r>
      <w:r>
        <w:rPr>
          <w:rFonts w:hint="eastAsia"/>
          <w:sz w:val="24"/>
        </w:rPr>
        <w:t>WSC</w:t>
      </w:r>
      <w:r>
        <w:rPr>
          <w:rFonts w:hint="eastAsia"/>
          <w:sz w:val="24"/>
        </w:rPr>
        <w:t>的近红外光谱定标模型。</w:t>
      </w:r>
    </w:p>
    <w:p w:rsidR="00CB68D1" w:rsidRDefault="00000000">
      <w:pPr>
        <w:spacing w:line="360" w:lineRule="auto"/>
        <w:jc w:val="center"/>
        <w:rPr>
          <w:sz w:val="24"/>
        </w:rPr>
      </w:pPr>
      <w:r>
        <w:rPr>
          <w:noProof/>
        </w:rPr>
        <w:drawing>
          <wp:inline distT="0" distB="0" distL="0" distR="0">
            <wp:extent cx="3603358" cy="1885950"/>
            <wp:effectExtent l="0" t="0" r="0" b="0"/>
            <wp:docPr id="2039145412" name="图形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145412" name="图形 34"/>
                    <pic:cNvPicPr>
                      <a:picLocks noChangeAspect="1"/>
                    </pic:cNvPicPr>
                  </pic:nvPicPr>
                  <pic:blipFill>
                    <a:blip r:embed="rId8">
                      <a:extLst>
                        <a:ext uri="{96DAC541-7B7A-43D3-8B79-37D633B846F1}">
                          <asvg:svgBlip xmlns:asvg="http://schemas.microsoft.com/office/drawing/2016/SVG/main" r:embed="rId9"/>
                        </a:ext>
                      </a:extLst>
                    </a:blip>
                    <a:stretch>
                      <a:fillRect/>
                    </a:stretch>
                  </pic:blipFill>
                  <pic:spPr>
                    <a:xfrm>
                      <a:off x="0" y="0"/>
                      <a:ext cx="3606327" cy="1887504"/>
                    </a:xfrm>
                    <a:prstGeom prst="rect">
                      <a:avLst/>
                    </a:prstGeom>
                  </pic:spPr>
                </pic:pic>
              </a:graphicData>
            </a:graphic>
          </wp:inline>
        </w:drawing>
      </w:r>
    </w:p>
    <w:p w:rsidR="00CB68D1" w:rsidRDefault="00000000">
      <w:pPr>
        <w:spacing w:line="360" w:lineRule="auto"/>
        <w:jc w:val="center"/>
        <w:rPr>
          <w:sz w:val="24"/>
        </w:rPr>
      </w:pPr>
      <w:r>
        <w:rPr>
          <w:rFonts w:hint="eastAsia"/>
          <w:sz w:val="24"/>
        </w:rPr>
        <w:t>图</w:t>
      </w:r>
      <w:r>
        <w:rPr>
          <w:rFonts w:hint="eastAsia"/>
          <w:sz w:val="24"/>
        </w:rPr>
        <w:t xml:space="preserve">1 </w:t>
      </w:r>
      <w:r>
        <w:rPr>
          <w:rFonts w:hint="eastAsia"/>
          <w:sz w:val="24"/>
        </w:rPr>
        <w:t>饲用小黑麦青贮样品近红外光谱图</w:t>
      </w:r>
    </w:p>
    <w:p w:rsidR="00CB68D1" w:rsidRDefault="00000000">
      <w:pPr>
        <w:spacing w:line="360" w:lineRule="auto"/>
        <w:ind w:firstLineChars="200" w:firstLine="480"/>
        <w:rPr>
          <w:sz w:val="24"/>
        </w:rPr>
      </w:pPr>
      <w:r>
        <w:rPr>
          <w:rFonts w:hint="eastAsia"/>
          <w:sz w:val="24"/>
        </w:rPr>
        <w:t>对已创建的定标模型进行样品外部验证，扫描未参建模样品的近红外光谱，采用已经建立的饲用小黑麦青贮饲料样品近红外模型对验证集样品的各营养指标含量进行预测，将比较已得的预测结果再与化学测定的样品真值，从而检验此模型的预测效果。</w:t>
      </w:r>
    </w:p>
    <w:p w:rsidR="00CB68D1" w:rsidRDefault="00000000">
      <w:pPr>
        <w:spacing w:line="360" w:lineRule="auto"/>
        <w:ind w:firstLineChars="200" w:firstLine="480"/>
        <w:rPr>
          <w:sz w:val="24"/>
        </w:rPr>
      </w:pPr>
      <w:r>
        <w:rPr>
          <w:rFonts w:hint="eastAsia"/>
          <w:sz w:val="24"/>
        </w:rPr>
        <w:t>如图</w:t>
      </w:r>
      <w:r>
        <w:rPr>
          <w:rFonts w:hint="eastAsia"/>
          <w:sz w:val="24"/>
        </w:rPr>
        <w:t>2</w:t>
      </w:r>
      <w:r>
        <w:rPr>
          <w:rFonts w:hint="eastAsia"/>
          <w:sz w:val="24"/>
        </w:rPr>
        <w:t>所示，</w:t>
      </w:r>
      <w:r>
        <w:rPr>
          <w:sz w:val="24"/>
        </w:rPr>
        <w:t>所建模型的各项决定系数与标准方差</w:t>
      </w:r>
      <w:proofErr w:type="gramStart"/>
      <w:r>
        <w:rPr>
          <w:sz w:val="24"/>
        </w:rPr>
        <w:t>皆满足</w:t>
      </w:r>
      <w:proofErr w:type="gramEnd"/>
      <w:r>
        <w:rPr>
          <w:sz w:val="24"/>
        </w:rPr>
        <w:t>于青贮</w:t>
      </w:r>
      <w:r>
        <w:rPr>
          <w:rFonts w:hint="eastAsia"/>
          <w:sz w:val="24"/>
        </w:rPr>
        <w:t>饲用小黑麦可溶性碳水化合物</w:t>
      </w:r>
      <w:r>
        <w:rPr>
          <w:sz w:val="24"/>
        </w:rPr>
        <w:t>检测的准确性要求</w:t>
      </w:r>
      <w:r>
        <w:rPr>
          <w:rFonts w:hint="eastAsia"/>
          <w:sz w:val="24"/>
        </w:rPr>
        <w:t>，</w:t>
      </w:r>
      <w:r>
        <w:rPr>
          <w:sz w:val="24"/>
        </w:rPr>
        <w:t>可以完成</w:t>
      </w:r>
      <w:r>
        <w:rPr>
          <w:rFonts w:hint="eastAsia"/>
          <w:sz w:val="24"/>
        </w:rPr>
        <w:t>青贮饲用小黑麦</w:t>
      </w:r>
      <w:r>
        <w:rPr>
          <w:sz w:val="24"/>
        </w:rPr>
        <w:t>样品</w:t>
      </w:r>
      <w:r>
        <w:rPr>
          <w:rFonts w:hint="eastAsia"/>
          <w:sz w:val="24"/>
        </w:rPr>
        <w:t>可溶性碳水化合物</w:t>
      </w:r>
      <w:r>
        <w:rPr>
          <w:sz w:val="24"/>
        </w:rPr>
        <w:t>指标的分析。</w:t>
      </w:r>
    </w:p>
    <w:p w:rsidR="00CB68D1" w:rsidRDefault="00000000">
      <w:pPr>
        <w:spacing w:line="360" w:lineRule="auto"/>
        <w:jc w:val="center"/>
        <w:rPr>
          <w:sz w:val="24"/>
        </w:rPr>
      </w:pPr>
      <w:r>
        <w:rPr>
          <w:rFonts w:hint="eastAsia"/>
          <w:noProof/>
        </w:rPr>
        <w:lastRenderedPageBreak/>
        <w:drawing>
          <wp:inline distT="0" distB="0" distL="0" distR="0">
            <wp:extent cx="2911475" cy="1986280"/>
            <wp:effectExtent l="0" t="0" r="3175" b="0"/>
            <wp:docPr id="106370497" name="图形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70497" name="图形 58"/>
                    <pic:cNvPicPr>
                      <a:picLocks noChangeAspect="1"/>
                    </pic:cNvPicPr>
                  </pic:nvPicPr>
                  <pic:blipFill>
                    <a:blip r:embed="rId10">
                      <a:extLst>
                        <a:ext uri="{96DAC541-7B7A-43D3-8B79-37D633B846F1}">
                          <asvg:svgBlip xmlns:asvg="http://schemas.microsoft.com/office/drawing/2016/SVG/main" r:embed="rId11"/>
                        </a:ext>
                      </a:extLst>
                    </a:blip>
                    <a:stretch>
                      <a:fillRect/>
                    </a:stretch>
                  </pic:blipFill>
                  <pic:spPr>
                    <a:xfrm>
                      <a:off x="0" y="0"/>
                      <a:ext cx="2911475" cy="1986280"/>
                    </a:xfrm>
                    <a:prstGeom prst="rect">
                      <a:avLst/>
                    </a:prstGeom>
                  </pic:spPr>
                </pic:pic>
              </a:graphicData>
            </a:graphic>
          </wp:inline>
        </w:drawing>
      </w:r>
    </w:p>
    <w:p w:rsidR="00CB68D1" w:rsidRDefault="00000000">
      <w:pPr>
        <w:spacing w:line="360" w:lineRule="auto"/>
        <w:jc w:val="center"/>
        <w:rPr>
          <w:sz w:val="24"/>
        </w:rPr>
      </w:pPr>
      <w:r>
        <w:rPr>
          <w:rFonts w:hint="eastAsia"/>
          <w:sz w:val="24"/>
        </w:rPr>
        <w:t>图</w:t>
      </w:r>
      <w:r>
        <w:rPr>
          <w:rFonts w:hint="eastAsia"/>
          <w:sz w:val="24"/>
        </w:rPr>
        <w:t xml:space="preserve">2 </w:t>
      </w:r>
      <w:r>
        <w:rPr>
          <w:rFonts w:hint="eastAsia"/>
          <w:sz w:val="24"/>
        </w:rPr>
        <w:t>青贮饲用小黑麦校正集</w:t>
      </w:r>
      <w:r>
        <w:rPr>
          <w:rFonts w:hint="eastAsia"/>
          <w:sz w:val="24"/>
        </w:rPr>
        <w:t>WSC</w:t>
      </w:r>
      <w:r>
        <w:rPr>
          <w:rFonts w:hint="eastAsia"/>
          <w:sz w:val="24"/>
        </w:rPr>
        <w:t>成分含量的化学值与</w:t>
      </w:r>
      <w:r>
        <w:rPr>
          <w:rFonts w:hint="eastAsia"/>
          <w:sz w:val="24"/>
        </w:rPr>
        <w:t>NIRS</w:t>
      </w:r>
      <w:r>
        <w:rPr>
          <w:rFonts w:hint="eastAsia"/>
          <w:sz w:val="24"/>
        </w:rPr>
        <w:t>值的相关关系</w:t>
      </w:r>
    </w:p>
    <w:p w:rsidR="00844B8B" w:rsidRDefault="00844B8B" w:rsidP="00844B8B">
      <w:pPr>
        <w:spacing w:line="360" w:lineRule="auto"/>
        <w:outlineLvl w:val="2"/>
        <w:rPr>
          <w:sz w:val="24"/>
        </w:rPr>
      </w:pPr>
      <w:r>
        <w:rPr>
          <w:sz w:val="24"/>
        </w:rPr>
        <w:t>3.</w:t>
      </w:r>
      <w:r>
        <w:rPr>
          <w:rFonts w:hint="eastAsia"/>
          <w:sz w:val="24"/>
        </w:rPr>
        <w:t>5</w:t>
      </w:r>
      <w:r>
        <w:rPr>
          <w:rFonts w:hint="eastAsia"/>
          <w:sz w:val="24"/>
        </w:rPr>
        <w:t>实验过程图</w:t>
      </w:r>
    </w:p>
    <w:p w:rsidR="00844B8B" w:rsidRDefault="00844B8B" w:rsidP="00844B8B">
      <w:pPr>
        <w:spacing w:line="360" w:lineRule="auto"/>
        <w:jc w:val="center"/>
        <w:rPr>
          <w:sz w:val="24"/>
        </w:rPr>
      </w:pPr>
      <w:r w:rsidRPr="00844B8B">
        <w:rPr>
          <w:noProof/>
          <w:sz w:val="24"/>
        </w:rPr>
        <w:drawing>
          <wp:inline distT="0" distB="0" distL="0" distR="0">
            <wp:extent cx="2160000" cy="2879852"/>
            <wp:effectExtent l="0" t="0" r="0" b="0"/>
            <wp:docPr id="9697831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0000" cy="2879852"/>
                    </a:xfrm>
                    <a:prstGeom prst="rect">
                      <a:avLst/>
                    </a:prstGeom>
                    <a:noFill/>
                    <a:ln>
                      <a:noFill/>
                    </a:ln>
                  </pic:spPr>
                </pic:pic>
              </a:graphicData>
            </a:graphic>
          </wp:inline>
        </w:drawing>
      </w:r>
    </w:p>
    <w:p w:rsidR="00844B8B" w:rsidRDefault="00844B8B" w:rsidP="00844B8B">
      <w:pPr>
        <w:spacing w:line="360" w:lineRule="auto"/>
        <w:jc w:val="center"/>
        <w:rPr>
          <w:sz w:val="24"/>
        </w:rPr>
      </w:pPr>
      <w:r>
        <w:rPr>
          <w:rFonts w:hint="eastAsia"/>
          <w:sz w:val="24"/>
        </w:rPr>
        <w:t>图</w:t>
      </w:r>
      <w:r>
        <w:rPr>
          <w:rFonts w:hint="eastAsia"/>
          <w:sz w:val="24"/>
        </w:rPr>
        <w:t xml:space="preserve">4 </w:t>
      </w:r>
      <w:r>
        <w:rPr>
          <w:rFonts w:hint="eastAsia"/>
          <w:sz w:val="24"/>
        </w:rPr>
        <w:t>刈割饲用小黑麦</w:t>
      </w:r>
    </w:p>
    <w:p w:rsidR="00844B8B" w:rsidRDefault="00844B8B" w:rsidP="00844B8B">
      <w:pPr>
        <w:spacing w:line="360" w:lineRule="auto"/>
        <w:jc w:val="center"/>
        <w:rPr>
          <w:sz w:val="24"/>
        </w:rPr>
      </w:pPr>
      <w:r w:rsidRPr="00844B8B">
        <w:rPr>
          <w:noProof/>
          <w:sz w:val="24"/>
        </w:rPr>
        <w:drawing>
          <wp:inline distT="0" distB="0" distL="0" distR="0">
            <wp:extent cx="2160000" cy="1620111"/>
            <wp:effectExtent l="0" t="0" r="0" b="0"/>
            <wp:docPr id="67113699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1620111"/>
                    </a:xfrm>
                    <a:prstGeom prst="rect">
                      <a:avLst/>
                    </a:prstGeom>
                    <a:noFill/>
                    <a:ln>
                      <a:noFill/>
                    </a:ln>
                  </pic:spPr>
                </pic:pic>
              </a:graphicData>
            </a:graphic>
          </wp:inline>
        </w:drawing>
      </w:r>
    </w:p>
    <w:p w:rsidR="00844B8B" w:rsidRDefault="00844B8B" w:rsidP="00844B8B">
      <w:pPr>
        <w:spacing w:line="360" w:lineRule="auto"/>
        <w:jc w:val="center"/>
        <w:rPr>
          <w:sz w:val="24"/>
        </w:rPr>
      </w:pPr>
      <w:r>
        <w:rPr>
          <w:rFonts w:hint="eastAsia"/>
          <w:sz w:val="24"/>
        </w:rPr>
        <w:t>图</w:t>
      </w:r>
      <w:r>
        <w:rPr>
          <w:rFonts w:hint="eastAsia"/>
          <w:sz w:val="24"/>
        </w:rPr>
        <w:t xml:space="preserve">5 </w:t>
      </w:r>
      <w:r>
        <w:rPr>
          <w:rFonts w:hint="eastAsia"/>
          <w:sz w:val="24"/>
        </w:rPr>
        <w:t>扫描样品</w:t>
      </w:r>
    </w:p>
    <w:p w:rsidR="00844B8B" w:rsidRDefault="00844B8B" w:rsidP="00844B8B">
      <w:pPr>
        <w:spacing w:line="360" w:lineRule="auto"/>
        <w:jc w:val="center"/>
        <w:rPr>
          <w:sz w:val="24"/>
        </w:rPr>
      </w:pPr>
      <w:r w:rsidRPr="00844B8B">
        <w:rPr>
          <w:noProof/>
          <w:sz w:val="24"/>
        </w:rPr>
        <w:lastRenderedPageBreak/>
        <w:drawing>
          <wp:inline distT="0" distB="0" distL="0" distR="0">
            <wp:extent cx="2160000" cy="1620111"/>
            <wp:effectExtent l="0" t="0" r="0" b="0"/>
            <wp:docPr id="108684240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0000" cy="1620111"/>
                    </a:xfrm>
                    <a:prstGeom prst="rect">
                      <a:avLst/>
                    </a:prstGeom>
                    <a:noFill/>
                    <a:ln>
                      <a:noFill/>
                    </a:ln>
                  </pic:spPr>
                </pic:pic>
              </a:graphicData>
            </a:graphic>
          </wp:inline>
        </w:drawing>
      </w:r>
    </w:p>
    <w:p w:rsidR="00844B8B" w:rsidRPr="00844B8B" w:rsidRDefault="00844B8B" w:rsidP="00844B8B">
      <w:pPr>
        <w:spacing w:line="360" w:lineRule="auto"/>
        <w:jc w:val="center"/>
        <w:rPr>
          <w:sz w:val="24"/>
        </w:rPr>
      </w:pPr>
      <w:r>
        <w:rPr>
          <w:rFonts w:hint="eastAsia"/>
          <w:sz w:val="24"/>
        </w:rPr>
        <w:t>图</w:t>
      </w:r>
      <w:r>
        <w:rPr>
          <w:rFonts w:hint="eastAsia"/>
          <w:sz w:val="24"/>
        </w:rPr>
        <w:t xml:space="preserve">6 </w:t>
      </w:r>
      <w:r>
        <w:rPr>
          <w:rFonts w:hint="eastAsia"/>
          <w:sz w:val="24"/>
        </w:rPr>
        <w:t>扫描样品</w:t>
      </w:r>
    </w:p>
    <w:p w:rsidR="00CB68D1" w:rsidRDefault="00000000">
      <w:pPr>
        <w:spacing w:line="360" w:lineRule="auto"/>
        <w:outlineLvl w:val="0"/>
        <w:rPr>
          <w:b/>
          <w:color w:val="000000"/>
          <w:sz w:val="28"/>
          <w:szCs w:val="28"/>
        </w:rPr>
      </w:pPr>
      <w:bookmarkStart w:id="14" w:name="_Toc27367"/>
      <w:r>
        <w:rPr>
          <w:rFonts w:hint="eastAsia"/>
          <w:b/>
          <w:color w:val="000000"/>
          <w:sz w:val="28"/>
          <w:szCs w:val="28"/>
        </w:rPr>
        <w:t>四</w:t>
      </w:r>
      <w:r>
        <w:rPr>
          <w:b/>
          <w:color w:val="000000"/>
          <w:sz w:val="28"/>
          <w:szCs w:val="28"/>
        </w:rPr>
        <w:t>、</w:t>
      </w:r>
      <w:r>
        <w:rPr>
          <w:rFonts w:hint="eastAsia"/>
          <w:b/>
          <w:color w:val="000000"/>
          <w:sz w:val="28"/>
          <w:szCs w:val="28"/>
        </w:rPr>
        <w:t>采用的国际标准</w:t>
      </w:r>
      <w:bookmarkEnd w:id="14"/>
    </w:p>
    <w:p w:rsidR="00CB68D1" w:rsidRDefault="00000000">
      <w:pPr>
        <w:spacing w:beforeLines="50" w:before="156" w:line="360" w:lineRule="auto"/>
        <w:ind w:firstLine="482"/>
        <w:rPr>
          <w:color w:val="000000"/>
          <w:sz w:val="24"/>
        </w:rPr>
      </w:pPr>
      <w:r>
        <w:rPr>
          <w:color w:val="000000"/>
          <w:sz w:val="24"/>
        </w:rPr>
        <w:t>无。</w:t>
      </w:r>
    </w:p>
    <w:p w:rsidR="00CB68D1" w:rsidRDefault="00000000">
      <w:pPr>
        <w:spacing w:beforeLines="50" w:before="156" w:afterLines="50" w:after="156" w:line="440" w:lineRule="exact"/>
        <w:outlineLvl w:val="0"/>
        <w:rPr>
          <w:b/>
          <w:color w:val="000000"/>
          <w:sz w:val="28"/>
          <w:szCs w:val="28"/>
        </w:rPr>
      </w:pPr>
      <w:bookmarkStart w:id="15" w:name="_Toc11619"/>
      <w:r>
        <w:rPr>
          <w:rFonts w:hint="eastAsia"/>
          <w:b/>
          <w:color w:val="000000"/>
          <w:sz w:val="28"/>
          <w:szCs w:val="28"/>
        </w:rPr>
        <w:t>五</w:t>
      </w:r>
      <w:r>
        <w:rPr>
          <w:b/>
          <w:color w:val="000000"/>
          <w:sz w:val="28"/>
          <w:szCs w:val="28"/>
        </w:rPr>
        <w:t>、</w:t>
      </w:r>
      <w:r>
        <w:rPr>
          <w:rFonts w:hint="eastAsia"/>
          <w:b/>
          <w:color w:val="000000"/>
          <w:sz w:val="28"/>
          <w:szCs w:val="28"/>
        </w:rPr>
        <w:t>与现行法律法规和强制性标准的关系</w:t>
      </w:r>
      <w:bookmarkEnd w:id="15"/>
    </w:p>
    <w:p w:rsidR="00CB68D1" w:rsidRDefault="00000000">
      <w:pPr>
        <w:pStyle w:val="af4"/>
        <w:adjustRightInd w:val="0"/>
        <w:snapToGrid w:val="0"/>
        <w:spacing w:line="360" w:lineRule="auto"/>
        <w:ind w:firstLine="480"/>
        <w:rPr>
          <w:rFonts w:ascii="Times New Roman" w:hAnsi="宋体" w:cs="宋体" w:hint="eastAsia"/>
          <w:sz w:val="24"/>
          <w:szCs w:val="24"/>
        </w:rPr>
      </w:pPr>
      <w:r>
        <w:rPr>
          <w:rFonts w:ascii="Times New Roman" w:hAnsi="宋体" w:cs="宋体" w:hint="eastAsia"/>
          <w:sz w:val="24"/>
          <w:szCs w:val="24"/>
        </w:rPr>
        <w:t>本标准与现行法律法规和强制性标准没有冲突。</w:t>
      </w:r>
    </w:p>
    <w:p w:rsidR="00CB68D1" w:rsidRDefault="00000000">
      <w:pPr>
        <w:spacing w:beforeLines="50" w:before="156" w:afterLines="50" w:after="156" w:line="440" w:lineRule="exact"/>
        <w:outlineLvl w:val="0"/>
        <w:rPr>
          <w:b/>
          <w:color w:val="000000"/>
          <w:sz w:val="28"/>
          <w:szCs w:val="28"/>
        </w:rPr>
      </w:pPr>
      <w:bookmarkStart w:id="16" w:name="_Toc8620"/>
      <w:r>
        <w:rPr>
          <w:rFonts w:hint="eastAsia"/>
          <w:b/>
          <w:color w:val="000000"/>
          <w:sz w:val="28"/>
          <w:szCs w:val="28"/>
        </w:rPr>
        <w:t>六</w:t>
      </w:r>
      <w:r>
        <w:rPr>
          <w:b/>
          <w:color w:val="000000"/>
          <w:sz w:val="28"/>
          <w:szCs w:val="28"/>
        </w:rPr>
        <w:t>、</w:t>
      </w:r>
      <w:r>
        <w:rPr>
          <w:rFonts w:hint="eastAsia"/>
          <w:b/>
          <w:color w:val="000000"/>
          <w:sz w:val="28"/>
          <w:szCs w:val="28"/>
        </w:rPr>
        <w:t>重大分歧意见的处理经过和依据</w:t>
      </w:r>
      <w:bookmarkEnd w:id="16"/>
    </w:p>
    <w:p w:rsidR="00CB68D1" w:rsidRDefault="00000000">
      <w:pPr>
        <w:spacing w:beforeLines="50" w:before="156" w:line="360" w:lineRule="auto"/>
        <w:ind w:firstLine="482"/>
        <w:rPr>
          <w:sz w:val="24"/>
        </w:rPr>
      </w:pPr>
      <w:r>
        <w:rPr>
          <w:color w:val="000000"/>
          <w:sz w:val="24"/>
        </w:rPr>
        <w:t>无</w:t>
      </w:r>
      <w:r>
        <w:rPr>
          <w:sz w:val="24"/>
        </w:rPr>
        <w:t>。</w:t>
      </w:r>
    </w:p>
    <w:p w:rsidR="00CB68D1" w:rsidRDefault="00000000">
      <w:pPr>
        <w:spacing w:beforeLines="50" w:before="156" w:afterLines="50" w:after="156" w:line="440" w:lineRule="exact"/>
        <w:outlineLvl w:val="0"/>
        <w:rPr>
          <w:b/>
          <w:color w:val="000000"/>
          <w:sz w:val="28"/>
          <w:szCs w:val="28"/>
        </w:rPr>
      </w:pPr>
      <w:bookmarkStart w:id="17" w:name="_Toc26507"/>
      <w:r>
        <w:rPr>
          <w:b/>
          <w:color w:val="000000"/>
          <w:sz w:val="28"/>
          <w:szCs w:val="28"/>
        </w:rPr>
        <w:t>七、标准作为强制性或推荐性标准的意见</w:t>
      </w:r>
      <w:bookmarkEnd w:id="17"/>
    </w:p>
    <w:p w:rsidR="00CB68D1" w:rsidRDefault="00000000">
      <w:pPr>
        <w:spacing w:beforeLines="50" w:before="156" w:line="360" w:lineRule="auto"/>
        <w:ind w:firstLine="482"/>
        <w:rPr>
          <w:color w:val="000000"/>
          <w:sz w:val="24"/>
        </w:rPr>
      </w:pPr>
      <w:r>
        <w:rPr>
          <w:color w:val="000000"/>
          <w:sz w:val="24"/>
        </w:rPr>
        <w:t>建议将本标准作为推荐性标准发布实施，并加强标准的宣贯。</w:t>
      </w:r>
    </w:p>
    <w:p w:rsidR="00CB68D1" w:rsidRDefault="00000000">
      <w:pPr>
        <w:spacing w:beforeLines="50" w:before="156" w:afterLines="50" w:after="156" w:line="440" w:lineRule="exact"/>
        <w:outlineLvl w:val="0"/>
        <w:rPr>
          <w:b/>
          <w:color w:val="000000"/>
          <w:sz w:val="28"/>
          <w:szCs w:val="28"/>
        </w:rPr>
      </w:pPr>
      <w:bookmarkStart w:id="18" w:name="_Toc27632"/>
      <w:r>
        <w:rPr>
          <w:b/>
          <w:color w:val="000000"/>
          <w:sz w:val="28"/>
          <w:szCs w:val="28"/>
        </w:rPr>
        <w:t>八、贯彻标准的要求和措施建议</w:t>
      </w:r>
      <w:bookmarkEnd w:id="18"/>
    </w:p>
    <w:p w:rsidR="00CB68D1" w:rsidRDefault="00000000">
      <w:pPr>
        <w:spacing w:line="360" w:lineRule="auto"/>
        <w:ind w:firstLineChars="225" w:firstLine="540"/>
        <w:rPr>
          <w:sz w:val="24"/>
        </w:rPr>
      </w:pPr>
      <w:r>
        <w:rPr>
          <w:rFonts w:hint="eastAsia"/>
          <w:sz w:val="24"/>
        </w:rPr>
        <w:t>1</w:t>
      </w:r>
      <w:r>
        <w:rPr>
          <w:rFonts w:hint="eastAsia"/>
          <w:sz w:val="24"/>
        </w:rPr>
        <w:t>、</w:t>
      </w:r>
      <w:r>
        <w:rPr>
          <w:sz w:val="24"/>
        </w:rPr>
        <w:t>本标准属于</w:t>
      </w:r>
      <w:r>
        <w:rPr>
          <w:rFonts w:hint="eastAsia"/>
          <w:sz w:val="24"/>
        </w:rPr>
        <w:t>北京华夏草业产业技术创新战略联盟团体标准</w:t>
      </w:r>
      <w:r>
        <w:rPr>
          <w:sz w:val="24"/>
        </w:rPr>
        <w:t>，</w:t>
      </w:r>
      <w:r>
        <w:rPr>
          <w:rFonts w:hint="eastAsia"/>
          <w:sz w:val="24"/>
        </w:rPr>
        <w:t>为成功实施青贮饲用小黑麦可溶性碳水化合物含量检测</w:t>
      </w:r>
      <w:r>
        <w:rPr>
          <w:rFonts w:hAnsi="宋体" w:hint="eastAsia"/>
          <w:sz w:val="24"/>
        </w:rPr>
        <w:t>技术</w:t>
      </w:r>
      <w:r>
        <w:rPr>
          <w:rFonts w:hint="eastAsia"/>
          <w:sz w:val="24"/>
        </w:rPr>
        <w:t>，应认真执行本标准的相关技术要求。</w:t>
      </w:r>
    </w:p>
    <w:p w:rsidR="00CB68D1" w:rsidRDefault="00000000">
      <w:pPr>
        <w:spacing w:line="360" w:lineRule="auto"/>
        <w:ind w:firstLineChars="225" w:firstLine="540"/>
        <w:rPr>
          <w:sz w:val="24"/>
        </w:rPr>
      </w:pPr>
      <w:r>
        <w:rPr>
          <w:rFonts w:hint="eastAsia"/>
          <w:sz w:val="24"/>
        </w:rPr>
        <w:t>2</w:t>
      </w:r>
      <w:r>
        <w:rPr>
          <w:rFonts w:hint="eastAsia"/>
          <w:sz w:val="24"/>
        </w:rPr>
        <w:t>、应</w:t>
      </w:r>
      <w:r>
        <w:rPr>
          <w:sz w:val="24"/>
        </w:rPr>
        <w:t>加强对标准的宣传、讲解</w:t>
      </w:r>
      <w:r>
        <w:rPr>
          <w:rFonts w:hint="eastAsia"/>
          <w:sz w:val="24"/>
        </w:rPr>
        <w:t>和技术指导，促进实施者</w:t>
      </w:r>
      <w:r>
        <w:rPr>
          <w:sz w:val="24"/>
        </w:rPr>
        <w:t>熟练掌握标准中的技术规范，保证</w:t>
      </w:r>
      <w:r>
        <w:rPr>
          <w:rFonts w:hint="eastAsia"/>
          <w:sz w:val="24"/>
        </w:rPr>
        <w:t>本标准的广泛推广应用</w:t>
      </w:r>
      <w:r>
        <w:rPr>
          <w:sz w:val="24"/>
        </w:rPr>
        <w:t>。</w:t>
      </w:r>
    </w:p>
    <w:p w:rsidR="00CB68D1" w:rsidRDefault="00000000">
      <w:pPr>
        <w:spacing w:line="360" w:lineRule="auto"/>
        <w:ind w:firstLineChars="225" w:firstLine="540"/>
        <w:rPr>
          <w:sz w:val="24"/>
        </w:rPr>
      </w:pPr>
      <w:r>
        <w:rPr>
          <w:rFonts w:hint="eastAsia"/>
          <w:sz w:val="24"/>
        </w:rPr>
        <w:t>3</w:t>
      </w:r>
      <w:r>
        <w:rPr>
          <w:rFonts w:hint="eastAsia"/>
          <w:sz w:val="24"/>
        </w:rPr>
        <w:t>、</w:t>
      </w:r>
      <w:r>
        <w:rPr>
          <w:sz w:val="24"/>
        </w:rPr>
        <w:t>随着</w:t>
      </w:r>
      <w:r>
        <w:rPr>
          <w:rFonts w:hint="eastAsia"/>
          <w:sz w:val="24"/>
        </w:rPr>
        <w:t>科技发展，本标准中的技术规范势必会出现过时的情况，也会出现新的技术要求，因此本</w:t>
      </w:r>
      <w:r>
        <w:rPr>
          <w:sz w:val="24"/>
        </w:rPr>
        <w:t>标准执行过程中</w:t>
      </w:r>
      <w:r>
        <w:rPr>
          <w:rFonts w:hint="eastAsia"/>
          <w:sz w:val="24"/>
        </w:rPr>
        <w:t>要不断对</w:t>
      </w:r>
      <w:r>
        <w:rPr>
          <w:sz w:val="24"/>
        </w:rPr>
        <w:t>内容进行修订</w:t>
      </w:r>
      <w:r>
        <w:rPr>
          <w:rFonts w:hint="eastAsia"/>
          <w:sz w:val="24"/>
        </w:rPr>
        <w:t>和补充</w:t>
      </w:r>
      <w:r>
        <w:rPr>
          <w:sz w:val="24"/>
        </w:rPr>
        <w:t>。</w:t>
      </w:r>
    </w:p>
    <w:p w:rsidR="00CB68D1" w:rsidRDefault="00000000">
      <w:pPr>
        <w:spacing w:line="360" w:lineRule="auto"/>
        <w:ind w:firstLine="482"/>
        <w:rPr>
          <w:sz w:val="24"/>
        </w:rPr>
      </w:pPr>
      <w:r>
        <w:rPr>
          <w:rFonts w:hint="eastAsia"/>
          <w:sz w:val="24"/>
        </w:rPr>
        <w:t>4</w:t>
      </w:r>
      <w:r>
        <w:rPr>
          <w:rFonts w:hint="eastAsia"/>
          <w:sz w:val="24"/>
        </w:rPr>
        <w:t>、</w:t>
      </w:r>
      <w:r>
        <w:rPr>
          <w:sz w:val="24"/>
        </w:rPr>
        <w:t>希望</w:t>
      </w:r>
      <w:r>
        <w:rPr>
          <w:rFonts w:hint="eastAsia"/>
          <w:sz w:val="24"/>
        </w:rPr>
        <w:t>应用本标准的</w:t>
      </w:r>
      <w:r>
        <w:rPr>
          <w:sz w:val="24"/>
        </w:rPr>
        <w:t>单位</w:t>
      </w:r>
      <w:r>
        <w:rPr>
          <w:rFonts w:hint="eastAsia"/>
          <w:sz w:val="24"/>
        </w:rPr>
        <w:t>在使用过程中</w:t>
      </w:r>
      <w:r>
        <w:rPr>
          <w:sz w:val="24"/>
        </w:rPr>
        <w:t>对</w:t>
      </w:r>
      <w:r>
        <w:rPr>
          <w:rFonts w:hint="eastAsia"/>
          <w:sz w:val="24"/>
        </w:rPr>
        <w:t>其</w:t>
      </w:r>
      <w:r>
        <w:rPr>
          <w:sz w:val="24"/>
        </w:rPr>
        <w:t>中出现的问题</w:t>
      </w:r>
      <w:r>
        <w:rPr>
          <w:rFonts w:hint="eastAsia"/>
          <w:sz w:val="24"/>
        </w:rPr>
        <w:t>和不足</w:t>
      </w:r>
      <w:r>
        <w:rPr>
          <w:sz w:val="24"/>
        </w:rPr>
        <w:t>给予反馈，以便</w:t>
      </w:r>
      <w:r>
        <w:rPr>
          <w:rFonts w:hint="eastAsia"/>
          <w:sz w:val="24"/>
        </w:rPr>
        <w:t>再进行</w:t>
      </w:r>
      <w:r>
        <w:rPr>
          <w:sz w:val="24"/>
        </w:rPr>
        <w:t>修订</w:t>
      </w:r>
      <w:r>
        <w:rPr>
          <w:rFonts w:hint="eastAsia"/>
          <w:sz w:val="24"/>
        </w:rPr>
        <w:t>和</w:t>
      </w:r>
      <w:r>
        <w:rPr>
          <w:sz w:val="24"/>
        </w:rPr>
        <w:t>补充。</w:t>
      </w:r>
    </w:p>
    <w:p w:rsidR="00CB68D1" w:rsidRDefault="00000000">
      <w:pPr>
        <w:spacing w:line="360" w:lineRule="auto"/>
        <w:ind w:firstLine="482"/>
        <w:rPr>
          <w:color w:val="000000"/>
          <w:sz w:val="24"/>
        </w:rPr>
      </w:pPr>
      <w:r>
        <w:rPr>
          <w:rFonts w:hint="eastAsia"/>
          <w:sz w:val="24"/>
        </w:rPr>
        <w:t>5</w:t>
      </w:r>
      <w:r>
        <w:rPr>
          <w:rFonts w:hint="eastAsia"/>
          <w:sz w:val="24"/>
        </w:rPr>
        <w:t>、</w:t>
      </w:r>
      <w:r>
        <w:rPr>
          <w:color w:val="000000"/>
          <w:sz w:val="24"/>
        </w:rPr>
        <w:t>组织学习</w:t>
      </w:r>
      <w:r>
        <w:rPr>
          <w:rFonts w:hint="eastAsia"/>
          <w:color w:val="000000"/>
          <w:sz w:val="24"/>
        </w:rPr>
        <w:t>团体</w:t>
      </w:r>
      <w:r>
        <w:rPr>
          <w:color w:val="000000"/>
          <w:sz w:val="24"/>
        </w:rPr>
        <w:t>标准，加大对标准的宣传及贯彻力度，标准委员会作为企业之间的桥梁，做好沟通，推进行业的进一步发展。</w:t>
      </w:r>
    </w:p>
    <w:p w:rsidR="00CB68D1" w:rsidRDefault="00000000">
      <w:pPr>
        <w:spacing w:beforeLines="50" w:before="156" w:afterLines="50" w:after="156" w:line="440" w:lineRule="exact"/>
        <w:outlineLvl w:val="0"/>
        <w:rPr>
          <w:b/>
          <w:color w:val="000000"/>
          <w:sz w:val="28"/>
          <w:szCs w:val="28"/>
        </w:rPr>
      </w:pPr>
      <w:bookmarkStart w:id="19" w:name="_Toc25128"/>
      <w:r>
        <w:rPr>
          <w:b/>
          <w:color w:val="000000"/>
          <w:sz w:val="28"/>
          <w:szCs w:val="28"/>
        </w:rPr>
        <w:lastRenderedPageBreak/>
        <w:t>九、废止现行有关标准的建议</w:t>
      </w:r>
      <w:bookmarkEnd w:id="19"/>
    </w:p>
    <w:p w:rsidR="00CB68D1" w:rsidRDefault="00000000">
      <w:pPr>
        <w:spacing w:beforeLines="50" w:before="156" w:line="360" w:lineRule="auto"/>
        <w:ind w:firstLine="482"/>
        <w:rPr>
          <w:color w:val="000000"/>
          <w:sz w:val="24"/>
        </w:rPr>
      </w:pPr>
      <w:r>
        <w:rPr>
          <w:color w:val="000000"/>
          <w:sz w:val="24"/>
        </w:rPr>
        <w:t>无。</w:t>
      </w:r>
    </w:p>
    <w:p w:rsidR="00CB68D1" w:rsidRDefault="00000000">
      <w:pPr>
        <w:spacing w:beforeLines="50" w:before="156" w:afterLines="50" w:after="156" w:line="440" w:lineRule="exact"/>
        <w:outlineLvl w:val="0"/>
        <w:rPr>
          <w:b/>
          <w:color w:val="000000"/>
          <w:sz w:val="28"/>
          <w:szCs w:val="28"/>
        </w:rPr>
      </w:pPr>
      <w:bookmarkStart w:id="20" w:name="_Toc9464"/>
      <w:r>
        <w:rPr>
          <w:b/>
          <w:color w:val="000000"/>
          <w:sz w:val="28"/>
          <w:szCs w:val="28"/>
        </w:rPr>
        <w:t>十、其他应予说明的事项</w:t>
      </w:r>
      <w:bookmarkEnd w:id="20"/>
    </w:p>
    <w:p w:rsidR="00CB68D1" w:rsidRDefault="00000000">
      <w:pPr>
        <w:spacing w:beforeLines="50" w:before="156" w:line="360" w:lineRule="auto"/>
        <w:ind w:firstLine="482"/>
        <w:rPr>
          <w:color w:val="000000"/>
          <w:sz w:val="24"/>
        </w:rPr>
      </w:pPr>
      <w:r>
        <w:rPr>
          <w:color w:val="000000"/>
          <w:sz w:val="24"/>
        </w:rPr>
        <w:t>无。</w:t>
      </w:r>
    </w:p>
    <w:sectPr w:rsidR="00CB68D1">
      <w:footerReference w:type="even" r:id="rId15"/>
      <w:footerReference w:type="default" r:id="rId16"/>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842B1" w:rsidRDefault="007842B1">
      <w:r>
        <w:separator/>
      </w:r>
    </w:p>
  </w:endnote>
  <w:endnote w:type="continuationSeparator" w:id="0">
    <w:p w:rsidR="007842B1" w:rsidRDefault="00784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68D1" w:rsidRDefault="00000000">
    <w:pPr>
      <w:pStyle w:val="a8"/>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CB68D1" w:rsidRDefault="00CB68D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B68D1" w:rsidRDefault="00000000">
    <w:pPr>
      <w:pStyle w:val="a8"/>
      <w:jc w:val="center"/>
    </w:pPr>
    <w:r>
      <w:fldChar w:fldCharType="begin"/>
    </w:r>
    <w:r>
      <w:instrText xml:space="preserve"> PAGE   \* MERGEFORMAT </w:instrText>
    </w:r>
    <w:r>
      <w:fldChar w:fldCharType="separate"/>
    </w:r>
    <w:r>
      <w:rPr>
        <w:lang w:val="zh-CN"/>
      </w:rPr>
      <w:t>8</w:t>
    </w:r>
    <w:r>
      <w:rPr>
        <w:lang w:val="zh-CN"/>
      </w:rPr>
      <w:fldChar w:fldCharType="end"/>
    </w:r>
  </w:p>
  <w:p w:rsidR="00CB68D1" w:rsidRDefault="00CB68D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842B1" w:rsidRDefault="007842B1">
      <w:r>
        <w:separator/>
      </w:r>
    </w:p>
  </w:footnote>
  <w:footnote w:type="continuationSeparator" w:id="0">
    <w:p w:rsidR="007842B1" w:rsidRDefault="00784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EB5F88"/>
    <w:multiLevelType w:val="multilevel"/>
    <w:tmpl w:val="25EB5F88"/>
    <w:lvl w:ilvl="0">
      <w:start w:val="1"/>
      <w:numFmt w:val="japaneseCounting"/>
      <w:lvlText w:val="%1、"/>
      <w:lvlJc w:val="left"/>
      <w:pPr>
        <w:ind w:left="576" w:hanging="576"/>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5081028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669"/>
    <w:rsid w:val="00011A6E"/>
    <w:rsid w:val="000155DB"/>
    <w:rsid w:val="00017D16"/>
    <w:rsid w:val="000277D2"/>
    <w:rsid w:val="000308A3"/>
    <w:rsid w:val="0003208C"/>
    <w:rsid w:val="00032402"/>
    <w:rsid w:val="00036A34"/>
    <w:rsid w:val="000429E1"/>
    <w:rsid w:val="000434FB"/>
    <w:rsid w:val="00044247"/>
    <w:rsid w:val="0004735E"/>
    <w:rsid w:val="00057930"/>
    <w:rsid w:val="000610CF"/>
    <w:rsid w:val="00061E22"/>
    <w:rsid w:val="00072AF6"/>
    <w:rsid w:val="00075E72"/>
    <w:rsid w:val="00076D67"/>
    <w:rsid w:val="000B474F"/>
    <w:rsid w:val="000C6CBF"/>
    <w:rsid w:val="000E0375"/>
    <w:rsid w:val="000E2146"/>
    <w:rsid w:val="000F7801"/>
    <w:rsid w:val="00112EE8"/>
    <w:rsid w:val="00126374"/>
    <w:rsid w:val="0013098F"/>
    <w:rsid w:val="001372F7"/>
    <w:rsid w:val="00137BD4"/>
    <w:rsid w:val="00140742"/>
    <w:rsid w:val="00147E5E"/>
    <w:rsid w:val="001622EE"/>
    <w:rsid w:val="00173D9B"/>
    <w:rsid w:val="0017441B"/>
    <w:rsid w:val="00174CA3"/>
    <w:rsid w:val="00177CAF"/>
    <w:rsid w:val="001877A5"/>
    <w:rsid w:val="001A3DFC"/>
    <w:rsid w:val="001A3E3C"/>
    <w:rsid w:val="001A6550"/>
    <w:rsid w:val="001D0503"/>
    <w:rsid w:val="001D1FE7"/>
    <w:rsid w:val="001E428B"/>
    <w:rsid w:val="001E72A2"/>
    <w:rsid w:val="001F1BFE"/>
    <w:rsid w:val="001F5979"/>
    <w:rsid w:val="001F6496"/>
    <w:rsid w:val="002178E9"/>
    <w:rsid w:val="002313E0"/>
    <w:rsid w:val="00231604"/>
    <w:rsid w:val="00232FFF"/>
    <w:rsid w:val="00236ED1"/>
    <w:rsid w:val="00237F30"/>
    <w:rsid w:val="00240E83"/>
    <w:rsid w:val="00243F5B"/>
    <w:rsid w:val="00246C40"/>
    <w:rsid w:val="00251599"/>
    <w:rsid w:val="002538BD"/>
    <w:rsid w:val="00255BC8"/>
    <w:rsid w:val="00257498"/>
    <w:rsid w:val="00266508"/>
    <w:rsid w:val="002679DB"/>
    <w:rsid w:val="002A2BE5"/>
    <w:rsid w:val="002A38D8"/>
    <w:rsid w:val="002B5E17"/>
    <w:rsid w:val="002C3275"/>
    <w:rsid w:val="002C5FEC"/>
    <w:rsid w:val="002D17E1"/>
    <w:rsid w:val="002E35C6"/>
    <w:rsid w:val="002F1A92"/>
    <w:rsid w:val="002F773B"/>
    <w:rsid w:val="002F78D3"/>
    <w:rsid w:val="0031118A"/>
    <w:rsid w:val="00315468"/>
    <w:rsid w:val="00323071"/>
    <w:rsid w:val="00324544"/>
    <w:rsid w:val="0033768E"/>
    <w:rsid w:val="00353076"/>
    <w:rsid w:val="00353A1C"/>
    <w:rsid w:val="00355292"/>
    <w:rsid w:val="00357EA9"/>
    <w:rsid w:val="003616FA"/>
    <w:rsid w:val="00363F2D"/>
    <w:rsid w:val="0036445F"/>
    <w:rsid w:val="003647ED"/>
    <w:rsid w:val="0036609E"/>
    <w:rsid w:val="00371521"/>
    <w:rsid w:val="00377593"/>
    <w:rsid w:val="00384379"/>
    <w:rsid w:val="00391303"/>
    <w:rsid w:val="00397219"/>
    <w:rsid w:val="003A3F07"/>
    <w:rsid w:val="003B3E59"/>
    <w:rsid w:val="003B4101"/>
    <w:rsid w:val="003B4925"/>
    <w:rsid w:val="003C0E69"/>
    <w:rsid w:val="003C7461"/>
    <w:rsid w:val="003D08C8"/>
    <w:rsid w:val="003E41F0"/>
    <w:rsid w:val="003E6613"/>
    <w:rsid w:val="004008BE"/>
    <w:rsid w:val="00401F02"/>
    <w:rsid w:val="00412FA3"/>
    <w:rsid w:val="004137FF"/>
    <w:rsid w:val="00416243"/>
    <w:rsid w:val="00416669"/>
    <w:rsid w:val="004178B5"/>
    <w:rsid w:val="004262B4"/>
    <w:rsid w:val="00434FDA"/>
    <w:rsid w:val="00435CE9"/>
    <w:rsid w:val="0043644F"/>
    <w:rsid w:val="004369B7"/>
    <w:rsid w:val="00441546"/>
    <w:rsid w:val="00441DDE"/>
    <w:rsid w:val="00443A22"/>
    <w:rsid w:val="00445B49"/>
    <w:rsid w:val="0045024A"/>
    <w:rsid w:val="004558C5"/>
    <w:rsid w:val="0048331E"/>
    <w:rsid w:val="00487233"/>
    <w:rsid w:val="00487AD2"/>
    <w:rsid w:val="004A3AE7"/>
    <w:rsid w:val="004A4D6E"/>
    <w:rsid w:val="004B6B44"/>
    <w:rsid w:val="004C3612"/>
    <w:rsid w:val="004C40C4"/>
    <w:rsid w:val="004C500C"/>
    <w:rsid w:val="004C7768"/>
    <w:rsid w:val="004D3A8C"/>
    <w:rsid w:val="004D6991"/>
    <w:rsid w:val="004D7696"/>
    <w:rsid w:val="004E670F"/>
    <w:rsid w:val="004F338A"/>
    <w:rsid w:val="004F736A"/>
    <w:rsid w:val="004F7B86"/>
    <w:rsid w:val="0052517E"/>
    <w:rsid w:val="00530419"/>
    <w:rsid w:val="00532393"/>
    <w:rsid w:val="00532D0E"/>
    <w:rsid w:val="00541460"/>
    <w:rsid w:val="0055067B"/>
    <w:rsid w:val="0055090C"/>
    <w:rsid w:val="005573B1"/>
    <w:rsid w:val="00564B6D"/>
    <w:rsid w:val="00571E77"/>
    <w:rsid w:val="0057251D"/>
    <w:rsid w:val="00576CFC"/>
    <w:rsid w:val="005850C6"/>
    <w:rsid w:val="00594619"/>
    <w:rsid w:val="00595AF8"/>
    <w:rsid w:val="0059745A"/>
    <w:rsid w:val="00597601"/>
    <w:rsid w:val="005A3DE9"/>
    <w:rsid w:val="005C1DB7"/>
    <w:rsid w:val="005D70F9"/>
    <w:rsid w:val="005E547A"/>
    <w:rsid w:val="005F21F2"/>
    <w:rsid w:val="005F603F"/>
    <w:rsid w:val="006136A1"/>
    <w:rsid w:val="00613B1E"/>
    <w:rsid w:val="00617DE2"/>
    <w:rsid w:val="00617E82"/>
    <w:rsid w:val="006237C9"/>
    <w:rsid w:val="006274F4"/>
    <w:rsid w:val="006359DA"/>
    <w:rsid w:val="00642959"/>
    <w:rsid w:val="00644454"/>
    <w:rsid w:val="0064625B"/>
    <w:rsid w:val="00647006"/>
    <w:rsid w:val="00660994"/>
    <w:rsid w:val="006615F3"/>
    <w:rsid w:val="00662C30"/>
    <w:rsid w:val="00673243"/>
    <w:rsid w:val="00676D14"/>
    <w:rsid w:val="00677237"/>
    <w:rsid w:val="006777E2"/>
    <w:rsid w:val="006801B7"/>
    <w:rsid w:val="006857EB"/>
    <w:rsid w:val="006876D1"/>
    <w:rsid w:val="006973F8"/>
    <w:rsid w:val="006A1145"/>
    <w:rsid w:val="006B0540"/>
    <w:rsid w:val="006B6D23"/>
    <w:rsid w:val="006C52CD"/>
    <w:rsid w:val="006D3074"/>
    <w:rsid w:val="006D5BF9"/>
    <w:rsid w:val="006E0E00"/>
    <w:rsid w:val="006E6EC1"/>
    <w:rsid w:val="006F1DD4"/>
    <w:rsid w:val="006F3702"/>
    <w:rsid w:val="006F6FDF"/>
    <w:rsid w:val="00701F8B"/>
    <w:rsid w:val="007038ED"/>
    <w:rsid w:val="00706039"/>
    <w:rsid w:val="007227A4"/>
    <w:rsid w:val="00722A10"/>
    <w:rsid w:val="00732883"/>
    <w:rsid w:val="007508FD"/>
    <w:rsid w:val="0075399B"/>
    <w:rsid w:val="00762B2A"/>
    <w:rsid w:val="00762CAF"/>
    <w:rsid w:val="007665CB"/>
    <w:rsid w:val="00777351"/>
    <w:rsid w:val="007842B1"/>
    <w:rsid w:val="00792549"/>
    <w:rsid w:val="00793A3A"/>
    <w:rsid w:val="007964D0"/>
    <w:rsid w:val="007A1632"/>
    <w:rsid w:val="007A1885"/>
    <w:rsid w:val="007B11B3"/>
    <w:rsid w:val="007B75B7"/>
    <w:rsid w:val="007E5C94"/>
    <w:rsid w:val="007F6127"/>
    <w:rsid w:val="007F7B8C"/>
    <w:rsid w:val="008114DA"/>
    <w:rsid w:val="008127BC"/>
    <w:rsid w:val="00814B61"/>
    <w:rsid w:val="008242BD"/>
    <w:rsid w:val="0082475F"/>
    <w:rsid w:val="00827333"/>
    <w:rsid w:val="00835A6F"/>
    <w:rsid w:val="00835A73"/>
    <w:rsid w:val="00836F37"/>
    <w:rsid w:val="00844B8B"/>
    <w:rsid w:val="00847886"/>
    <w:rsid w:val="00847A63"/>
    <w:rsid w:val="008535A7"/>
    <w:rsid w:val="00855E68"/>
    <w:rsid w:val="00860918"/>
    <w:rsid w:val="0086606A"/>
    <w:rsid w:val="008678ED"/>
    <w:rsid w:val="00873984"/>
    <w:rsid w:val="00877C10"/>
    <w:rsid w:val="0088082F"/>
    <w:rsid w:val="008823C1"/>
    <w:rsid w:val="008961C2"/>
    <w:rsid w:val="008962BA"/>
    <w:rsid w:val="00897E59"/>
    <w:rsid w:val="008A2E71"/>
    <w:rsid w:val="008A3069"/>
    <w:rsid w:val="008A49C3"/>
    <w:rsid w:val="008B3504"/>
    <w:rsid w:val="008B7E15"/>
    <w:rsid w:val="008C3EDA"/>
    <w:rsid w:val="008C5B77"/>
    <w:rsid w:val="008E5F14"/>
    <w:rsid w:val="008E5F71"/>
    <w:rsid w:val="008E66D9"/>
    <w:rsid w:val="008F2E1B"/>
    <w:rsid w:val="008F48B8"/>
    <w:rsid w:val="008F773A"/>
    <w:rsid w:val="00904055"/>
    <w:rsid w:val="00907DBA"/>
    <w:rsid w:val="0091549B"/>
    <w:rsid w:val="009215F0"/>
    <w:rsid w:val="00922670"/>
    <w:rsid w:val="00935406"/>
    <w:rsid w:val="00940FB6"/>
    <w:rsid w:val="00945B8A"/>
    <w:rsid w:val="0095204F"/>
    <w:rsid w:val="0095404A"/>
    <w:rsid w:val="00973876"/>
    <w:rsid w:val="00980FDD"/>
    <w:rsid w:val="009812CC"/>
    <w:rsid w:val="009966C3"/>
    <w:rsid w:val="0099687E"/>
    <w:rsid w:val="009A13B4"/>
    <w:rsid w:val="009A300F"/>
    <w:rsid w:val="009B09CB"/>
    <w:rsid w:val="009C1890"/>
    <w:rsid w:val="009C1E98"/>
    <w:rsid w:val="009D05F7"/>
    <w:rsid w:val="009E25E4"/>
    <w:rsid w:val="009F110C"/>
    <w:rsid w:val="009F31FF"/>
    <w:rsid w:val="009F37E9"/>
    <w:rsid w:val="009F64A3"/>
    <w:rsid w:val="00A03066"/>
    <w:rsid w:val="00A1717E"/>
    <w:rsid w:val="00A21B84"/>
    <w:rsid w:val="00A21FFE"/>
    <w:rsid w:val="00A255CB"/>
    <w:rsid w:val="00A26331"/>
    <w:rsid w:val="00A27F7F"/>
    <w:rsid w:val="00A306AC"/>
    <w:rsid w:val="00A447CB"/>
    <w:rsid w:val="00A44C95"/>
    <w:rsid w:val="00A464AD"/>
    <w:rsid w:val="00A46547"/>
    <w:rsid w:val="00A542B0"/>
    <w:rsid w:val="00A5557B"/>
    <w:rsid w:val="00A56B82"/>
    <w:rsid w:val="00A61E74"/>
    <w:rsid w:val="00A75672"/>
    <w:rsid w:val="00A8486E"/>
    <w:rsid w:val="00AA7CED"/>
    <w:rsid w:val="00AB1FC9"/>
    <w:rsid w:val="00AB4133"/>
    <w:rsid w:val="00AB46A2"/>
    <w:rsid w:val="00AD492B"/>
    <w:rsid w:val="00AD5C1F"/>
    <w:rsid w:val="00AD5E18"/>
    <w:rsid w:val="00AD78F8"/>
    <w:rsid w:val="00AE1937"/>
    <w:rsid w:val="00AE3591"/>
    <w:rsid w:val="00AE35CB"/>
    <w:rsid w:val="00B04616"/>
    <w:rsid w:val="00B072C7"/>
    <w:rsid w:val="00B101AB"/>
    <w:rsid w:val="00B27E34"/>
    <w:rsid w:val="00B30B48"/>
    <w:rsid w:val="00B337E6"/>
    <w:rsid w:val="00B34441"/>
    <w:rsid w:val="00B34D79"/>
    <w:rsid w:val="00B36B7A"/>
    <w:rsid w:val="00B438C1"/>
    <w:rsid w:val="00B559A4"/>
    <w:rsid w:val="00B63763"/>
    <w:rsid w:val="00B64AB8"/>
    <w:rsid w:val="00B81410"/>
    <w:rsid w:val="00B915FB"/>
    <w:rsid w:val="00BA2455"/>
    <w:rsid w:val="00BA2A59"/>
    <w:rsid w:val="00BA706B"/>
    <w:rsid w:val="00BB0513"/>
    <w:rsid w:val="00BB71D2"/>
    <w:rsid w:val="00BC0C02"/>
    <w:rsid w:val="00BC28C6"/>
    <w:rsid w:val="00BC58A5"/>
    <w:rsid w:val="00BC5C16"/>
    <w:rsid w:val="00BD1027"/>
    <w:rsid w:val="00BD385F"/>
    <w:rsid w:val="00BD39E2"/>
    <w:rsid w:val="00BD3CA0"/>
    <w:rsid w:val="00BD724E"/>
    <w:rsid w:val="00BE3F98"/>
    <w:rsid w:val="00BF0C0C"/>
    <w:rsid w:val="00BF1329"/>
    <w:rsid w:val="00BF72F5"/>
    <w:rsid w:val="00BF7605"/>
    <w:rsid w:val="00C04DE6"/>
    <w:rsid w:val="00C0677E"/>
    <w:rsid w:val="00C152D7"/>
    <w:rsid w:val="00C16421"/>
    <w:rsid w:val="00C22140"/>
    <w:rsid w:val="00C25951"/>
    <w:rsid w:val="00C31237"/>
    <w:rsid w:val="00C35D5A"/>
    <w:rsid w:val="00C42D41"/>
    <w:rsid w:val="00C43B8F"/>
    <w:rsid w:val="00C43FAD"/>
    <w:rsid w:val="00C45F48"/>
    <w:rsid w:val="00C474C8"/>
    <w:rsid w:val="00C5158C"/>
    <w:rsid w:val="00C54D42"/>
    <w:rsid w:val="00C642A1"/>
    <w:rsid w:val="00C679AC"/>
    <w:rsid w:val="00C81D94"/>
    <w:rsid w:val="00C81EB5"/>
    <w:rsid w:val="00C90E30"/>
    <w:rsid w:val="00C9570B"/>
    <w:rsid w:val="00CA1927"/>
    <w:rsid w:val="00CA2F49"/>
    <w:rsid w:val="00CA3AB7"/>
    <w:rsid w:val="00CA74DA"/>
    <w:rsid w:val="00CB68D1"/>
    <w:rsid w:val="00CC6366"/>
    <w:rsid w:val="00CD6231"/>
    <w:rsid w:val="00CE53AB"/>
    <w:rsid w:val="00D00CC8"/>
    <w:rsid w:val="00D1359F"/>
    <w:rsid w:val="00D13ABF"/>
    <w:rsid w:val="00D253BE"/>
    <w:rsid w:val="00D31481"/>
    <w:rsid w:val="00D3529E"/>
    <w:rsid w:val="00D372F3"/>
    <w:rsid w:val="00D46C7C"/>
    <w:rsid w:val="00D46F1D"/>
    <w:rsid w:val="00D47FC2"/>
    <w:rsid w:val="00D53C06"/>
    <w:rsid w:val="00D60D26"/>
    <w:rsid w:val="00D60EB5"/>
    <w:rsid w:val="00D749ED"/>
    <w:rsid w:val="00D81CB9"/>
    <w:rsid w:val="00D90078"/>
    <w:rsid w:val="00D9528D"/>
    <w:rsid w:val="00DA3ED9"/>
    <w:rsid w:val="00DA4986"/>
    <w:rsid w:val="00DC4F97"/>
    <w:rsid w:val="00DD550E"/>
    <w:rsid w:val="00DD56EA"/>
    <w:rsid w:val="00DD694C"/>
    <w:rsid w:val="00DF2D26"/>
    <w:rsid w:val="00DF666A"/>
    <w:rsid w:val="00DF6EA3"/>
    <w:rsid w:val="00E05547"/>
    <w:rsid w:val="00E1686F"/>
    <w:rsid w:val="00E2469A"/>
    <w:rsid w:val="00E33DCF"/>
    <w:rsid w:val="00E373AD"/>
    <w:rsid w:val="00E4008B"/>
    <w:rsid w:val="00E4036C"/>
    <w:rsid w:val="00E418B3"/>
    <w:rsid w:val="00E43B53"/>
    <w:rsid w:val="00E52D55"/>
    <w:rsid w:val="00E56FB6"/>
    <w:rsid w:val="00E57815"/>
    <w:rsid w:val="00E62DD5"/>
    <w:rsid w:val="00E8551F"/>
    <w:rsid w:val="00E93DBA"/>
    <w:rsid w:val="00E9519E"/>
    <w:rsid w:val="00E967AE"/>
    <w:rsid w:val="00EA285F"/>
    <w:rsid w:val="00EE1047"/>
    <w:rsid w:val="00EE36A1"/>
    <w:rsid w:val="00EF0176"/>
    <w:rsid w:val="00EF4463"/>
    <w:rsid w:val="00F10D01"/>
    <w:rsid w:val="00F11633"/>
    <w:rsid w:val="00F143A4"/>
    <w:rsid w:val="00F21D5B"/>
    <w:rsid w:val="00F2339E"/>
    <w:rsid w:val="00F33865"/>
    <w:rsid w:val="00F4018F"/>
    <w:rsid w:val="00F46585"/>
    <w:rsid w:val="00F465B9"/>
    <w:rsid w:val="00F50FA6"/>
    <w:rsid w:val="00F62E99"/>
    <w:rsid w:val="00F65A3A"/>
    <w:rsid w:val="00F70A79"/>
    <w:rsid w:val="00F72D05"/>
    <w:rsid w:val="00F73820"/>
    <w:rsid w:val="00F74102"/>
    <w:rsid w:val="00F75167"/>
    <w:rsid w:val="00F765AB"/>
    <w:rsid w:val="00F810F1"/>
    <w:rsid w:val="00F85661"/>
    <w:rsid w:val="00F92B40"/>
    <w:rsid w:val="00F938C1"/>
    <w:rsid w:val="00FA3307"/>
    <w:rsid w:val="00FA79BC"/>
    <w:rsid w:val="00FB04BF"/>
    <w:rsid w:val="00FB5B64"/>
    <w:rsid w:val="00FC2299"/>
    <w:rsid w:val="00FD2844"/>
    <w:rsid w:val="00FD4EFA"/>
    <w:rsid w:val="00FD6B91"/>
    <w:rsid w:val="00FE01AF"/>
    <w:rsid w:val="00FE6C94"/>
    <w:rsid w:val="00FF48BF"/>
    <w:rsid w:val="00FF5684"/>
    <w:rsid w:val="02D3570F"/>
    <w:rsid w:val="04C86F76"/>
    <w:rsid w:val="079738D5"/>
    <w:rsid w:val="1B3A4C82"/>
    <w:rsid w:val="1E711A49"/>
    <w:rsid w:val="219D697D"/>
    <w:rsid w:val="271E5BA0"/>
    <w:rsid w:val="30A071CD"/>
    <w:rsid w:val="35D66C79"/>
    <w:rsid w:val="363F0E23"/>
    <w:rsid w:val="3EF33504"/>
    <w:rsid w:val="4267137F"/>
    <w:rsid w:val="44647BB5"/>
    <w:rsid w:val="4AD420FB"/>
    <w:rsid w:val="515C3A64"/>
    <w:rsid w:val="52BD4306"/>
    <w:rsid w:val="52F43E08"/>
    <w:rsid w:val="5420452F"/>
    <w:rsid w:val="58983803"/>
    <w:rsid w:val="723F0FD5"/>
    <w:rsid w:val="743845A7"/>
    <w:rsid w:val="77785FC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319106"/>
  <w15:docId w15:val="{FFBF60C5-5863-4F9B-817A-DA174C8D3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4B8B"/>
    <w:pPr>
      <w:widowControl w:val="0"/>
      <w:jc w:val="both"/>
    </w:pPr>
    <w:rPr>
      <w:kern w:val="2"/>
      <w:sz w:val="21"/>
      <w:szCs w:val="21"/>
    </w:rPr>
  </w:style>
  <w:style w:type="paragraph" w:styleId="1">
    <w:name w:val="heading 1"/>
    <w:basedOn w:val="a"/>
    <w:next w:val="a"/>
    <w:link w:val="10"/>
    <w:qFormat/>
    <w:pPr>
      <w:keepNext/>
      <w:keepLines/>
      <w:spacing w:before="340" w:after="330" w:line="578" w:lineRule="auto"/>
      <w:outlineLvl w:val="0"/>
    </w:pPr>
    <w:rPr>
      <w:rFonts w:ascii="Calibri" w:hAnsi="Calibri"/>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pPr>
      <w:ind w:leftChars="400" w:left="840"/>
    </w:pPr>
  </w:style>
  <w:style w:type="paragraph" w:styleId="a3">
    <w:name w:val="Plain Text"/>
    <w:basedOn w:val="a"/>
    <w:uiPriority w:val="99"/>
    <w:qFormat/>
    <w:rPr>
      <w:rFonts w:ascii="宋体" w:hAnsi="Courier New" w:cs="宋体"/>
    </w:rPr>
  </w:style>
  <w:style w:type="paragraph" w:styleId="a4">
    <w:name w:val="Date"/>
    <w:basedOn w:val="a"/>
    <w:next w:val="a"/>
    <w:link w:val="a5"/>
    <w:qFormat/>
    <w:pPr>
      <w:ind w:leftChars="2500" w:left="100"/>
    </w:pPr>
    <w:rPr>
      <w:szCs w:val="24"/>
    </w:rPr>
  </w:style>
  <w:style w:type="paragraph" w:styleId="a6">
    <w:name w:val="Balloon Text"/>
    <w:basedOn w:val="a"/>
    <w:link w:val="a7"/>
    <w:semiHidden/>
    <w:unhideWhenUsed/>
    <w:qFormat/>
    <w:rPr>
      <w:sz w:val="18"/>
      <w:szCs w:val="18"/>
    </w:rPr>
  </w:style>
  <w:style w:type="paragraph" w:styleId="a8">
    <w:name w:val="footer"/>
    <w:basedOn w:val="a"/>
    <w:link w:val="a9"/>
    <w:uiPriority w:val="99"/>
    <w:unhideWhenUsed/>
    <w:qFormat/>
    <w:pPr>
      <w:tabs>
        <w:tab w:val="center" w:pos="4153"/>
        <w:tab w:val="right" w:pos="8306"/>
      </w:tabs>
      <w:snapToGrid w:val="0"/>
      <w:jc w:val="left"/>
    </w:pPr>
    <w:rPr>
      <w:sz w:val="18"/>
      <w:szCs w:val="18"/>
    </w:rPr>
  </w:style>
  <w:style w:type="paragraph" w:styleId="aa">
    <w:name w:val="header"/>
    <w:basedOn w:val="a"/>
    <w:link w:val="ab"/>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pPr>
      <w:tabs>
        <w:tab w:val="right" w:leader="dot" w:pos="8296"/>
      </w:tabs>
      <w:spacing w:beforeLines="50" w:before="156" w:line="360" w:lineRule="auto"/>
    </w:pPr>
  </w:style>
  <w:style w:type="paragraph" w:styleId="TOC2">
    <w:name w:val="toc 2"/>
    <w:basedOn w:val="a"/>
    <w:next w:val="a"/>
    <w:uiPriority w:val="39"/>
    <w:semiHidden/>
    <w:unhideWhenUsed/>
    <w:pPr>
      <w:ind w:leftChars="200" w:left="420"/>
    </w:pPr>
  </w:style>
  <w:style w:type="paragraph" w:styleId="ac">
    <w:name w:val="Normal (Web)"/>
    <w:basedOn w:val="a"/>
    <w:uiPriority w:val="99"/>
    <w:semiHidden/>
    <w:unhideWhenUsed/>
    <w:qFormat/>
    <w:rPr>
      <w:sz w:val="24"/>
      <w:szCs w:val="24"/>
    </w:rPr>
  </w:style>
  <w:style w:type="paragraph" w:styleId="ad">
    <w:name w:val="Title"/>
    <w:basedOn w:val="a"/>
    <w:next w:val="a"/>
    <w:link w:val="ae"/>
    <w:uiPriority w:val="10"/>
    <w:qFormat/>
    <w:pPr>
      <w:spacing w:before="240" w:after="60"/>
      <w:jc w:val="center"/>
      <w:outlineLvl w:val="0"/>
    </w:pPr>
    <w:rPr>
      <w:rFonts w:asciiTheme="majorHAnsi" w:eastAsiaTheme="majorEastAsia" w:hAnsiTheme="majorHAnsi" w:cstheme="majorBidi"/>
      <w:b/>
      <w:bCs/>
      <w:sz w:val="32"/>
      <w:szCs w:val="32"/>
    </w:rPr>
  </w:style>
  <w:style w:type="table" w:styleId="af">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Emphasis"/>
    <w:basedOn w:val="a0"/>
    <w:uiPriority w:val="20"/>
    <w:qFormat/>
    <w:rPr>
      <w:i/>
    </w:rPr>
  </w:style>
  <w:style w:type="character" w:styleId="af2">
    <w:name w:val="Hyperlink"/>
    <w:basedOn w:val="a0"/>
    <w:uiPriority w:val="99"/>
    <w:unhideWhenUsed/>
    <w:qFormat/>
    <w:rPr>
      <w:color w:val="0563C1" w:themeColor="hyperlink"/>
      <w:u w:val="single"/>
    </w:rPr>
  </w:style>
  <w:style w:type="character" w:customStyle="1" w:styleId="11">
    <w:name w:val="未处理的提及1"/>
    <w:basedOn w:val="a0"/>
    <w:uiPriority w:val="99"/>
    <w:semiHidden/>
    <w:unhideWhenUsed/>
    <w:qFormat/>
    <w:rPr>
      <w:color w:val="605E5C"/>
      <w:shd w:val="clear" w:color="auto" w:fill="E1DFDD"/>
    </w:rPr>
  </w:style>
  <w:style w:type="paragraph" w:styleId="af3">
    <w:name w:val="List Paragraph"/>
    <w:basedOn w:val="a"/>
    <w:uiPriority w:val="34"/>
    <w:qFormat/>
    <w:pPr>
      <w:ind w:firstLineChars="200" w:firstLine="420"/>
    </w:pPr>
  </w:style>
  <w:style w:type="paragraph" w:customStyle="1" w:styleId="af4">
    <w:name w:val="段"/>
    <w:link w:val="Char"/>
    <w:qFormat/>
    <w:pPr>
      <w:tabs>
        <w:tab w:val="center" w:pos="4201"/>
        <w:tab w:val="right" w:leader="dot" w:pos="9298"/>
      </w:tabs>
      <w:autoSpaceDE w:val="0"/>
      <w:autoSpaceDN w:val="0"/>
      <w:ind w:firstLineChars="200" w:firstLine="420"/>
      <w:jc w:val="both"/>
    </w:pPr>
    <w:rPr>
      <w:rFonts w:ascii="宋体"/>
      <w:sz w:val="21"/>
    </w:rPr>
  </w:style>
  <w:style w:type="character" w:customStyle="1" w:styleId="Char">
    <w:name w:val="段 Char"/>
    <w:link w:val="af4"/>
    <w:qFormat/>
    <w:rPr>
      <w:rFonts w:ascii="宋体" w:eastAsia="宋体" w:hAnsi="Times New Roman" w:cs="Times New Roman"/>
      <w:kern w:val="0"/>
      <w:szCs w:val="20"/>
    </w:rPr>
  </w:style>
  <w:style w:type="character" w:customStyle="1" w:styleId="ab">
    <w:name w:val="页眉 字符"/>
    <w:basedOn w:val="a0"/>
    <w:link w:val="aa"/>
    <w:qFormat/>
    <w:rPr>
      <w:rFonts w:ascii="Times New Roman" w:eastAsia="宋体" w:hAnsi="Times New Roman" w:cs="Times New Roman"/>
      <w:sz w:val="18"/>
      <w:szCs w:val="18"/>
    </w:rPr>
  </w:style>
  <w:style w:type="character" w:customStyle="1" w:styleId="a9">
    <w:name w:val="页脚 字符"/>
    <w:basedOn w:val="a0"/>
    <w:link w:val="a8"/>
    <w:uiPriority w:val="99"/>
    <w:qFormat/>
    <w:rPr>
      <w:rFonts w:ascii="Times New Roman" w:eastAsia="宋体" w:hAnsi="Times New Roman" w:cs="Times New Roman"/>
      <w:sz w:val="18"/>
      <w:szCs w:val="18"/>
    </w:rPr>
  </w:style>
  <w:style w:type="character" w:customStyle="1" w:styleId="fontstyle01">
    <w:name w:val="fontstyle01"/>
    <w:basedOn w:val="a0"/>
    <w:qFormat/>
    <w:rPr>
      <w:rFonts w:ascii="黑体" w:eastAsia="黑体" w:hAnsi="黑体" w:hint="eastAsia"/>
      <w:color w:val="000000"/>
      <w:sz w:val="32"/>
      <w:szCs w:val="32"/>
    </w:rPr>
  </w:style>
  <w:style w:type="character" w:customStyle="1" w:styleId="fontstyle11">
    <w:name w:val="fontstyle11"/>
    <w:basedOn w:val="a0"/>
    <w:qFormat/>
    <w:rPr>
      <w:rFonts w:ascii="TimesNewRomanPSMT" w:hAnsi="TimesNewRomanPSMT" w:hint="default"/>
      <w:color w:val="000000"/>
      <w:sz w:val="22"/>
      <w:szCs w:val="22"/>
    </w:rPr>
  </w:style>
  <w:style w:type="character" w:customStyle="1" w:styleId="a7">
    <w:name w:val="批注框文本 字符"/>
    <w:basedOn w:val="a0"/>
    <w:link w:val="a6"/>
    <w:uiPriority w:val="99"/>
    <w:semiHidden/>
    <w:qFormat/>
    <w:rPr>
      <w:rFonts w:ascii="Times New Roman" w:eastAsia="宋体" w:hAnsi="Times New Roman" w:cs="Times New Roman"/>
      <w:kern w:val="2"/>
      <w:sz w:val="18"/>
      <w:szCs w:val="18"/>
    </w:rPr>
  </w:style>
  <w:style w:type="character" w:customStyle="1" w:styleId="a5">
    <w:name w:val="日期 字符"/>
    <w:basedOn w:val="a0"/>
    <w:link w:val="a4"/>
    <w:qFormat/>
    <w:rPr>
      <w:rFonts w:ascii="Times New Roman" w:eastAsia="宋体" w:hAnsi="Times New Roman" w:cs="Times New Roman"/>
      <w:kern w:val="2"/>
      <w:sz w:val="21"/>
      <w:szCs w:val="24"/>
    </w:rPr>
  </w:style>
  <w:style w:type="paragraph" w:customStyle="1" w:styleId="Char1CharCharCharCharCharCharCharCharChar">
    <w:name w:val="Char1 Char Char Char Char Char Char Char Char Char"/>
    <w:basedOn w:val="a"/>
    <w:qFormat/>
    <w:pPr>
      <w:spacing w:line="360" w:lineRule="auto"/>
    </w:pPr>
    <w:rPr>
      <w:rFonts w:ascii="Tahoma" w:hAnsi="Tahoma"/>
      <w:sz w:val="24"/>
      <w:szCs w:val="20"/>
    </w:rPr>
  </w:style>
  <w:style w:type="character" w:customStyle="1" w:styleId="10">
    <w:name w:val="标题 1 字符"/>
    <w:basedOn w:val="a0"/>
    <w:link w:val="1"/>
    <w:qFormat/>
    <w:rPr>
      <w:rFonts w:ascii="Calibri" w:eastAsia="宋体" w:hAnsi="Calibri" w:cs="Times New Roman"/>
      <w:b/>
      <w:bCs/>
      <w:kern w:val="44"/>
      <w:sz w:val="44"/>
      <w:szCs w:val="44"/>
    </w:rPr>
  </w:style>
  <w:style w:type="paragraph" w:customStyle="1" w:styleId="TOC10">
    <w:name w:val="TOC 标题1"/>
    <w:basedOn w:val="1"/>
    <w:next w:val="a"/>
    <w:uiPriority w:val="39"/>
    <w:unhideWhenUsed/>
    <w:qFormat/>
    <w:pPr>
      <w:widowControl/>
      <w:spacing w:after="0" w:line="259" w:lineRule="auto"/>
      <w:jc w:val="left"/>
      <w:outlineLvl w:val="9"/>
    </w:pPr>
    <w:rPr>
      <w:rFonts w:asciiTheme="majorHAnsi" w:hAnsiTheme="majorHAnsi" w:cstheme="majorBidi"/>
      <w:b w:val="0"/>
      <w:bCs w:val="0"/>
      <w:color w:val="2F5496" w:themeColor="accent1" w:themeShade="BF"/>
      <w:kern w:val="0"/>
      <w:sz w:val="32"/>
      <w:szCs w:val="32"/>
    </w:rPr>
  </w:style>
  <w:style w:type="character" w:customStyle="1" w:styleId="ae">
    <w:name w:val="标题 字符"/>
    <w:basedOn w:val="a0"/>
    <w:link w:val="ad"/>
    <w:uiPriority w:val="10"/>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587D8E-6AF6-4EC8-81F7-947E6E5C5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9</Pages>
  <Words>676</Words>
  <Characters>3859</Characters>
  <Application>Microsoft Office Word</Application>
  <DocSecurity>0</DocSecurity>
  <Lines>32</Lines>
  <Paragraphs>9</Paragraphs>
  <ScaleCrop>false</ScaleCrop>
  <Company>Lenovo</Company>
  <LinksUpToDate>false</LinksUpToDate>
  <CharactersWithSpaces>4526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win10</dc:creator>
  <cp:lastModifiedBy>冬梅 李</cp:lastModifiedBy>
  <cp:revision>4</cp:revision>
  <dcterms:created xsi:type="dcterms:W3CDTF">2025-10-26T13:40:00Z</dcterms:created>
  <dcterms:modified xsi:type="dcterms:W3CDTF">2025-10-30T02:17:00Z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3A2AC4BE7A7549EBA55D7D4142D97E47_13</vt:lpwstr>
  </property>
  <property fmtid="{D5CDD505-2E9C-101B-9397-08002B2CF9AE}" pid="4" name="KSOTemplateDocerSaveRecord">
    <vt:lpwstr>eyJoZGlkIjoiZTA3ODg5MjQzYzQ0ZTMxMzYxYjVhNjI3MmJlOGE3NWEiLCJ1c2VySWQiOiIxMjc4NjI4NjEzIn0=</vt:lpwstr>
  </property>
</Properties>
</file>