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8A7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BC4F84">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eastAsia="黑体"/>
                <w:sz w:val="21"/>
                <w:szCs w:val="21"/>
              </w:rPr>
              <w:t>ICS</w:t>
            </w:r>
            <w:r>
              <w:rPr>
                <w:rFonts w:ascii="黑体" w:hAnsi="黑体" w:eastAsia="黑体"/>
                <w:sz w:val="21"/>
                <w:szCs w:val="21"/>
              </w:rPr>
              <w:t xml:space="preserve">  </w:t>
            </w:r>
          </w:p>
        </w:tc>
        <w:tc>
          <w:tcPr>
            <w:tcW w:w="8855" w:type="dxa"/>
          </w:tcPr>
          <w:p w14:paraId="6DCF2D83">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75.140</w:t>
            </w:r>
            <w:r>
              <w:rPr>
                <w:rFonts w:ascii="黑体" w:hAnsi="黑体" w:eastAsia="黑体"/>
                <w:sz w:val="21"/>
                <w:szCs w:val="21"/>
              </w:rPr>
              <w:fldChar w:fldCharType="end"/>
            </w:r>
            <w:bookmarkEnd w:id="0"/>
          </w:p>
        </w:tc>
      </w:tr>
      <w:tr w14:paraId="3FD2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09774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AD0C8D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5D557A1">
                  <w:pPr>
                    <w:pStyle w:val="50"/>
                    <w:framePr w:wrap="notBeside" w:vAnchor="page" w:hAnchor="page" w:x="1372" w:y="568"/>
                    <w:ind w:left="420" w:right="624"/>
                    <w:rPr>
                      <w:rFonts w:ascii="宋体" w:hAnsi="宋体"/>
                      <w:sz w:val="28"/>
                      <w:szCs w:val="28"/>
                    </w:rPr>
                  </w:pPr>
                </w:p>
              </w:tc>
            </w:tr>
          </w:tbl>
          <w:p w14:paraId="1D73770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E 45</w:t>
            </w:r>
            <w:r>
              <w:rPr>
                <w:rFonts w:ascii="黑体" w:hAnsi="黑体" w:eastAsia="黑体"/>
                <w:sz w:val="21"/>
                <w:szCs w:val="21"/>
              </w:rPr>
              <w:fldChar w:fldCharType="end"/>
            </w:r>
            <w:bookmarkEnd w:id="1"/>
          </w:p>
        </w:tc>
      </w:tr>
    </w:tbl>
    <w:p w14:paraId="27661113">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11E5E9E3">
      <w:pPr>
        <w:pStyle w:val="196"/>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6B048DE0">
      <w:pPr>
        <w:pStyle w:val="197"/>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9967C8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8BFA0BE">
      <w:pPr>
        <w:pStyle w:val="51"/>
        <w:framePr w:w="9639" w:h="6976" w:hRule="exact" w:hSpace="0" w:vSpace="0" w:wrap="around" w:hAnchor="page" w:y="6408"/>
        <w:jc w:val="center"/>
        <w:rPr>
          <w:rFonts w:ascii="黑体" w:hAnsi="黑体" w:eastAsia="黑体"/>
          <w:b w:val="0"/>
          <w:bCs w:val="0"/>
          <w:w w:val="100"/>
        </w:rPr>
      </w:pPr>
    </w:p>
    <w:p w14:paraId="33D32FDA">
      <w:pPr>
        <w:pStyle w:val="198"/>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废切削液原位绿色低碳智慧回收利用技术规范</w:t>
      </w:r>
      <w:r>
        <w:fldChar w:fldCharType="end"/>
      </w:r>
      <w:bookmarkEnd w:id="7"/>
    </w:p>
    <w:p w14:paraId="4C3D8B1F">
      <w:pPr>
        <w:framePr w:w="9639" w:h="6974" w:hRule="exact" w:wrap="around" w:vAnchor="page" w:hAnchor="page" w:x="1419" w:y="6408" w:anchorLock="1"/>
        <w:ind w:left="-1418"/>
      </w:pPr>
    </w:p>
    <w:p w14:paraId="7DBB52BB">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in-situ green, low-carbon and smart recycling and utilization of waste cutting fluids</w:t>
      </w:r>
      <w:r>
        <w:rPr>
          <w:rFonts w:eastAsia="黑体"/>
          <w:szCs w:val="28"/>
        </w:rPr>
        <w:fldChar w:fldCharType="end"/>
      </w:r>
      <w:bookmarkEnd w:id="8"/>
    </w:p>
    <w:p w14:paraId="5A2EA52B">
      <w:pPr>
        <w:framePr w:w="9639" w:h="6974" w:hRule="exact" w:wrap="around" w:vAnchor="page" w:hAnchor="page" w:x="1419" w:y="6408" w:anchorLock="1"/>
        <w:spacing w:line="760" w:lineRule="exact"/>
        <w:ind w:left="-1418"/>
      </w:pPr>
    </w:p>
    <w:p w14:paraId="1938B8DB">
      <w:pPr>
        <w:pStyle w:val="126"/>
        <w:framePr w:w="9639" w:h="6974" w:hRule="exact" w:wrap="around" w:vAnchor="page" w:hAnchor="page" w:x="1419" w:y="6408" w:anchorLock="1"/>
        <w:textAlignment w:val="bottom"/>
        <w:rPr>
          <w:rFonts w:eastAsia="黑体"/>
          <w:szCs w:val="28"/>
        </w:rPr>
      </w:pPr>
    </w:p>
    <w:p w14:paraId="15487827">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4A1BC538">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2A4A04C7">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0765A1D2">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1973BA69">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3206DBC5">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00DACD5B">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35981D0">
      <w:pPr>
        <w:pStyle w:val="92"/>
        <w:spacing w:after="360"/>
      </w:pPr>
      <w:bookmarkStart w:id="19" w:name="BookMark1"/>
      <w:bookmarkStart w:id="20" w:name="_Toc194593840"/>
      <w:bookmarkStart w:id="21" w:name="_Toc180226460"/>
      <w:bookmarkStart w:id="22" w:name="_Toc196487249"/>
      <w:bookmarkStart w:id="23" w:name="_Toc194591293"/>
      <w:bookmarkStart w:id="24" w:name="_Toc192772483"/>
      <w:bookmarkStart w:id="25" w:name="_Toc207370296"/>
      <w:r>
        <w:rPr>
          <w:rFonts w:hint="eastAsia"/>
          <w:spacing w:val="320"/>
        </w:rPr>
        <w:t>目</w:t>
      </w:r>
      <w:r>
        <w:rPr>
          <w:rFonts w:hint="eastAsia"/>
        </w:rPr>
        <w:t>次</w:t>
      </w:r>
    </w:p>
    <w:p w14:paraId="304B28EA">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"_Toc210035466" </w:instrText>
      </w:r>
      <w:r>
        <w:fldChar w:fldCharType="separate"/>
      </w:r>
      <w:r>
        <w:rPr>
          <w:rStyle w:val="33"/>
          <w:rFonts w:hint="eastAsia"/>
        </w:rPr>
        <w:t>前言</w:t>
      </w:r>
      <w:r>
        <w:tab/>
      </w:r>
      <w:r>
        <w:fldChar w:fldCharType="begin"/>
      </w:r>
      <w:r>
        <w:instrText xml:space="preserve"> PAGEREF _Toc210035466 \h </w:instrText>
      </w:r>
      <w:r>
        <w:fldChar w:fldCharType="separate"/>
      </w:r>
      <w:r>
        <w:t>II</w:t>
      </w:r>
      <w:r>
        <w:fldChar w:fldCharType="end"/>
      </w:r>
      <w:r>
        <w:fldChar w:fldCharType="end"/>
      </w:r>
    </w:p>
    <w:p w14:paraId="0BFF3D87">
      <w:pPr>
        <w:pStyle w:val="19"/>
        <w:tabs>
          <w:tab w:val="right" w:leader="dot" w:pos="9344"/>
        </w:tabs>
        <w:rPr>
          <w:rFonts w:asciiTheme="minorHAnsi" w:hAnsiTheme="minorHAnsi" w:eastAsiaTheme="minorEastAsia" w:cstheme="minorBidi"/>
          <w:szCs w:val="22"/>
        </w:rPr>
      </w:pPr>
      <w:r>
        <w:fldChar w:fldCharType="begin"/>
      </w:r>
      <w:r>
        <w:instrText xml:space="preserve"> HYPERLINK \l "_Toc210035467" </w:instrText>
      </w:r>
      <w:r>
        <w:fldChar w:fldCharType="separate"/>
      </w:r>
      <w:r>
        <w:rPr>
          <w:rStyle w:val="33"/>
        </w:rPr>
        <w:t xml:space="preserve">1 </w:t>
      </w:r>
      <w:r>
        <w:rPr>
          <w:rStyle w:val="33"/>
          <w:rFonts w:hint="eastAsia"/>
        </w:rPr>
        <w:t xml:space="preserve"> 范围</w:t>
      </w:r>
      <w:r>
        <w:tab/>
      </w:r>
      <w:r>
        <w:fldChar w:fldCharType="begin"/>
      </w:r>
      <w:r>
        <w:instrText xml:space="preserve"> PAGEREF _Toc210035467 \h </w:instrText>
      </w:r>
      <w:r>
        <w:fldChar w:fldCharType="separate"/>
      </w:r>
      <w:r>
        <w:t>1</w:t>
      </w:r>
      <w:r>
        <w:fldChar w:fldCharType="end"/>
      </w:r>
      <w:r>
        <w:fldChar w:fldCharType="end"/>
      </w:r>
    </w:p>
    <w:p w14:paraId="5AB1ED5E">
      <w:pPr>
        <w:pStyle w:val="19"/>
        <w:tabs>
          <w:tab w:val="right" w:leader="dot" w:pos="9344"/>
        </w:tabs>
        <w:rPr>
          <w:rFonts w:asciiTheme="minorHAnsi" w:hAnsiTheme="minorHAnsi" w:eastAsiaTheme="minorEastAsia" w:cstheme="minorBidi"/>
          <w:szCs w:val="22"/>
        </w:rPr>
      </w:pPr>
      <w:r>
        <w:fldChar w:fldCharType="begin"/>
      </w:r>
      <w:r>
        <w:instrText xml:space="preserve"> HYPERLINK \l "_Toc210035468"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_Toc210035468 \h </w:instrText>
      </w:r>
      <w:r>
        <w:fldChar w:fldCharType="separate"/>
      </w:r>
      <w:r>
        <w:t>1</w:t>
      </w:r>
      <w:r>
        <w:fldChar w:fldCharType="end"/>
      </w:r>
      <w:r>
        <w:fldChar w:fldCharType="end"/>
      </w:r>
    </w:p>
    <w:p w14:paraId="5C7A7CE2">
      <w:pPr>
        <w:pStyle w:val="19"/>
        <w:tabs>
          <w:tab w:val="right" w:leader="dot" w:pos="9344"/>
        </w:tabs>
        <w:rPr>
          <w:rFonts w:asciiTheme="minorHAnsi" w:hAnsiTheme="minorHAnsi" w:eastAsiaTheme="minorEastAsia" w:cstheme="minorBidi"/>
          <w:szCs w:val="22"/>
        </w:rPr>
      </w:pPr>
      <w:r>
        <w:fldChar w:fldCharType="begin"/>
      </w:r>
      <w:r>
        <w:instrText xml:space="preserve"> HYPERLINK \l "_Toc210035469"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_Toc210035469 \h </w:instrText>
      </w:r>
      <w:r>
        <w:fldChar w:fldCharType="separate"/>
      </w:r>
      <w:r>
        <w:t>1</w:t>
      </w:r>
      <w:r>
        <w:fldChar w:fldCharType="end"/>
      </w:r>
      <w:r>
        <w:fldChar w:fldCharType="end"/>
      </w:r>
    </w:p>
    <w:p w14:paraId="58BC244D">
      <w:pPr>
        <w:pStyle w:val="19"/>
        <w:tabs>
          <w:tab w:val="right" w:leader="dot" w:pos="9344"/>
        </w:tabs>
        <w:rPr>
          <w:rFonts w:asciiTheme="minorHAnsi" w:hAnsiTheme="minorHAnsi" w:eastAsiaTheme="minorEastAsia" w:cstheme="minorBidi"/>
          <w:szCs w:val="22"/>
        </w:rPr>
      </w:pPr>
      <w:r>
        <w:fldChar w:fldCharType="begin"/>
      </w:r>
      <w:r>
        <w:instrText xml:space="preserve"> HYPERLINK \l "_Toc210035470" </w:instrText>
      </w:r>
      <w:r>
        <w:fldChar w:fldCharType="separate"/>
      </w:r>
      <w:r>
        <w:rPr>
          <w:rStyle w:val="33"/>
        </w:rPr>
        <w:t xml:space="preserve">4 </w:t>
      </w:r>
      <w:r>
        <w:rPr>
          <w:rStyle w:val="33"/>
          <w:rFonts w:hint="eastAsia"/>
        </w:rPr>
        <w:t xml:space="preserve"> 技术要求</w:t>
      </w:r>
      <w:r>
        <w:tab/>
      </w:r>
      <w:r>
        <w:fldChar w:fldCharType="begin"/>
      </w:r>
      <w:r>
        <w:instrText xml:space="preserve"> PAGEREF _Toc210035470 \h </w:instrText>
      </w:r>
      <w:r>
        <w:fldChar w:fldCharType="separate"/>
      </w:r>
      <w:r>
        <w:t>1</w:t>
      </w:r>
      <w:r>
        <w:fldChar w:fldCharType="end"/>
      </w:r>
      <w:r>
        <w:fldChar w:fldCharType="end"/>
      </w:r>
    </w:p>
    <w:p w14:paraId="7BC60DA2">
      <w:pPr>
        <w:pStyle w:val="19"/>
        <w:tabs>
          <w:tab w:val="right" w:leader="dot" w:pos="9344"/>
        </w:tabs>
        <w:rPr>
          <w:rFonts w:asciiTheme="minorHAnsi" w:hAnsiTheme="minorHAnsi" w:eastAsiaTheme="minorEastAsia" w:cstheme="minorBidi"/>
          <w:szCs w:val="22"/>
        </w:rPr>
      </w:pPr>
      <w:r>
        <w:fldChar w:fldCharType="begin"/>
      </w:r>
      <w:r>
        <w:instrText xml:space="preserve"> HYPERLINK \l "_Toc210035471" </w:instrText>
      </w:r>
      <w:r>
        <w:fldChar w:fldCharType="separate"/>
      </w:r>
      <w:r>
        <w:rPr>
          <w:rStyle w:val="33"/>
        </w:rPr>
        <w:t xml:space="preserve">5 </w:t>
      </w:r>
      <w:r>
        <w:rPr>
          <w:rStyle w:val="33"/>
          <w:rFonts w:hint="eastAsia"/>
        </w:rPr>
        <w:t xml:space="preserve"> 智慧控制系统</w:t>
      </w:r>
      <w:r>
        <w:tab/>
      </w:r>
      <w:r>
        <w:fldChar w:fldCharType="begin"/>
      </w:r>
      <w:r>
        <w:instrText xml:space="preserve"> PAGEREF _Toc210035471 \h </w:instrText>
      </w:r>
      <w:r>
        <w:fldChar w:fldCharType="separate"/>
      </w:r>
      <w:r>
        <w:t>2</w:t>
      </w:r>
      <w:r>
        <w:fldChar w:fldCharType="end"/>
      </w:r>
      <w:r>
        <w:fldChar w:fldCharType="end"/>
      </w:r>
    </w:p>
    <w:p w14:paraId="27494FEB">
      <w:pPr>
        <w:pStyle w:val="19"/>
        <w:tabs>
          <w:tab w:val="right" w:leader="dot" w:pos="9344"/>
        </w:tabs>
        <w:rPr>
          <w:rFonts w:asciiTheme="minorHAnsi" w:hAnsiTheme="minorHAnsi" w:eastAsiaTheme="minorEastAsia" w:cstheme="minorBidi"/>
          <w:szCs w:val="22"/>
        </w:rPr>
      </w:pPr>
      <w:r>
        <w:fldChar w:fldCharType="begin"/>
      </w:r>
      <w:r>
        <w:instrText xml:space="preserve"> HYPERLINK \l "_Toc210035472" </w:instrText>
      </w:r>
      <w:r>
        <w:fldChar w:fldCharType="separate"/>
      </w:r>
      <w:r>
        <w:rPr>
          <w:rStyle w:val="33"/>
        </w:rPr>
        <w:t xml:space="preserve">6 </w:t>
      </w:r>
      <w:r>
        <w:rPr>
          <w:rStyle w:val="33"/>
          <w:rFonts w:hint="eastAsia"/>
        </w:rPr>
        <w:t xml:space="preserve"> 绿色低碳</w:t>
      </w:r>
      <w:r>
        <w:tab/>
      </w:r>
      <w:r>
        <w:fldChar w:fldCharType="begin"/>
      </w:r>
      <w:r>
        <w:instrText xml:space="preserve"> PAGEREF _Toc210035472 \h </w:instrText>
      </w:r>
      <w:r>
        <w:fldChar w:fldCharType="separate"/>
      </w:r>
      <w:r>
        <w:t>2</w:t>
      </w:r>
      <w:r>
        <w:fldChar w:fldCharType="end"/>
      </w:r>
      <w:r>
        <w:fldChar w:fldCharType="end"/>
      </w:r>
    </w:p>
    <w:p w14:paraId="77F945B7">
      <w:pPr>
        <w:pStyle w:val="19"/>
        <w:tabs>
          <w:tab w:val="right" w:leader="dot" w:pos="9344"/>
        </w:tabs>
        <w:rPr>
          <w:rFonts w:asciiTheme="minorHAnsi" w:hAnsiTheme="minorHAnsi" w:eastAsiaTheme="minorEastAsia" w:cstheme="minorBidi"/>
          <w:szCs w:val="22"/>
        </w:rPr>
      </w:pPr>
      <w:r>
        <w:fldChar w:fldCharType="begin"/>
      </w:r>
      <w:r>
        <w:instrText xml:space="preserve"> HYPERLINK \l "_Toc210035473" </w:instrText>
      </w:r>
      <w:r>
        <w:fldChar w:fldCharType="separate"/>
      </w:r>
      <w:r>
        <w:rPr>
          <w:rStyle w:val="33"/>
        </w:rPr>
        <w:t xml:space="preserve">7 </w:t>
      </w:r>
      <w:r>
        <w:rPr>
          <w:rStyle w:val="33"/>
          <w:rFonts w:hint="eastAsia"/>
        </w:rPr>
        <w:t xml:space="preserve"> 操作流程</w:t>
      </w:r>
      <w:r>
        <w:rPr>
          <w:rStyle w:val="33"/>
          <w:rFonts w:ascii="MS Gothic" w:hAnsi="MS Gothic" w:eastAsia="MS Gothic" w:cs="MS Gothic"/>
        </w:rPr>
        <w:t>​</w:t>
      </w:r>
      <w:r>
        <w:tab/>
      </w:r>
      <w:r>
        <w:fldChar w:fldCharType="begin"/>
      </w:r>
      <w:r>
        <w:instrText xml:space="preserve"> PAGEREF _Toc210035473 \h </w:instrText>
      </w:r>
      <w:r>
        <w:fldChar w:fldCharType="separate"/>
      </w:r>
      <w:r>
        <w:t>3</w:t>
      </w:r>
      <w:r>
        <w:fldChar w:fldCharType="end"/>
      </w:r>
      <w:r>
        <w:fldChar w:fldCharType="end"/>
      </w:r>
    </w:p>
    <w:p w14:paraId="59F36D67">
      <w:pPr>
        <w:pStyle w:val="19"/>
        <w:tabs>
          <w:tab w:val="right" w:leader="dot" w:pos="9344"/>
        </w:tabs>
        <w:rPr>
          <w:rFonts w:asciiTheme="minorHAnsi" w:hAnsiTheme="minorHAnsi" w:eastAsiaTheme="minorEastAsia" w:cstheme="minorBidi"/>
          <w:szCs w:val="22"/>
        </w:rPr>
      </w:pPr>
      <w:r>
        <w:fldChar w:fldCharType="begin"/>
      </w:r>
      <w:r>
        <w:instrText xml:space="preserve"> HYPERLINK \l "_Toc210035474" </w:instrText>
      </w:r>
      <w:r>
        <w:fldChar w:fldCharType="separate"/>
      </w:r>
      <w:r>
        <w:rPr>
          <w:rStyle w:val="33"/>
        </w:rPr>
        <w:t xml:space="preserve">8 </w:t>
      </w:r>
      <w:r>
        <w:rPr>
          <w:rStyle w:val="33"/>
          <w:rFonts w:hint="eastAsia"/>
        </w:rPr>
        <w:t xml:space="preserve"> 检验方法</w:t>
      </w:r>
      <w:r>
        <w:tab/>
      </w:r>
      <w:r>
        <w:fldChar w:fldCharType="begin"/>
      </w:r>
      <w:r>
        <w:instrText xml:space="preserve"> PAGEREF _Toc210035474 \h </w:instrText>
      </w:r>
      <w:r>
        <w:fldChar w:fldCharType="separate"/>
      </w:r>
      <w:r>
        <w:t>3</w:t>
      </w:r>
      <w:r>
        <w:fldChar w:fldCharType="end"/>
      </w:r>
      <w:r>
        <w:fldChar w:fldCharType="end"/>
      </w:r>
    </w:p>
    <w:p w14:paraId="1E2E468D">
      <w:pPr>
        <w:pStyle w:val="19"/>
        <w:tabs>
          <w:tab w:val="right" w:leader="dot" w:pos="9344"/>
        </w:tabs>
        <w:rPr>
          <w:rFonts w:asciiTheme="minorHAnsi" w:hAnsiTheme="minorHAnsi" w:eastAsiaTheme="minorEastAsia" w:cstheme="minorBidi"/>
          <w:szCs w:val="22"/>
        </w:rPr>
      </w:pPr>
      <w:r>
        <w:fldChar w:fldCharType="begin"/>
      </w:r>
      <w:r>
        <w:instrText xml:space="preserve"> HYPERLINK \l "_Toc210035475" </w:instrText>
      </w:r>
      <w:r>
        <w:fldChar w:fldCharType="separate"/>
      </w:r>
      <w:r>
        <w:rPr>
          <w:rStyle w:val="33"/>
        </w:rPr>
        <w:t xml:space="preserve">9 </w:t>
      </w:r>
      <w:r>
        <w:rPr>
          <w:rStyle w:val="33"/>
          <w:rFonts w:hint="eastAsia"/>
        </w:rPr>
        <w:t xml:space="preserve"> 安全与环保要求</w:t>
      </w:r>
      <w:r>
        <w:rPr>
          <w:rStyle w:val="33"/>
          <w:rFonts w:ascii="MS Gothic" w:hAnsi="MS Gothic" w:eastAsia="MS Gothic" w:cs="MS Gothic"/>
        </w:rPr>
        <w:t>​</w:t>
      </w:r>
      <w:r>
        <w:tab/>
      </w:r>
      <w:r>
        <w:fldChar w:fldCharType="begin"/>
      </w:r>
      <w:r>
        <w:instrText xml:space="preserve"> PAGEREF _Toc210035475 \h </w:instrText>
      </w:r>
      <w:r>
        <w:fldChar w:fldCharType="separate"/>
      </w:r>
      <w:r>
        <w:t>4</w:t>
      </w:r>
      <w:r>
        <w:fldChar w:fldCharType="end"/>
      </w:r>
      <w:r>
        <w:fldChar w:fldCharType="end"/>
      </w:r>
    </w:p>
    <w:p w14:paraId="3A5ABB13">
      <w:pPr>
        <w:pStyle w:val="19"/>
        <w:tabs>
          <w:tab w:val="right" w:leader="dot" w:pos="9344"/>
        </w:tabs>
        <w:rPr>
          <w:rFonts w:asciiTheme="minorHAnsi" w:hAnsiTheme="minorHAnsi" w:eastAsiaTheme="minorEastAsia" w:cstheme="minorBidi"/>
          <w:szCs w:val="22"/>
        </w:rPr>
      </w:pPr>
      <w:r>
        <w:fldChar w:fldCharType="begin"/>
      </w:r>
      <w:r>
        <w:instrText xml:space="preserve"> HYPERLINK \l "_Toc210035476" </w:instrText>
      </w:r>
      <w:r>
        <w:fldChar w:fldCharType="separate"/>
      </w:r>
      <w:r>
        <w:rPr>
          <w:rStyle w:val="33"/>
        </w:rPr>
        <w:t xml:space="preserve">10 </w:t>
      </w:r>
      <w:r>
        <w:rPr>
          <w:rStyle w:val="33"/>
          <w:rFonts w:hint="eastAsia"/>
        </w:rPr>
        <w:t xml:space="preserve"> 档案管理</w:t>
      </w:r>
      <w:r>
        <w:rPr>
          <w:rStyle w:val="33"/>
          <w:rFonts w:ascii="MS Gothic" w:hAnsi="MS Gothic" w:eastAsia="MS Gothic" w:cs="MS Gothic"/>
        </w:rPr>
        <w:t>​</w:t>
      </w:r>
      <w:r>
        <w:tab/>
      </w:r>
      <w:r>
        <w:fldChar w:fldCharType="begin"/>
      </w:r>
      <w:r>
        <w:instrText xml:space="preserve"> PAGEREF _Toc210035476 \h </w:instrText>
      </w:r>
      <w:r>
        <w:fldChar w:fldCharType="separate"/>
      </w:r>
      <w:r>
        <w:t>4</w:t>
      </w:r>
      <w:r>
        <w:fldChar w:fldCharType="end"/>
      </w:r>
      <w:r>
        <w:fldChar w:fldCharType="end"/>
      </w:r>
    </w:p>
    <w:p w14:paraId="1DE58540">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126A4FB5">
      <w:pPr>
        <w:pStyle w:val="90"/>
        <w:spacing w:before="900" w:after="360"/>
      </w:pPr>
      <w:bookmarkStart w:id="26" w:name="_Toc210035466"/>
      <w:bookmarkStart w:id="27" w:name="BookMark2"/>
      <w:r>
        <w:rPr>
          <w:spacing w:val="320"/>
        </w:rPr>
        <w:t>前</w:t>
      </w:r>
      <w:r>
        <w:t>言</w:t>
      </w:r>
      <w:bookmarkEnd w:id="20"/>
      <w:bookmarkEnd w:id="21"/>
      <w:bookmarkEnd w:id="22"/>
      <w:bookmarkEnd w:id="23"/>
      <w:bookmarkEnd w:id="24"/>
      <w:bookmarkEnd w:id="25"/>
      <w:bookmarkEnd w:id="26"/>
    </w:p>
    <w:p w14:paraId="151C40C0">
      <w:pPr>
        <w:pStyle w:val="57"/>
        <w:ind w:firstLine="420"/>
      </w:pPr>
      <w:r>
        <w:rPr>
          <w:rFonts w:hint="eastAsia"/>
        </w:rPr>
        <w:t>本文件按照GB/T 1.1—2020《标准化工作导则  第1部分：标准化文件的结构和起草规则》的规定起草。</w:t>
      </w:r>
    </w:p>
    <w:p w14:paraId="1DBB8288">
      <w:pPr>
        <w:pStyle w:val="57"/>
        <w:ind w:firstLine="420"/>
      </w:pPr>
      <w:r>
        <w:rPr>
          <w:rFonts w:hint="eastAsia"/>
        </w:rPr>
        <w:t>请注意本文件的某些内容可能涉及专利。本文件的发布机构不承担识别专利的责任。</w:t>
      </w:r>
    </w:p>
    <w:p w14:paraId="3A09EFE6">
      <w:pPr>
        <w:pStyle w:val="57"/>
        <w:ind w:firstLine="420"/>
      </w:pPr>
      <w:r>
        <w:rPr>
          <w:rFonts w:hint="eastAsia"/>
        </w:rPr>
        <w:t>本文件由常州海纳环保科技有限公司提出。</w:t>
      </w:r>
    </w:p>
    <w:p w14:paraId="5AC781C4">
      <w:pPr>
        <w:pStyle w:val="57"/>
        <w:ind w:firstLine="420"/>
      </w:pPr>
      <w:r>
        <w:rPr>
          <w:rFonts w:hint="eastAsia"/>
        </w:rPr>
        <w:t>本文件由中国中小企业协会归口。</w:t>
      </w:r>
    </w:p>
    <w:p w14:paraId="623E7967">
      <w:pPr>
        <w:pStyle w:val="57"/>
        <w:ind w:firstLine="420"/>
      </w:pPr>
      <w:r>
        <w:rPr>
          <w:rFonts w:hint="eastAsia"/>
        </w:rPr>
        <w:t>本文件起草单位：常州海纳环保科技有限公司。</w:t>
      </w:r>
    </w:p>
    <w:p w14:paraId="49D96809">
      <w:pPr>
        <w:pStyle w:val="57"/>
        <w:ind w:firstLine="420"/>
      </w:pPr>
      <w:r>
        <w:rPr>
          <w:rFonts w:hint="eastAsia"/>
        </w:rPr>
        <w:t>本文件主要起草人：。</w:t>
      </w:r>
    </w:p>
    <w:p w14:paraId="32DA712E">
      <w:pPr>
        <w:pStyle w:val="57"/>
        <w:ind w:firstLine="420"/>
      </w:pPr>
    </w:p>
    <w:p w14:paraId="2FD86ED7">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27"/>
    <w:p w14:paraId="5B48FD44">
      <w:pPr>
        <w:spacing w:line="20" w:lineRule="exact"/>
        <w:jc w:val="center"/>
        <w:rPr>
          <w:rFonts w:ascii="黑体" w:hAnsi="黑体" w:eastAsia="黑体"/>
          <w:sz w:val="32"/>
          <w:szCs w:val="32"/>
        </w:rPr>
      </w:pPr>
      <w:bookmarkStart w:id="28" w:name="BookMark4"/>
    </w:p>
    <w:p w14:paraId="1CC939EE">
      <w:pPr>
        <w:spacing w:line="20" w:lineRule="exact"/>
        <w:jc w:val="center"/>
        <w:rPr>
          <w:rFonts w:ascii="黑体" w:hAnsi="黑体" w:eastAsia="黑体"/>
          <w:sz w:val="32"/>
          <w:szCs w:val="32"/>
        </w:rPr>
      </w:pPr>
    </w:p>
    <w:sdt>
      <w:sdtPr>
        <w:tag w:val="NEW_STAND_NAME"/>
        <w:id w:val="595910757"/>
        <w:lock w:val="sdtLocked"/>
        <w:placeholder>
          <w:docPart w:val="FC2DC3776E8B4114BBFE201AC12A63C0"/>
        </w:placeholder>
      </w:sdtPr>
      <w:sdtContent>
        <w:p w14:paraId="45D556F2">
          <w:pPr>
            <w:pStyle w:val="178"/>
            <w:spacing w:before="240" w:beforeLines="100" w:after="528" w:afterLines="220"/>
          </w:pPr>
          <w:bookmarkStart w:id="29" w:name="OLE_LINK12"/>
          <w:bookmarkEnd w:id="29"/>
          <w:bookmarkStart w:id="30" w:name="NEW_STAND_NAME"/>
          <w:bookmarkStart w:id="31" w:name="OLE_LINK2"/>
          <w:r>
            <w:rPr>
              <w:rFonts w:hint="eastAsia"/>
            </w:rPr>
            <w:t>废切削液原位绿色低碳智慧回收利用技术规范</w:t>
          </w:r>
        </w:p>
      </w:sdtContent>
    </w:sdt>
    <w:bookmarkEnd w:id="30"/>
    <w:bookmarkEnd w:id="31"/>
    <w:p w14:paraId="67D2A71B">
      <w:pPr>
        <w:pStyle w:val="105"/>
        <w:spacing w:before="240" w:after="240"/>
      </w:pPr>
      <w:bookmarkStart w:id="32" w:name="_Toc26718930"/>
      <w:bookmarkStart w:id="33" w:name="_Toc26986771"/>
      <w:bookmarkStart w:id="34" w:name="_Toc26648465"/>
      <w:bookmarkStart w:id="35" w:name="_Toc207370297"/>
      <w:bookmarkStart w:id="36" w:name="_Toc97192964"/>
      <w:bookmarkStart w:id="37" w:name="_Toc196487250"/>
      <w:bookmarkStart w:id="38" w:name="_Toc192772484"/>
      <w:bookmarkStart w:id="39" w:name="_Toc180226461"/>
      <w:bookmarkStart w:id="40" w:name="_Toc194593841"/>
      <w:bookmarkStart w:id="41" w:name="_Toc194591294"/>
      <w:bookmarkStart w:id="42" w:name="_Toc26986530"/>
      <w:bookmarkStart w:id="43" w:name="_Toc24884218"/>
      <w:bookmarkStart w:id="44" w:name="_Toc210035467"/>
      <w:bookmarkStart w:id="45" w:name="_Toc17233325"/>
      <w:bookmarkStart w:id="46" w:name="_Toc17233333"/>
      <w:bookmarkStart w:id="47" w:name="_Toc2488421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9D305F5">
      <w:pPr>
        <w:pStyle w:val="57"/>
        <w:ind w:firstLine="420"/>
      </w:pPr>
      <w:bookmarkStart w:id="48" w:name="_Toc17233326"/>
      <w:bookmarkStart w:id="49" w:name="_Toc24884219"/>
      <w:bookmarkStart w:id="50" w:name="_Toc26648466"/>
      <w:bookmarkStart w:id="51" w:name="_Toc24884212"/>
      <w:bookmarkStart w:id="52" w:name="_Toc17233334"/>
      <w:r>
        <w:rPr>
          <w:rFonts w:hint="eastAsia"/>
        </w:rPr>
        <w:t>本文件规定了废切削液原位绿色低碳智慧回收利用的技术要求、智慧控制系统要求、绿色低碳、操作流程、检验方法、安全与环保要求以及档案管理等内容。</w:t>
      </w:r>
    </w:p>
    <w:p w14:paraId="160082E3">
      <w:pPr>
        <w:pStyle w:val="57"/>
        <w:ind w:firstLine="420"/>
      </w:pPr>
      <w:r>
        <w:rPr>
          <w:rFonts w:hint="eastAsia"/>
        </w:rPr>
        <w:t>本文件适用于机械加工行业产生的废切削液在生产现场进行的原位绿色低碳智慧回收利用处理。</w:t>
      </w:r>
    </w:p>
    <w:p w14:paraId="3F555490">
      <w:pPr>
        <w:pStyle w:val="105"/>
        <w:spacing w:before="240" w:after="240"/>
      </w:pPr>
      <w:bookmarkStart w:id="53" w:name="_Toc26986531"/>
      <w:bookmarkStart w:id="54" w:name="_Toc196487251"/>
      <w:bookmarkStart w:id="55" w:name="_Toc210035468"/>
      <w:bookmarkStart w:id="56" w:name="_Toc194591295"/>
      <w:bookmarkStart w:id="57" w:name="_Toc194593842"/>
      <w:bookmarkStart w:id="58" w:name="_Toc207370298"/>
      <w:bookmarkStart w:id="59" w:name="_Toc26718931"/>
      <w:bookmarkStart w:id="60" w:name="_Toc26986772"/>
      <w:bookmarkStart w:id="61" w:name="_Toc97192965"/>
      <w:bookmarkStart w:id="62" w:name="_Toc192772485"/>
      <w:bookmarkStart w:id="63" w:name="_Toc180226462"/>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8A87F53">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4B2C4D5">
      <w:pPr>
        <w:pStyle w:val="57"/>
        <w:ind w:firstLine="420"/>
      </w:pPr>
      <w:bookmarkStart w:id="64" w:name="_Toc180226463"/>
      <w:bookmarkStart w:id="65" w:name="_Toc192772486"/>
      <w:bookmarkStart w:id="66" w:name="_Toc97192966"/>
      <w:bookmarkStart w:id="67" w:name="_Toc196487252"/>
      <w:bookmarkStart w:id="68" w:name="_Toc207370299"/>
      <w:bookmarkStart w:id="69" w:name="_Toc194593843"/>
      <w:bookmarkStart w:id="70" w:name="_Toc194591296"/>
      <w:r>
        <w:t>GB/T 265</w:t>
      </w:r>
      <w:r>
        <w:rPr>
          <w:rFonts w:hint="eastAsia"/>
        </w:rPr>
        <w:t xml:space="preserve">  石油产品运动粘度测定法和动力粘度计算法</w:t>
      </w:r>
    </w:p>
    <w:p w14:paraId="56B91647">
      <w:pPr>
        <w:pStyle w:val="57"/>
        <w:ind w:firstLine="420"/>
      </w:pPr>
      <w:r>
        <w:t>GB/T 6144</w:t>
      </w:r>
      <w:r>
        <w:rPr>
          <w:rFonts w:hint="eastAsia"/>
        </w:rPr>
        <w:t xml:space="preserve">  合成切削液</w:t>
      </w:r>
      <w:r>
        <w:rPr>
          <w:rFonts w:hint="eastAsia" w:ascii="MS Gothic" w:hAnsi="MS Gothic" w:eastAsia="MS Gothic" w:cs="MS Gothic"/>
        </w:rPr>
        <w:t>​</w:t>
      </w:r>
    </w:p>
    <w:p w14:paraId="2A2FA92F">
      <w:pPr>
        <w:pStyle w:val="57"/>
        <w:ind w:firstLine="420"/>
      </w:pPr>
      <w:r>
        <w:t>GB 8978</w:t>
      </w:r>
      <w:r>
        <w:rPr>
          <w:rFonts w:hint="eastAsia"/>
        </w:rPr>
        <w:t xml:space="preserve">  污水综合排放标准</w:t>
      </w:r>
      <w:r>
        <w:rPr>
          <w:rFonts w:hint="eastAsia" w:ascii="MS Gothic" w:hAnsi="MS Gothic" w:eastAsia="MS Gothic" w:cs="MS Gothic"/>
        </w:rPr>
        <w:t>​</w:t>
      </w:r>
    </w:p>
    <w:p w14:paraId="2A454C07">
      <w:pPr>
        <w:pStyle w:val="57"/>
        <w:ind w:firstLine="420"/>
      </w:pPr>
      <w:r>
        <w:t>GB/T 23331</w:t>
      </w:r>
      <w:r>
        <w:rPr>
          <w:rFonts w:hint="eastAsia"/>
        </w:rPr>
        <w:t xml:space="preserve">  能源管理体系</w:t>
      </w:r>
      <w:r>
        <w:t xml:space="preserve"> </w:t>
      </w:r>
      <w:r>
        <w:rPr>
          <w:rFonts w:hint="eastAsia"/>
        </w:rPr>
        <w:t>要求及使用指南</w:t>
      </w:r>
      <w:r>
        <w:rPr>
          <w:rFonts w:hint="eastAsia" w:ascii="MS Gothic" w:hAnsi="MS Gothic" w:eastAsia="MS Gothic" w:cs="MS Gothic"/>
        </w:rPr>
        <w:t>​</w:t>
      </w:r>
    </w:p>
    <w:p w14:paraId="2AC7F5FA">
      <w:pPr>
        <w:pStyle w:val="57"/>
        <w:ind w:firstLine="420"/>
      </w:pPr>
      <w:r>
        <w:t xml:space="preserve">GB/T 32150 </w:t>
      </w:r>
      <w:r>
        <w:rPr>
          <w:rFonts w:hint="eastAsia"/>
        </w:rPr>
        <w:t xml:space="preserve"> 工业企业温室气体排放核算和报告通则</w:t>
      </w:r>
    </w:p>
    <w:p w14:paraId="529643F7">
      <w:pPr>
        <w:pStyle w:val="57"/>
        <w:ind w:firstLine="420"/>
      </w:pPr>
      <w:r>
        <w:t>HJ 637</w:t>
      </w:r>
      <w:r>
        <w:rPr>
          <w:rFonts w:hint="eastAsia"/>
        </w:rPr>
        <w:t xml:space="preserve">  水质 石油类和动植物油类的测定 红外分光光度法</w:t>
      </w:r>
    </w:p>
    <w:p w14:paraId="1C3E0DD2">
      <w:pPr>
        <w:pStyle w:val="105"/>
        <w:spacing w:before="240" w:after="240"/>
      </w:pPr>
      <w:bookmarkStart w:id="71" w:name="_Toc210035469"/>
      <w:r>
        <w:rPr>
          <w:rFonts w:hint="eastAsia"/>
          <w:szCs w:val="21"/>
        </w:rPr>
        <w:t>术语和定义</w:t>
      </w:r>
      <w:bookmarkEnd w:id="64"/>
      <w:bookmarkEnd w:id="65"/>
      <w:bookmarkEnd w:id="66"/>
      <w:bookmarkEnd w:id="67"/>
      <w:bookmarkEnd w:id="68"/>
      <w:bookmarkEnd w:id="69"/>
      <w:bookmarkEnd w:id="70"/>
      <w:bookmarkEnd w:id="71"/>
    </w:p>
    <w:p w14:paraId="482C4104">
      <w:pPr>
        <w:pStyle w:val="57"/>
        <w:ind w:firstLine="420"/>
      </w:pPr>
      <w:bookmarkStart w:id="72" w:name="_Toc26986532"/>
      <w:bookmarkEnd w:id="72"/>
      <w:sdt>
        <w:sdtPr>
          <w:id w:val="-1"/>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本文件没有需要界定的术语和定义。</w:t>
          </w:r>
        </w:sdtContent>
      </w:sdt>
    </w:p>
    <w:p w14:paraId="331AF015">
      <w:pPr>
        <w:pStyle w:val="105"/>
        <w:spacing w:before="240" w:after="240"/>
      </w:pPr>
      <w:bookmarkStart w:id="73" w:name="_Toc210035470"/>
      <w:bookmarkStart w:id="74" w:name="_Toc196487253"/>
      <w:r>
        <w:t>技术要求</w:t>
      </w:r>
      <w:bookmarkEnd w:id="73"/>
    </w:p>
    <w:bookmarkEnd w:id="74"/>
    <w:p w14:paraId="657E94FF">
      <w:pPr>
        <w:pStyle w:val="106"/>
        <w:spacing w:before="120" w:after="120"/>
      </w:pPr>
      <w:r>
        <w:rPr>
          <w:rFonts w:hint="eastAsia"/>
        </w:rPr>
        <w:t>废切削液预处理</w:t>
      </w:r>
    </w:p>
    <w:p w14:paraId="5F5B9AAD">
      <w:pPr>
        <w:pStyle w:val="166"/>
      </w:pPr>
      <w:r>
        <w:rPr>
          <w:rFonts w:hint="eastAsia"/>
        </w:rPr>
        <w:t>应先去除废切削液中的大颗粒杂质（粒径大于</w:t>
      </w:r>
      <w:r>
        <w:t xml:space="preserve"> 1</w:t>
      </w:r>
      <w:r>
        <w:rPr>
          <w:rFonts w:hint="eastAsia"/>
        </w:rPr>
        <w:t xml:space="preserve"> </w:t>
      </w:r>
      <w:r>
        <w:t>mm</w:t>
      </w:r>
      <w:r>
        <w:rPr>
          <w:rFonts w:hint="eastAsia"/>
        </w:rPr>
        <w:t>），可采用滤网过滤、沉淀等方式，去除效率应不低于</w:t>
      </w:r>
      <w:r>
        <w:t xml:space="preserve"> 95%</w:t>
      </w:r>
      <w:r>
        <w:rPr>
          <w:rFonts w:hint="eastAsia"/>
        </w:rPr>
        <w:t>。</w:t>
      </w:r>
      <w:r>
        <w:rPr>
          <w:rFonts w:hint="eastAsia" w:ascii="MS Gothic" w:hAnsi="MS Gothic" w:eastAsia="MS Gothic" w:cs="MS Gothic"/>
        </w:rPr>
        <w:t>​</w:t>
      </w:r>
    </w:p>
    <w:p w14:paraId="08601B7B">
      <w:pPr>
        <w:pStyle w:val="166"/>
      </w:pPr>
      <w:r>
        <w:rPr>
          <w:rFonts w:hint="eastAsia"/>
        </w:rPr>
        <w:t>对于含有浮油的废切削液，应进行除油处理，除油后废切削液中的油含量应不大于 50 mg/L，可采用隔油、吸油毡吸附等工艺。</w:t>
      </w:r>
    </w:p>
    <w:p w14:paraId="16337F72">
      <w:pPr>
        <w:pStyle w:val="106"/>
        <w:spacing w:before="120" w:after="120"/>
      </w:pPr>
      <w:r>
        <w:rPr>
          <w:rFonts w:hint="eastAsia"/>
        </w:rPr>
        <w:t>核心回收处理工艺</w:t>
      </w:r>
      <w:r>
        <w:rPr>
          <w:rFonts w:hint="eastAsia" w:ascii="MS Gothic" w:hAnsi="MS Gothic" w:eastAsia="MS Gothic" w:cs="MS Gothic"/>
        </w:rPr>
        <w:t>​</w:t>
      </w:r>
    </w:p>
    <w:p w14:paraId="2A9C49EF">
      <w:pPr>
        <w:pStyle w:val="166"/>
      </w:pPr>
      <w:r>
        <w:rPr>
          <w:rFonts w:hint="eastAsia"/>
        </w:rPr>
        <w:t>可采用超滤、反渗透、离子交换等工艺组合进行废切削液深度处理，处理后再生切削液的性能应符合</w:t>
      </w:r>
      <w:r>
        <w:t xml:space="preserve"> GB/T 6144</w:t>
      </w:r>
      <w:r>
        <w:rPr>
          <w:rFonts w:hint="eastAsia"/>
        </w:rPr>
        <w:t xml:space="preserve"> 中相应类型切削液的指标要求，具体包括外观、</w:t>
      </w:r>
      <w:r>
        <w:t xml:space="preserve">pH </w:t>
      </w:r>
      <w:r>
        <w:rPr>
          <w:rFonts w:hint="eastAsia"/>
        </w:rPr>
        <w:t>值、运动黏度（</w:t>
      </w:r>
      <w:r>
        <w:t>40</w:t>
      </w:r>
      <w:r>
        <w:rPr>
          <w:rFonts w:hint="eastAsia"/>
        </w:rPr>
        <w:t xml:space="preserve"> ℃）、防锈性能等。</w:t>
      </w:r>
      <w:r>
        <w:rPr>
          <w:rFonts w:hint="eastAsia" w:ascii="MS Gothic" w:hAnsi="MS Gothic" w:eastAsia="MS Gothic" w:cs="MS Gothic"/>
        </w:rPr>
        <w:t>​</w:t>
      </w:r>
    </w:p>
    <w:p w14:paraId="29E4E694">
      <w:pPr>
        <w:pStyle w:val="166"/>
      </w:pPr>
      <w:r>
        <w:rPr>
          <w:rFonts w:hint="eastAsia"/>
        </w:rPr>
        <w:t>再生切削液的回收率应不低于</w:t>
      </w:r>
      <w:r>
        <w:t xml:space="preserve"> 80%</w:t>
      </w:r>
      <w:r>
        <w:rPr>
          <w:rFonts w:hint="eastAsia"/>
        </w:rPr>
        <w:t>，即处理后得到的再生切削液体积与处理前废切削液体积的比值不小于</w:t>
      </w:r>
      <w:r>
        <w:t xml:space="preserve"> 80%</w:t>
      </w:r>
      <w:r>
        <w:rPr>
          <w:rFonts w:hint="eastAsia"/>
        </w:rPr>
        <w:t>。</w:t>
      </w:r>
      <w:r>
        <w:rPr>
          <w:rFonts w:hint="eastAsia" w:ascii="MS Gothic" w:hAnsi="MS Gothic" w:eastAsia="MS Gothic" w:cs="MS Gothic"/>
        </w:rPr>
        <w:t>​</w:t>
      </w:r>
    </w:p>
    <w:p w14:paraId="271F81A6">
      <w:pPr>
        <w:pStyle w:val="166"/>
      </w:pPr>
      <w:r>
        <w:rPr>
          <w:rFonts w:hint="eastAsia"/>
        </w:rPr>
        <w:t>处理过程中产生的废渣、浓缩液等副产物，应按照相关环保要求进行妥善处置，不得随意排放。其中，废渣的含水率应不大于 60%，便于后续运输和处理。</w:t>
      </w:r>
    </w:p>
    <w:p w14:paraId="010C5FE9">
      <w:pPr>
        <w:pStyle w:val="106"/>
        <w:spacing w:before="120" w:after="120"/>
      </w:pPr>
      <w:r>
        <w:rPr>
          <w:rFonts w:hint="eastAsia"/>
        </w:rPr>
        <w:t>设备要求</w:t>
      </w:r>
      <w:r>
        <w:rPr>
          <w:rFonts w:hint="eastAsia" w:ascii="MS Gothic" w:hAnsi="MS Gothic" w:eastAsia="MS Gothic" w:cs="MS Gothic"/>
        </w:rPr>
        <w:t>​</w:t>
      </w:r>
    </w:p>
    <w:p w14:paraId="5109A863">
      <w:pPr>
        <w:pStyle w:val="166"/>
      </w:pPr>
      <w:r>
        <w:rPr>
          <w:rFonts w:hint="eastAsia"/>
        </w:rPr>
        <w:t>用于废切削液原位回收利用的设备，应具有良好的稳定性和可靠性，设备运行故障率应不高于</w:t>
      </w:r>
      <w:r>
        <w:t xml:space="preserve"> 3%/</w:t>
      </w:r>
      <w:r>
        <w:rPr>
          <w:rFonts w:hint="eastAsia"/>
        </w:rPr>
        <w:t>年。</w:t>
      </w:r>
      <w:r>
        <w:rPr>
          <w:rFonts w:hint="eastAsia" w:ascii="MS Gothic" w:hAnsi="MS Gothic" w:eastAsia="MS Gothic" w:cs="MS Gothic"/>
        </w:rPr>
        <w:t>​</w:t>
      </w:r>
    </w:p>
    <w:p w14:paraId="6744516C">
      <w:pPr>
        <w:pStyle w:val="166"/>
      </w:pPr>
      <w:r>
        <w:rPr>
          <w:rFonts w:hint="eastAsia"/>
        </w:rPr>
        <w:t>设备与废切削液接触的部件应采用耐腐蚀材料，如不锈钢</w:t>
      </w:r>
      <w:r>
        <w:t xml:space="preserve"> 304</w:t>
      </w:r>
      <w:r>
        <w:rPr>
          <w:rFonts w:hint="eastAsia"/>
        </w:rPr>
        <w:t>、聚四氟乙烯等，避免因材料腐蚀导致污染物溶出。</w:t>
      </w:r>
      <w:r>
        <w:rPr>
          <w:rFonts w:hint="eastAsia" w:ascii="MS Gothic" w:hAnsi="MS Gothic" w:eastAsia="MS Gothic" w:cs="MS Gothic"/>
        </w:rPr>
        <w:t>​</w:t>
      </w:r>
    </w:p>
    <w:p w14:paraId="5C20602D">
      <w:pPr>
        <w:pStyle w:val="166"/>
      </w:pPr>
      <w:r>
        <w:rPr>
          <w:rFonts w:hint="eastAsia"/>
        </w:rPr>
        <w:t>设备的能耗应符合低碳要求，单位体积废切削液处理能耗应不大于</w:t>
      </w:r>
      <w:r>
        <w:t xml:space="preserve"> 5</w:t>
      </w:r>
      <w:r>
        <w:rPr>
          <w:rFonts w:hint="eastAsia"/>
        </w:rPr>
        <w:t xml:space="preserve"> </w:t>
      </w:r>
      <w:r>
        <w:t>kW</w:t>
      </w:r>
      <w:r>
        <w:rPr>
          <w:rFonts w:hint="eastAsia" w:ascii="MS Gothic" w:hAnsi="MS Gothic" w:eastAsia="MS Gothic" w:cs="MS Gothic"/>
        </w:rPr>
        <w:t>·</w:t>
      </w:r>
      <w:r>
        <w:t>h/m³</w:t>
      </w:r>
      <w:r>
        <w:rPr>
          <w:rFonts w:hint="eastAsia"/>
        </w:rPr>
        <w:t>。</w:t>
      </w:r>
      <w:r>
        <w:rPr>
          <w:rFonts w:hint="eastAsia" w:ascii="MS Gothic" w:hAnsi="MS Gothic" w:eastAsia="MS Gothic" w:cs="MS Gothic"/>
        </w:rPr>
        <w:t>​</w:t>
      </w:r>
    </w:p>
    <w:p w14:paraId="1A20C768">
      <w:pPr>
        <w:pStyle w:val="166"/>
      </w:pPr>
      <w:r>
        <w:rPr>
          <w:rFonts w:hint="eastAsia"/>
        </w:rPr>
        <w:t>设备应配备必要的安全保护装置，如过载保护、漏电保护、压力过高保护等，确保设备运行安全。</w:t>
      </w:r>
    </w:p>
    <w:p w14:paraId="2700C121">
      <w:pPr>
        <w:pStyle w:val="105"/>
        <w:spacing w:before="240" w:after="240"/>
      </w:pPr>
      <w:bookmarkStart w:id="75" w:name="_Toc210035471"/>
      <w:r>
        <w:rPr>
          <w:rFonts w:hint="eastAsia"/>
        </w:rPr>
        <w:t>智慧控制系统</w:t>
      </w:r>
      <w:bookmarkEnd w:id="75"/>
    </w:p>
    <w:p w14:paraId="7F9D4952">
      <w:pPr>
        <w:pStyle w:val="106"/>
        <w:spacing w:before="120" w:after="120"/>
      </w:pPr>
      <w:r>
        <w:rPr>
          <w:rFonts w:hint="eastAsia"/>
        </w:rPr>
        <w:t>数据采集</w:t>
      </w:r>
      <w:r>
        <w:rPr>
          <w:rFonts w:hint="eastAsia" w:ascii="MS Gothic" w:hAnsi="MS Gothic" w:eastAsia="MS Gothic" w:cs="MS Gothic"/>
        </w:rPr>
        <w:t>​</w:t>
      </w:r>
    </w:p>
    <w:p w14:paraId="7AF7E42A">
      <w:pPr>
        <w:pStyle w:val="166"/>
      </w:pPr>
      <w:r>
        <w:rPr>
          <w:rFonts w:hint="eastAsia"/>
        </w:rPr>
        <w:t>智慧控制系统应能实时采集废切削液原位回收利用过程中的关键参数，包括废切削液的温度、</w:t>
      </w:r>
      <w:r>
        <w:t xml:space="preserve">pH </w:t>
      </w:r>
      <w:r>
        <w:rPr>
          <w:rFonts w:hint="eastAsia"/>
        </w:rPr>
        <w:t>值、浊度、油含量、电导率、流量，以及设备的运行温度、压力、电流、电压等。</w:t>
      </w:r>
      <w:r>
        <w:rPr>
          <w:rFonts w:hint="eastAsia" w:ascii="MS Gothic" w:hAnsi="MS Gothic" w:eastAsia="MS Gothic" w:cs="MS Gothic"/>
        </w:rPr>
        <w:t>​</w:t>
      </w:r>
    </w:p>
    <w:p w14:paraId="1B2E2604">
      <w:pPr>
        <w:pStyle w:val="166"/>
      </w:pPr>
      <w:r>
        <w:rPr>
          <w:rFonts w:hint="eastAsia"/>
        </w:rPr>
        <w:t>数据采集频率应不低于</w:t>
      </w:r>
      <w:r>
        <w:t xml:space="preserve"> 1 </w:t>
      </w:r>
      <w:r>
        <w:rPr>
          <w:rFonts w:hint="eastAsia"/>
        </w:rPr>
        <w:t>次</w:t>
      </w:r>
      <w:r>
        <w:t>/</w:t>
      </w:r>
      <w:r>
        <w:rPr>
          <w:rFonts w:hint="eastAsia"/>
        </w:rPr>
        <w:t>min，数据采集精度应满足：温度</w:t>
      </w:r>
      <w:r>
        <w:t xml:space="preserve"> ±0.5</w:t>
      </w:r>
      <w:r>
        <w:rPr>
          <w:rFonts w:hint="eastAsia"/>
        </w:rPr>
        <w:t xml:space="preserve"> ℃、</w:t>
      </w:r>
      <w:r>
        <w:t xml:space="preserve">pH </w:t>
      </w:r>
      <w:r>
        <w:rPr>
          <w:rFonts w:hint="eastAsia"/>
        </w:rPr>
        <w:t>值</w:t>
      </w:r>
      <w:r>
        <w:t xml:space="preserve"> ±0.1</w:t>
      </w:r>
      <w:r>
        <w:rPr>
          <w:rFonts w:hint="eastAsia"/>
        </w:rPr>
        <w:t>、浊度</w:t>
      </w:r>
      <w:r>
        <w:t xml:space="preserve"> ±1</w:t>
      </w:r>
      <w:r>
        <w:rPr>
          <w:rFonts w:hint="eastAsia"/>
        </w:rPr>
        <w:t xml:space="preserve"> </w:t>
      </w:r>
      <w:r>
        <w:t>NTU</w:t>
      </w:r>
      <w:r>
        <w:rPr>
          <w:rFonts w:hint="eastAsia"/>
        </w:rPr>
        <w:t>、油含量</w:t>
      </w:r>
      <w:r>
        <w:t xml:space="preserve"> ±5</w:t>
      </w:r>
      <w:r>
        <w:rPr>
          <w:rFonts w:hint="eastAsia"/>
        </w:rPr>
        <w:t xml:space="preserve"> </w:t>
      </w:r>
      <w:r>
        <w:t>mg/L</w:t>
      </w:r>
      <w:r>
        <w:rPr>
          <w:rFonts w:hint="eastAsia"/>
        </w:rPr>
        <w:t>、流量</w:t>
      </w:r>
      <w:r>
        <w:t xml:space="preserve"> ±2% FS</w:t>
      </w:r>
      <w:r>
        <w:rPr>
          <w:rFonts w:hint="eastAsia"/>
        </w:rPr>
        <w:t>（满量程）。</w:t>
      </w:r>
      <w:r>
        <w:rPr>
          <w:rFonts w:hint="eastAsia" w:ascii="MS Gothic" w:hAnsi="MS Gothic" w:eastAsia="MS Gothic" w:cs="MS Gothic"/>
        </w:rPr>
        <w:t>​</w:t>
      </w:r>
    </w:p>
    <w:p w14:paraId="3857EC20">
      <w:pPr>
        <w:pStyle w:val="166"/>
      </w:pPr>
      <w:r>
        <w:rPr>
          <w:rFonts w:hint="eastAsia"/>
        </w:rPr>
        <w:t>采集的数据应能准确、稳定传输至数据处理单元，传输误码率应不大于</w:t>
      </w:r>
      <w:r>
        <w:t xml:space="preserve"> 10</w:t>
      </w:r>
      <w:r>
        <w:rPr>
          <w:rFonts w:hint="eastAsia"/>
          <w:vertAlign w:val="superscript"/>
        </w:rPr>
        <w:t>-6</w:t>
      </w:r>
      <w:r>
        <w:rPr>
          <w:rFonts w:hint="eastAsia"/>
        </w:rPr>
        <w:t>。</w:t>
      </w:r>
    </w:p>
    <w:p w14:paraId="45BA3476">
      <w:pPr>
        <w:pStyle w:val="106"/>
        <w:spacing w:before="120" w:after="120"/>
      </w:pPr>
      <w:r>
        <w:rPr>
          <w:rFonts w:hint="eastAsia"/>
        </w:rPr>
        <w:t>数据分析与决策</w:t>
      </w:r>
      <w:r>
        <w:rPr>
          <w:rFonts w:hint="eastAsia" w:ascii="MS Gothic" w:hAnsi="MS Gothic" w:eastAsia="MS Gothic" w:cs="MS Gothic"/>
        </w:rPr>
        <w:t>​</w:t>
      </w:r>
    </w:p>
    <w:p w14:paraId="4F2D06CC">
      <w:pPr>
        <w:pStyle w:val="166"/>
      </w:pPr>
      <w:r>
        <w:rPr>
          <w:rFonts w:hint="eastAsia"/>
        </w:rPr>
        <w:t>系统应具备数据分析功能，能够对采集到的实时数据和历史数据进行统计、趋势分析、异常识别等。当关键参数超出预设正常范围时，系统应能及时发出预警信号。</w:t>
      </w:r>
      <w:r>
        <w:rPr>
          <w:rFonts w:hint="eastAsia" w:ascii="MS Gothic" w:hAnsi="MS Gothic" w:eastAsia="MS Gothic" w:cs="MS Gothic"/>
        </w:rPr>
        <w:t>​</w:t>
      </w:r>
    </w:p>
    <w:p w14:paraId="133F95B5">
      <w:pPr>
        <w:pStyle w:val="166"/>
      </w:pPr>
      <w:r>
        <w:rPr>
          <w:rFonts w:hint="eastAsia"/>
        </w:rPr>
        <w:t>系统应能根据数据分析结果，结合预设的工艺优化算法，为废切削液回收利用工艺参数调整提供决策支持，如自动调整过滤精度、除油时间、药剂投加量等。</w:t>
      </w:r>
      <w:r>
        <w:rPr>
          <w:rFonts w:hint="eastAsia" w:ascii="MS Gothic" w:hAnsi="MS Gothic" w:eastAsia="MS Gothic" w:cs="MS Gothic"/>
        </w:rPr>
        <w:t>​</w:t>
      </w:r>
    </w:p>
    <w:p w14:paraId="0069DCB2">
      <w:pPr>
        <w:pStyle w:val="166"/>
        <w:rPr>
          <w:rFonts w:eastAsiaTheme="minorEastAsia"/>
        </w:rPr>
      </w:pPr>
      <w:r>
        <w:rPr>
          <w:rFonts w:hint="eastAsia"/>
        </w:rPr>
        <w:t>系统应具备数据存储功能，存储的历史数据保存时间应不小于</w:t>
      </w:r>
      <w:r>
        <w:t xml:space="preserve"> 1 </w:t>
      </w:r>
      <w:r>
        <w:rPr>
          <w:rFonts w:hint="eastAsia"/>
        </w:rPr>
        <w:t>年，便于后续查询、分析和追溯。</w:t>
      </w:r>
    </w:p>
    <w:p w14:paraId="2B05B1EC">
      <w:pPr>
        <w:pStyle w:val="106"/>
        <w:spacing w:before="120" w:after="120"/>
      </w:pPr>
      <w:r>
        <w:rPr>
          <w:rFonts w:hint="eastAsia"/>
        </w:rPr>
        <w:t>自动控制</w:t>
      </w:r>
    </w:p>
    <w:p w14:paraId="3A79E402">
      <w:pPr>
        <w:pStyle w:val="166"/>
      </w:pPr>
      <w:r>
        <w:rPr>
          <w:rFonts w:hint="eastAsia"/>
        </w:rPr>
        <w:t>智慧控制系统应能根据决策结果，自动控制相关设备的运行状态，实现工艺参数的自动调节，控制精度应满足：</w:t>
      </w:r>
      <w:r>
        <w:t xml:space="preserve">pH </w:t>
      </w:r>
      <w:r>
        <w:rPr>
          <w:rFonts w:hint="eastAsia"/>
        </w:rPr>
        <w:t>值控制偏差</w:t>
      </w:r>
      <w:r>
        <w:t xml:space="preserve"> ±0.2</w:t>
      </w:r>
      <w:r>
        <w:rPr>
          <w:rFonts w:hint="eastAsia"/>
        </w:rPr>
        <w:t>、温度控制偏差</w:t>
      </w:r>
      <w:r>
        <w:t xml:space="preserve"> ±1</w:t>
      </w:r>
      <w:r>
        <w:rPr>
          <w:rFonts w:hint="eastAsia"/>
        </w:rPr>
        <w:t xml:space="preserve"> ℃、流量控制偏差</w:t>
      </w:r>
      <w:r>
        <w:t xml:space="preserve"> ±3% FS</w:t>
      </w:r>
      <w:r>
        <w:rPr>
          <w:rFonts w:hint="eastAsia"/>
        </w:rPr>
        <w:t>。</w:t>
      </w:r>
      <w:r>
        <w:rPr>
          <w:rFonts w:hint="eastAsia" w:ascii="MS Gothic" w:hAnsi="MS Gothic" w:eastAsia="MS Gothic" w:cs="MS Gothic"/>
        </w:rPr>
        <w:t>​</w:t>
      </w:r>
    </w:p>
    <w:p w14:paraId="3165B146">
      <w:pPr>
        <w:pStyle w:val="166"/>
      </w:pPr>
      <w:r>
        <w:rPr>
          <w:rFonts w:hint="eastAsia"/>
        </w:rPr>
        <w:t>系统应具备手动</w:t>
      </w:r>
      <w:r>
        <w:t>/</w:t>
      </w:r>
      <w:r>
        <w:rPr>
          <w:rFonts w:hint="eastAsia"/>
        </w:rPr>
        <w:t>自动切换功能，在自动控制出现故障时，可切换至手动控制模式，确保回收利用过程不中断。</w:t>
      </w:r>
      <w:r>
        <w:rPr>
          <w:rFonts w:hint="eastAsia" w:ascii="MS Gothic" w:hAnsi="MS Gothic" w:eastAsia="MS Gothic" w:cs="MS Gothic"/>
        </w:rPr>
        <w:t>​</w:t>
      </w:r>
    </w:p>
    <w:p w14:paraId="4256288F">
      <w:pPr>
        <w:pStyle w:val="166"/>
      </w:pPr>
      <w:r>
        <w:rPr>
          <w:rFonts w:hint="eastAsia"/>
        </w:rPr>
        <w:t>系统应能与企业的生产管理系统（MES）、能源管理系统（EMS）等进行数据交互，实现信息共享和协同管理。</w:t>
      </w:r>
    </w:p>
    <w:p w14:paraId="2994B448">
      <w:pPr>
        <w:pStyle w:val="105"/>
        <w:spacing w:before="240" w:after="240"/>
      </w:pPr>
      <w:bookmarkStart w:id="76" w:name="_Toc210035472"/>
      <w:r>
        <w:rPr>
          <w:rFonts w:hint="eastAsia"/>
        </w:rPr>
        <w:t>绿色低碳</w:t>
      </w:r>
      <w:bookmarkEnd w:id="76"/>
    </w:p>
    <w:p w14:paraId="784B11EE">
      <w:pPr>
        <w:pStyle w:val="106"/>
        <w:spacing w:before="120" w:after="120"/>
      </w:pPr>
      <w:r>
        <w:rPr>
          <w:rFonts w:hint="eastAsia"/>
        </w:rPr>
        <w:t>能源优化</w:t>
      </w:r>
      <w:r>
        <w:rPr>
          <w:rFonts w:hint="eastAsia" w:ascii="MS Gothic" w:hAnsi="MS Gothic" w:eastAsia="MS Gothic" w:cs="MS Gothic"/>
        </w:rPr>
        <w:t>​</w:t>
      </w:r>
    </w:p>
    <w:p w14:paraId="1E77837B">
      <w:pPr>
        <w:pStyle w:val="166"/>
      </w:pPr>
      <w:r>
        <w:rPr>
          <w:rFonts w:hint="eastAsia"/>
        </w:rPr>
        <w:t>优先采用太阳能、风能等可再生能源为废切削液原位回收利用设备供电，可再生能源供电比例应不低于</w:t>
      </w:r>
      <w:r>
        <w:t xml:space="preserve"> 20%</w:t>
      </w:r>
      <w:r>
        <w:rPr>
          <w:rFonts w:hint="eastAsia"/>
        </w:rPr>
        <w:t>。</w:t>
      </w:r>
      <w:r>
        <w:rPr>
          <w:rFonts w:hint="eastAsia" w:ascii="MS Gothic" w:hAnsi="MS Gothic" w:eastAsia="MS Gothic" w:cs="MS Gothic"/>
        </w:rPr>
        <w:t>​</w:t>
      </w:r>
    </w:p>
    <w:p w14:paraId="28BD002A">
      <w:pPr>
        <w:pStyle w:val="166"/>
      </w:pPr>
      <w:r>
        <w:rPr>
          <w:rFonts w:hint="eastAsia"/>
        </w:rPr>
        <w:t>对设备进行节能改造，如采用变频电机、高效换热器等，降低设备运行能耗。与传统设备相比，节能改造后设备的能耗应降低</w:t>
      </w:r>
      <w:r>
        <w:t xml:space="preserve"> 15% </w:t>
      </w:r>
      <w:r>
        <w:rPr>
          <w:rFonts w:hint="eastAsia"/>
        </w:rPr>
        <w:t>以上。</w:t>
      </w:r>
      <w:r>
        <w:rPr>
          <w:rFonts w:hint="eastAsia" w:ascii="MS Gothic" w:hAnsi="MS Gothic" w:eastAsia="MS Gothic" w:cs="MS Gothic"/>
        </w:rPr>
        <w:t>​</w:t>
      </w:r>
    </w:p>
    <w:p w14:paraId="7E682076">
      <w:pPr>
        <w:pStyle w:val="166"/>
      </w:pPr>
      <w:r>
        <w:rPr>
          <w:rFonts w:hint="eastAsia"/>
        </w:rPr>
        <w:t>优化设备运行时序，避免设备空转，对于间歇性运行的设备，应根据废切削液产生量合理安排运行时间，提高能源利用效率。</w:t>
      </w:r>
    </w:p>
    <w:p w14:paraId="68875305">
      <w:pPr>
        <w:pStyle w:val="106"/>
        <w:spacing w:before="120" w:after="120"/>
      </w:pPr>
      <w:r>
        <w:rPr>
          <w:rFonts w:hint="eastAsia"/>
        </w:rPr>
        <w:t>资源循环</w:t>
      </w:r>
      <w:r>
        <w:rPr>
          <w:rFonts w:hint="eastAsia" w:ascii="MS Gothic" w:hAnsi="MS Gothic" w:eastAsia="MS Gothic" w:cs="MS Gothic"/>
        </w:rPr>
        <w:t>​</w:t>
      </w:r>
    </w:p>
    <w:p w14:paraId="1FA936CF">
      <w:pPr>
        <w:pStyle w:val="166"/>
      </w:pPr>
      <w:r>
        <w:rPr>
          <w:rFonts w:hint="eastAsia"/>
        </w:rPr>
        <w:t>除废切削液回收再生外，处理过程中产生的余热应进行回收利用，可用于加热车间空气或其他生产用水，余热回收利用率应不低于</w:t>
      </w:r>
      <w:r>
        <w:t xml:space="preserve"> 50%</w:t>
      </w:r>
      <w:r>
        <w:rPr>
          <w:rFonts w:hint="eastAsia"/>
        </w:rPr>
        <w:t>。</w:t>
      </w:r>
      <w:r>
        <w:rPr>
          <w:rFonts w:hint="eastAsia" w:ascii="MS Gothic" w:hAnsi="MS Gothic" w:eastAsia="MS Gothic" w:cs="MS Gothic"/>
        </w:rPr>
        <w:t>​</w:t>
      </w:r>
    </w:p>
    <w:p w14:paraId="17765812">
      <w:pPr>
        <w:pStyle w:val="166"/>
      </w:pPr>
      <w:r>
        <w:rPr>
          <w:rFonts w:hint="eastAsia"/>
        </w:rPr>
        <w:t>对于无法回收利用的废渣，应优先考虑资源化处置，如作为建筑材料的原料等，减少固体废物的填埋量。</w:t>
      </w:r>
    </w:p>
    <w:p w14:paraId="629B0221">
      <w:pPr>
        <w:pStyle w:val="106"/>
        <w:spacing w:before="120" w:after="120"/>
      </w:pPr>
      <w:r>
        <w:rPr>
          <w:rFonts w:hint="eastAsia"/>
        </w:rPr>
        <w:t>碳排放核算与管理</w:t>
      </w:r>
      <w:r>
        <w:rPr>
          <w:rFonts w:hint="eastAsia" w:ascii="MS Gothic" w:hAnsi="MS Gothic" w:eastAsia="MS Gothic" w:cs="MS Gothic"/>
        </w:rPr>
        <w:t>​</w:t>
      </w:r>
    </w:p>
    <w:p w14:paraId="220119BD">
      <w:pPr>
        <w:pStyle w:val="166"/>
      </w:pPr>
      <w:r>
        <w:rPr>
          <w:rFonts w:hint="eastAsia"/>
        </w:rPr>
        <w:t>应按照</w:t>
      </w:r>
      <w:r>
        <w:t xml:space="preserve"> GB/T 23331</w:t>
      </w:r>
      <w:r>
        <w:rPr>
          <w:rFonts w:hint="eastAsia"/>
        </w:rPr>
        <w:t xml:space="preserve"> 的要求，建立废切削液原位回收利用过程的碳排放核算体系，定期核算回收利用过程中的碳排放量，核算周期应不超过</w:t>
      </w:r>
      <w:r>
        <w:t xml:space="preserve"> 1 </w:t>
      </w:r>
      <w:r>
        <w:rPr>
          <w:rFonts w:hint="eastAsia"/>
        </w:rPr>
        <w:t>年。</w:t>
      </w:r>
      <w:r>
        <w:rPr>
          <w:rFonts w:hint="eastAsia" w:ascii="MS Gothic" w:hAnsi="MS Gothic" w:eastAsia="MS Gothic" w:cs="MS Gothic"/>
        </w:rPr>
        <w:t>​</w:t>
      </w:r>
    </w:p>
    <w:p w14:paraId="19243CB0">
      <w:pPr>
        <w:pStyle w:val="166"/>
      </w:pPr>
      <w:r>
        <w:rPr>
          <w:rFonts w:hint="eastAsia"/>
        </w:rPr>
        <w:t>根据碳排放核算结果，制定碳排放削减计划，明确削减目标和措施，并定期评估计划的实施效果，确保碳排放量逐年降低，每年碳排放削减率应不低于 5%。</w:t>
      </w:r>
    </w:p>
    <w:p w14:paraId="3C76DB08">
      <w:pPr>
        <w:pStyle w:val="105"/>
        <w:spacing w:before="240" w:after="240"/>
      </w:pPr>
      <w:bookmarkStart w:id="77" w:name="_Toc210035473"/>
      <w:r>
        <w:rPr>
          <w:rFonts w:hint="eastAsia"/>
        </w:rPr>
        <w:t>操作流程</w:t>
      </w:r>
      <w:r>
        <w:rPr>
          <w:rFonts w:hint="eastAsia" w:ascii="MS Gothic" w:hAnsi="MS Gothic" w:eastAsia="MS Gothic" w:cs="MS Gothic"/>
        </w:rPr>
        <w:t>​</w:t>
      </w:r>
      <w:bookmarkEnd w:id="77"/>
    </w:p>
    <w:p w14:paraId="57479FBD">
      <w:pPr>
        <w:pStyle w:val="106"/>
        <w:spacing w:before="120" w:after="120"/>
      </w:pPr>
      <w:bookmarkStart w:id="82" w:name="_GoBack"/>
      <w:r>
        <w:rPr>
          <w:rFonts w:hint="eastAsia"/>
        </w:rPr>
        <w:t>开机前准备</w:t>
      </w:r>
      <w:bookmarkEnd w:id="82"/>
      <w:r>
        <w:rPr>
          <w:rFonts w:hint="eastAsia" w:ascii="MS Gothic" w:hAnsi="MS Gothic" w:eastAsia="MS Gothic" w:cs="MS Gothic"/>
        </w:rPr>
        <w:t>​</w:t>
      </w:r>
    </w:p>
    <w:p w14:paraId="718D326C">
      <w:pPr>
        <w:pStyle w:val="166"/>
      </w:pPr>
      <w:r>
        <w:rPr>
          <w:rFonts w:hint="eastAsia"/>
        </w:rPr>
        <w:t>检查智慧控制系统、回收处理设备的电源、管路、阀门等是否正常，有无泄漏、松动等情况。</w:t>
      </w:r>
      <w:r>
        <w:rPr>
          <w:rFonts w:hint="eastAsia" w:ascii="MS Gothic" w:hAnsi="MS Gothic" w:eastAsia="MS Gothic" w:cs="MS Gothic"/>
        </w:rPr>
        <w:t>​</w:t>
      </w:r>
    </w:p>
    <w:p w14:paraId="24B04F20">
      <w:pPr>
        <w:pStyle w:val="166"/>
      </w:pPr>
      <w:r>
        <w:rPr>
          <w:rFonts w:hint="eastAsia"/>
        </w:rPr>
        <w:t>检查传感器是否校准合格，校准周期应不超过</w:t>
      </w:r>
      <w:r>
        <w:t xml:space="preserve"> 3 </w:t>
      </w:r>
      <w:r>
        <w:rPr>
          <w:rFonts w:hint="eastAsia"/>
        </w:rPr>
        <w:t>个月，确保数据采集的准确性。</w:t>
      </w:r>
      <w:r>
        <w:rPr>
          <w:rFonts w:hint="eastAsia" w:ascii="MS Gothic" w:hAnsi="MS Gothic" w:eastAsia="MS Gothic" w:cs="MS Gothic"/>
        </w:rPr>
        <w:t>​</w:t>
      </w:r>
    </w:p>
    <w:p w14:paraId="6DF209DD">
      <w:pPr>
        <w:pStyle w:val="166"/>
      </w:pPr>
      <w:r>
        <w:rPr>
          <w:rFonts w:hint="eastAsia"/>
        </w:rPr>
        <w:t>检查药剂（如除油剂、絮凝剂等）的储存量和质量，确保药剂充足且在有效期内。</w:t>
      </w:r>
    </w:p>
    <w:p w14:paraId="65093290">
      <w:pPr>
        <w:pStyle w:val="106"/>
        <w:spacing w:before="120" w:after="120"/>
      </w:pPr>
      <w:r>
        <w:rPr>
          <w:rFonts w:hint="eastAsia"/>
        </w:rPr>
        <w:t>开机运行</w:t>
      </w:r>
      <w:r>
        <w:rPr>
          <w:rFonts w:hint="eastAsia" w:ascii="MS Gothic" w:hAnsi="MS Gothic" w:eastAsia="MS Gothic" w:cs="MS Gothic"/>
        </w:rPr>
        <w:t>​</w:t>
      </w:r>
    </w:p>
    <w:p w14:paraId="383918DF">
      <w:pPr>
        <w:pStyle w:val="166"/>
      </w:pPr>
      <w:r>
        <w:rPr>
          <w:rFonts w:hint="eastAsia"/>
        </w:rPr>
        <w:t>启动智慧控制系统，进入自动控制模式，设定各项工艺参数的目标值和预警范围。</w:t>
      </w:r>
      <w:r>
        <w:rPr>
          <w:rFonts w:hint="eastAsia" w:ascii="MS Gothic" w:hAnsi="MS Gothic" w:eastAsia="MS Gothic" w:cs="MS Gothic"/>
        </w:rPr>
        <w:t>​</w:t>
      </w:r>
    </w:p>
    <w:p w14:paraId="096DC4AC">
      <w:pPr>
        <w:pStyle w:val="166"/>
      </w:pPr>
      <w:r>
        <w:rPr>
          <w:rFonts w:hint="eastAsia"/>
        </w:rPr>
        <w:t>开启预处理设备，先进行大颗粒杂质去除和除油处理，待预处理后的废切削液指标符合要求（油含量≤</w:t>
      </w:r>
      <w:r>
        <w:t>50</w:t>
      </w:r>
      <w:r>
        <w:rPr>
          <w:rFonts w:hint="eastAsia"/>
        </w:rPr>
        <w:t xml:space="preserve"> </w:t>
      </w:r>
      <w:r>
        <w:t>mg/L</w:t>
      </w:r>
      <w:r>
        <w:rPr>
          <w:rFonts w:hint="eastAsia"/>
        </w:rPr>
        <w:t>，大颗粒杂质去除率≥</w:t>
      </w:r>
      <w:r>
        <w:t>95%</w:t>
      </w:r>
      <w:r>
        <w:rPr>
          <w:rFonts w:hint="eastAsia"/>
        </w:rPr>
        <w:t>）后，再进入核心回收处理工艺单元。</w:t>
      </w:r>
      <w:r>
        <w:rPr>
          <w:rFonts w:hint="eastAsia" w:ascii="MS Gothic" w:hAnsi="MS Gothic" w:eastAsia="MS Gothic" w:cs="MS Gothic"/>
        </w:rPr>
        <w:t>​</w:t>
      </w:r>
    </w:p>
    <w:p w14:paraId="32B33AB0">
      <w:pPr>
        <w:pStyle w:val="166"/>
      </w:pPr>
      <w:r>
        <w:rPr>
          <w:rFonts w:hint="eastAsia"/>
        </w:rPr>
        <w:t>启动核心回收处理设备，智慧控制系统实时监测各关键参数，根据监测数据自动调节设备运行状态，确保处理过程稳定进行。</w:t>
      </w:r>
      <w:r>
        <w:rPr>
          <w:rFonts w:hint="eastAsia" w:ascii="MS Gothic" w:hAnsi="MS Gothic" w:eastAsia="MS Gothic" w:cs="MS Gothic"/>
        </w:rPr>
        <w:t>​</w:t>
      </w:r>
    </w:p>
    <w:p w14:paraId="2E793543">
      <w:pPr>
        <w:pStyle w:val="166"/>
      </w:pPr>
      <w:r>
        <w:rPr>
          <w:rFonts w:hint="eastAsia"/>
        </w:rPr>
        <w:t>定期取样检测再生切削液的性能指标，检测频率应不低于 1 次/4 h，如发现指标不符合要求，应及时调整工艺参数。</w:t>
      </w:r>
    </w:p>
    <w:p w14:paraId="0F394E7A">
      <w:pPr>
        <w:pStyle w:val="106"/>
        <w:spacing w:before="120" w:after="120"/>
      </w:pPr>
      <w:r>
        <w:rPr>
          <w:rFonts w:hint="eastAsia"/>
        </w:rPr>
        <w:t>关机操作</w:t>
      </w:r>
      <w:r>
        <w:rPr>
          <w:rFonts w:hint="eastAsia" w:ascii="MS Gothic" w:hAnsi="MS Gothic" w:eastAsia="MS Gothic" w:cs="MS Gothic"/>
        </w:rPr>
        <w:t>​</w:t>
      </w:r>
    </w:p>
    <w:p w14:paraId="31817D60">
      <w:pPr>
        <w:pStyle w:val="166"/>
      </w:pPr>
      <w:r>
        <w:rPr>
          <w:rFonts w:hint="eastAsia"/>
        </w:rPr>
        <w:t>当废切削液处理完毕或需要停机时，先关闭核心回收处理设备，再关闭预处理设备。</w:t>
      </w:r>
      <w:r>
        <w:rPr>
          <w:rFonts w:hint="eastAsia" w:ascii="MS Gothic" w:hAnsi="MS Gothic" w:eastAsia="MS Gothic" w:cs="MS Gothic"/>
        </w:rPr>
        <w:t>​</w:t>
      </w:r>
    </w:p>
    <w:p w14:paraId="032767CD">
      <w:pPr>
        <w:pStyle w:val="166"/>
      </w:pPr>
      <w:r>
        <w:rPr>
          <w:rFonts w:hint="eastAsia"/>
        </w:rPr>
        <w:t>关闭智慧控制系统，保存相关运行数据。</w:t>
      </w:r>
      <w:r>
        <w:rPr>
          <w:rFonts w:hint="eastAsia" w:ascii="MS Gothic" w:hAnsi="MS Gothic" w:eastAsia="MS Gothic" w:cs="MS Gothic"/>
        </w:rPr>
        <w:t>​</w:t>
      </w:r>
    </w:p>
    <w:p w14:paraId="10E49535">
      <w:pPr>
        <w:pStyle w:val="166"/>
      </w:pPr>
      <w:r>
        <w:rPr>
          <w:rFonts w:hint="eastAsia"/>
        </w:rPr>
        <w:t>对设备进行清洗、维护，清理滤网、滤芯等易堵塞部件，检查设备有无损坏，做好维护记录。</w:t>
      </w:r>
    </w:p>
    <w:p w14:paraId="3E579045">
      <w:pPr>
        <w:pStyle w:val="105"/>
        <w:spacing w:before="240" w:after="240"/>
      </w:pPr>
      <w:bookmarkStart w:id="78" w:name="_Toc210035474"/>
      <w:r>
        <w:rPr>
          <w:rFonts w:hint="eastAsia"/>
        </w:rPr>
        <w:t>检验方法</w:t>
      </w:r>
      <w:bookmarkEnd w:id="78"/>
    </w:p>
    <w:p w14:paraId="10B31C20">
      <w:pPr>
        <w:pStyle w:val="106"/>
        <w:spacing w:before="120" w:after="120"/>
      </w:pPr>
      <w:r>
        <w:rPr>
          <w:rFonts w:hint="eastAsia"/>
        </w:rPr>
        <w:t>杂质去除效率检验</w:t>
      </w:r>
      <w:r>
        <w:rPr>
          <w:rFonts w:hint="eastAsia" w:ascii="MS Gothic" w:hAnsi="MS Gothic" w:eastAsia="MS Gothic" w:cs="MS Gothic"/>
        </w:rPr>
        <w:t>​</w:t>
      </w:r>
    </w:p>
    <w:p w14:paraId="0709FFD6">
      <w:pPr>
        <w:pStyle w:val="57"/>
        <w:ind w:firstLine="420"/>
      </w:pPr>
      <w:r>
        <w:rPr>
          <w:rFonts w:hint="eastAsia"/>
        </w:rPr>
        <w:t>采用重量法，分别称取过滤或沉淀前后废切削液中杂质的质量，计算杂质去除效率，按公式（1）计算：</w:t>
      </w:r>
    </w:p>
    <w:p w14:paraId="4C206891">
      <w:pPr>
        <w:pStyle w:val="114"/>
      </w:pPr>
      <w:r>
        <w:tab/>
      </w:r>
      <m:oMath>
        <m:r>
          <m:rPr>
            <m:sty m:val="p"/>
          </m:rPr>
          <w:rPr>
            <w:rFonts w:ascii="Cambria Math" w:hAnsi="Cambria Math"/>
          </w:rPr>
          <m:t>η=</m:t>
        </m:r>
        <m:f>
          <m:fPr>
            <m:ctrlPr>
              <w:rPr>
                <w:rFonts w:ascii="Cambria Math" w:hAnsi="Cambria Math"/>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rPr>
            </m:ctrlPr>
          </m:den>
        </m:f>
        <m:r>
          <m:rPr/>
          <w:rPr>
            <w:rFonts w:ascii="Cambria Math" w:hAnsi="Cambria Math"/>
          </w:rPr>
          <m:t>×100%</m:t>
        </m:r>
      </m:oMath>
      <w:r>
        <w:rPr>
          <w:rFonts w:ascii="微软雅黑" w:eastAsia="微软雅黑"/>
        </w:rPr>
        <w:tab/>
      </w:r>
      <w:r>
        <w:t>(</w:t>
      </w:r>
      <w:r>
        <w:fldChar w:fldCharType="begin"/>
      </w:r>
      <w:r>
        <w:instrText xml:space="preserve"> AUTONUM </w:instrText>
      </w:r>
      <w:r>
        <w:fldChar w:fldCharType="end"/>
      </w:r>
      <w:r>
        <w:t>)</w:t>
      </w:r>
    </w:p>
    <w:p w14:paraId="5040D68D">
      <w:pPr>
        <w:pStyle w:val="56"/>
        <w:ind w:firstLine="420"/>
      </w:pPr>
      <w:r>
        <w:rPr>
          <w:rFonts w:hint="eastAsia"/>
        </w:rPr>
        <w:t>式中：</w:t>
      </w:r>
    </w:p>
    <w:p w14:paraId="2ED85648">
      <w:pPr>
        <w:pStyle w:val="57"/>
        <w:ind w:firstLine="420"/>
        <w:rPr>
          <w:rFonts w:ascii="Times New Roman"/>
        </w:rPr>
      </w:pPr>
      <m:oMath>
        <m:r>
          <m:rPr>
            <m:sty m:val="p"/>
          </m:rPr>
          <w:rPr>
            <w:rFonts w:ascii="Cambria Math" w:hAnsi="Cambria Math"/>
          </w:rPr>
          <m:t>η</m:t>
        </m:r>
      </m:oMath>
      <w:r>
        <w:rPr>
          <w:rFonts w:ascii="Times New Roman"/>
        </w:rPr>
        <w:t>——</w:t>
      </w:r>
      <w:r>
        <w:rPr>
          <w:rFonts w:hint="eastAsia"/>
        </w:rPr>
        <w:t>杂质去除效率，单位为%；</w:t>
      </w:r>
    </w:p>
    <w:p w14:paraId="7F136047">
      <w:pPr>
        <w:pStyle w:val="57"/>
        <w:ind w:firstLine="420"/>
        <w:rPr>
          <w:rFonts w:ascii="Times New Roman"/>
        </w:rPr>
      </w:pPr>
      <m:oMath>
        <m:sSub>
          <m:sSubPr>
            <m:ctrlPr>
              <w:rPr>
                <w:rFonts w:ascii="Cambria Math" w:hAnsi="Cambria Math"/>
                <w:i/>
                <w:kern w:val="2"/>
                <w:szCs w:val="21"/>
              </w:rPr>
            </m:ctrlPr>
          </m:sSubPr>
          <m:e>
            <m:r>
              <m:rPr/>
              <w:rPr>
                <w:rFonts w:ascii="Cambria Math" w:hAnsi="Cambria Math"/>
              </w:rPr>
              <m:t>m</m:t>
            </m:r>
            <m:ctrlPr>
              <w:rPr>
                <w:rFonts w:ascii="Cambria Math" w:hAnsi="Cambria Math"/>
                <w:i/>
                <w:kern w:val="2"/>
                <w:szCs w:val="21"/>
              </w:rPr>
            </m:ctrlPr>
          </m:e>
          <m:sub>
            <m:r>
              <m:rPr/>
              <w:rPr>
                <w:rFonts w:ascii="Cambria Math" w:hAnsi="Cambria Math"/>
              </w:rPr>
              <m:t>1</m:t>
            </m:r>
            <m:ctrlPr>
              <w:rPr>
                <w:rFonts w:ascii="Cambria Math" w:hAnsi="Cambria Math"/>
                <w:i/>
                <w:kern w:val="2"/>
                <w:szCs w:val="21"/>
              </w:rPr>
            </m:ctrlPr>
          </m:sub>
        </m:sSub>
      </m:oMath>
      <w:r>
        <w:rPr>
          <w:rFonts w:ascii="Times New Roman"/>
        </w:rPr>
        <w:t>——</w:t>
      </w:r>
      <w:r>
        <w:rPr>
          <w:rFonts w:hint="eastAsia"/>
        </w:rPr>
        <w:t>处理前废切削液中杂质质量，单位为 kg；</w:t>
      </w:r>
    </w:p>
    <w:p w14:paraId="4A9BED8C">
      <w:pPr>
        <w:pStyle w:val="57"/>
        <w:ind w:firstLine="420"/>
        <w:rPr>
          <w:rFonts w:ascii="Times New Roman"/>
        </w:rPr>
      </w:pPr>
      <m:oMath>
        <m:sSub>
          <m:sSubPr>
            <m:ctrlPr>
              <w:rPr>
                <w:rFonts w:ascii="Cambria Math" w:hAnsi="Cambria Math"/>
                <w:i/>
                <w:kern w:val="2"/>
                <w:szCs w:val="21"/>
              </w:rPr>
            </m:ctrlPr>
          </m:sSubPr>
          <m:e>
            <m:r>
              <m:rPr/>
              <w:rPr>
                <w:rFonts w:ascii="Cambria Math" w:hAnsi="Cambria Math"/>
              </w:rPr>
              <m:t>m</m:t>
            </m:r>
            <m:ctrlPr>
              <w:rPr>
                <w:rFonts w:ascii="Cambria Math" w:hAnsi="Cambria Math"/>
                <w:i/>
                <w:kern w:val="2"/>
                <w:szCs w:val="21"/>
              </w:rPr>
            </m:ctrlPr>
          </m:e>
          <m:sub>
            <m:r>
              <m:rPr/>
              <w:rPr>
                <w:rFonts w:ascii="Cambria Math" w:hAnsi="Cambria Math"/>
              </w:rPr>
              <m:t>2</m:t>
            </m:r>
            <m:ctrlPr>
              <w:rPr>
                <w:rFonts w:ascii="Cambria Math" w:hAnsi="Cambria Math"/>
                <w:i/>
                <w:kern w:val="2"/>
                <w:szCs w:val="21"/>
              </w:rPr>
            </m:ctrlPr>
          </m:sub>
        </m:sSub>
      </m:oMath>
      <w:r>
        <w:rPr>
          <w:rFonts w:ascii="Times New Roman"/>
        </w:rPr>
        <w:t>——</w:t>
      </w:r>
      <w:r>
        <w:rPr>
          <w:rFonts w:hint="eastAsia"/>
        </w:rPr>
        <w:t>处理后废切削液中杂质质量，单位为 kg。</w:t>
      </w:r>
    </w:p>
    <w:p w14:paraId="28FBDB9F">
      <w:pPr>
        <w:pStyle w:val="106"/>
        <w:spacing w:before="120" w:after="120"/>
      </w:pPr>
      <w:r>
        <w:rPr>
          <w:rFonts w:hint="eastAsia"/>
        </w:rPr>
        <w:t>油含量检验</w:t>
      </w:r>
      <w:r>
        <w:rPr>
          <w:rFonts w:hint="eastAsia" w:ascii="MS Gothic" w:hAnsi="MS Gothic" w:eastAsia="MS Gothic" w:cs="MS Gothic"/>
        </w:rPr>
        <w:t>​</w:t>
      </w:r>
    </w:p>
    <w:p w14:paraId="498152E0">
      <w:pPr>
        <w:pStyle w:val="57"/>
        <w:ind w:firstLine="420"/>
      </w:pPr>
      <w:r>
        <w:rPr>
          <w:rFonts w:hint="eastAsia"/>
        </w:rPr>
        <w:t>按照</w:t>
      </w:r>
      <w:r>
        <w:t xml:space="preserve"> HJ 637</w:t>
      </w:r>
      <w:r>
        <w:rPr>
          <w:rFonts w:hint="eastAsia"/>
        </w:rPr>
        <w:t xml:space="preserve"> 的规定进行检验。</w:t>
      </w:r>
      <w:r>
        <w:rPr>
          <w:rFonts w:hint="eastAsia" w:ascii="MS Gothic" w:hAnsi="MS Gothic" w:eastAsia="MS Gothic" w:cs="MS Gothic"/>
        </w:rPr>
        <w:t>​</w:t>
      </w:r>
    </w:p>
    <w:p w14:paraId="105CDCFF">
      <w:pPr>
        <w:pStyle w:val="106"/>
        <w:spacing w:before="120" w:after="120"/>
      </w:pPr>
      <w:r>
        <w:rPr>
          <w:rFonts w:hint="eastAsia"/>
        </w:rPr>
        <w:t>再生切削液性能检验</w:t>
      </w:r>
      <w:r>
        <w:rPr>
          <w:rFonts w:hint="eastAsia" w:ascii="MS Gothic" w:hAnsi="MS Gothic" w:eastAsia="MS Gothic" w:cs="MS Gothic"/>
        </w:rPr>
        <w:t>​</w:t>
      </w:r>
    </w:p>
    <w:p w14:paraId="668EBD70">
      <w:pPr>
        <w:pStyle w:val="166"/>
      </w:pPr>
      <w:r>
        <w:rPr>
          <w:rFonts w:hint="eastAsia"/>
        </w:rPr>
        <w:t>外观：采用目视法，在自然光下观察再生切削液的颜色、透明度等。</w:t>
      </w:r>
      <w:r>
        <w:rPr>
          <w:rFonts w:hint="eastAsia" w:ascii="MS Gothic" w:hAnsi="MS Gothic" w:eastAsia="MS Gothic" w:cs="MS Gothic"/>
        </w:rPr>
        <w:t>​</w:t>
      </w:r>
    </w:p>
    <w:p w14:paraId="0B2AE062">
      <w:pPr>
        <w:pStyle w:val="166"/>
      </w:pPr>
      <w:r>
        <w:t xml:space="preserve">pH </w:t>
      </w:r>
      <w:r>
        <w:rPr>
          <w:rFonts w:hint="eastAsia"/>
        </w:rPr>
        <w:t>值：按照</w:t>
      </w:r>
      <w:r>
        <w:t xml:space="preserve"> GB/T 6144</w:t>
      </w:r>
      <w:r>
        <w:rPr>
          <w:rFonts w:hint="eastAsia"/>
        </w:rPr>
        <w:t xml:space="preserve"> 的规定进行检验，使用精度为</w:t>
      </w:r>
      <w:r>
        <w:t xml:space="preserve"> 0.1 </w:t>
      </w:r>
      <w:r>
        <w:rPr>
          <w:rFonts w:hint="eastAsia"/>
        </w:rPr>
        <w:t>的</w:t>
      </w:r>
      <w:r>
        <w:t xml:space="preserve"> pH </w:t>
      </w:r>
      <w:r>
        <w:rPr>
          <w:rFonts w:hint="eastAsia"/>
        </w:rPr>
        <w:t>计。</w:t>
      </w:r>
      <w:r>
        <w:rPr>
          <w:rFonts w:hint="eastAsia" w:ascii="MS Gothic" w:hAnsi="MS Gothic" w:eastAsia="MS Gothic" w:cs="MS Gothic"/>
        </w:rPr>
        <w:t>​</w:t>
      </w:r>
    </w:p>
    <w:p w14:paraId="30EC7397">
      <w:pPr>
        <w:pStyle w:val="166"/>
        <w:rPr>
          <w:rFonts w:eastAsiaTheme="minorEastAsia"/>
        </w:rPr>
      </w:pPr>
      <w:r>
        <w:rPr>
          <w:rFonts w:hint="eastAsia"/>
        </w:rPr>
        <w:t>运动黏度（</w:t>
      </w:r>
      <w:r>
        <w:t>40</w:t>
      </w:r>
      <w:r>
        <w:rPr>
          <w:rFonts w:hint="eastAsia"/>
        </w:rPr>
        <w:t xml:space="preserve"> ℃）：按照</w:t>
      </w:r>
      <w:r>
        <w:t xml:space="preserve"> GB/T 265</w:t>
      </w:r>
      <w:r>
        <w:rPr>
          <w:rFonts w:hint="eastAsia"/>
        </w:rPr>
        <w:t xml:space="preserve"> 的规定进行检验。</w:t>
      </w:r>
    </w:p>
    <w:p w14:paraId="113195B6">
      <w:pPr>
        <w:pStyle w:val="166"/>
      </w:pPr>
      <w:r>
        <w:rPr>
          <w:rFonts w:hint="eastAsia"/>
        </w:rPr>
        <w:t>防锈性能：按照</w:t>
      </w:r>
      <w:r>
        <w:t xml:space="preserve"> GB/T 6144</w:t>
      </w:r>
      <w:r>
        <w:rPr>
          <w:rFonts w:hint="eastAsia"/>
        </w:rPr>
        <w:t xml:space="preserve"> 的规定进行检验。</w:t>
      </w:r>
      <w:r>
        <w:rPr>
          <w:rFonts w:hint="eastAsia" w:ascii="MS Gothic" w:hAnsi="MS Gothic" w:eastAsia="MS Gothic" w:cs="MS Gothic"/>
        </w:rPr>
        <w:t>​</w:t>
      </w:r>
    </w:p>
    <w:p w14:paraId="3C1ADC44">
      <w:pPr>
        <w:pStyle w:val="106"/>
        <w:spacing w:before="120" w:after="120"/>
      </w:pPr>
      <w:r>
        <w:rPr>
          <w:rFonts w:hint="eastAsia"/>
        </w:rPr>
        <w:t>设备能耗检验</w:t>
      </w:r>
      <w:r>
        <w:rPr>
          <w:rFonts w:hint="eastAsia" w:ascii="MS Gothic" w:hAnsi="MS Gothic" w:eastAsia="MS Gothic" w:cs="MS Gothic"/>
        </w:rPr>
        <w:t>​</w:t>
      </w:r>
    </w:p>
    <w:p w14:paraId="79302013">
      <w:pPr>
        <w:pStyle w:val="57"/>
        <w:ind w:firstLine="420"/>
      </w:pPr>
      <w:r>
        <w:rPr>
          <w:rFonts w:hint="eastAsia"/>
        </w:rPr>
        <w:t>采用电能表测量设备运行过程中的总耗电量，记录处理废切削液的体积，计算单位体积废切削液处理能耗，按公式（2）计算：</w:t>
      </w:r>
    </w:p>
    <w:p w14:paraId="0F6E8934">
      <w:pPr>
        <w:pStyle w:val="114"/>
      </w:pPr>
      <w:r>
        <w:tab/>
      </w:r>
      <m:oMath>
        <m:r>
          <m:rPr>
            <m:sty m:val="p"/>
          </m:rPr>
          <w:rPr>
            <w:rFonts w:ascii="Cambria Math" w:hAnsi="Cambria Math"/>
          </w:rPr>
          <m:t>E=</m:t>
        </m:r>
        <m:f>
          <m:fPr>
            <m:ctrlPr>
              <w:rPr>
                <w:rFonts w:ascii="Cambria Math" w:hAnsi="Cambria Math"/>
              </w:rPr>
            </m:ctrlPr>
          </m:fPr>
          <m:num>
            <m:r>
              <m:rPr/>
              <w:rPr>
                <w:rFonts w:ascii="Cambria Math" w:hAnsi="Cambria Math"/>
              </w:rPr>
              <m:t>W</m:t>
            </m:r>
            <m:ctrlPr>
              <w:rPr>
                <w:rFonts w:ascii="Cambria Math" w:hAnsi="Cambria Math"/>
              </w:rPr>
            </m:ctrlPr>
          </m:num>
          <m:den>
            <m:r>
              <m:rPr/>
              <w:rPr>
                <w:rFonts w:ascii="Cambria Math" w:hAnsi="Cambria Math"/>
              </w:rPr>
              <m:t>V</m:t>
            </m:r>
            <m:ctrlPr>
              <w:rPr>
                <w:rFonts w:ascii="Cambria Math" w:hAnsi="Cambria Math"/>
              </w:rPr>
            </m:ctrlPr>
          </m:den>
        </m:f>
      </m:oMath>
      <w:r>
        <w:rPr>
          <w:rFonts w:ascii="微软雅黑" w:hAnsi="微软雅黑" w:eastAsia="微软雅黑"/>
        </w:rPr>
        <w:tab/>
      </w:r>
      <w:r>
        <w:t>(</w:t>
      </w:r>
      <w:r>
        <w:fldChar w:fldCharType="begin"/>
      </w:r>
      <w:r>
        <w:instrText xml:space="preserve"> AUTONUM </w:instrText>
      </w:r>
      <w:r>
        <w:fldChar w:fldCharType="end"/>
      </w:r>
      <w:r>
        <w:t>)</w:t>
      </w:r>
    </w:p>
    <w:p w14:paraId="1052958D">
      <w:pPr>
        <w:pStyle w:val="56"/>
        <w:ind w:firstLine="420"/>
      </w:pPr>
      <w:r>
        <w:rPr>
          <w:rFonts w:hint="eastAsia"/>
        </w:rPr>
        <w:t>式中：</w:t>
      </w:r>
    </w:p>
    <w:p w14:paraId="3313A24A">
      <w:pPr>
        <w:pStyle w:val="57"/>
        <w:ind w:firstLine="420"/>
        <w:rPr>
          <w:rFonts w:ascii="Times New Roman"/>
        </w:rPr>
      </w:pPr>
      <m:oMath>
        <m:r>
          <m:rPr>
            <m:sty m:val="p"/>
          </m:rPr>
          <w:rPr>
            <w:rFonts w:ascii="Cambria Math" w:hAnsi="Cambria Math"/>
          </w:rPr>
          <m:t>E</m:t>
        </m:r>
      </m:oMath>
      <w:r>
        <w:rPr>
          <w:rFonts w:ascii="Times New Roman"/>
        </w:rPr>
        <w:t>——</w:t>
      </w:r>
      <w:r>
        <w:rPr>
          <w:rFonts w:hint="eastAsia"/>
        </w:rPr>
        <w:t xml:space="preserve">单位体积能耗，单位为 </w:t>
      </w:r>
      <w:r>
        <w:t>kW</w:t>
      </w:r>
      <w:r>
        <w:rPr>
          <w:rFonts w:hint="eastAsia" w:ascii="MS Gothic" w:hAnsi="MS Gothic" w:eastAsia="MS Gothic" w:cs="MS Gothic"/>
        </w:rPr>
        <w:t>·</w:t>
      </w:r>
      <w:r>
        <w:t>h/m³</w:t>
      </w:r>
      <w:r>
        <w:rPr>
          <w:rFonts w:hint="eastAsia"/>
        </w:rPr>
        <w:t>；</w:t>
      </w:r>
    </w:p>
    <w:p w14:paraId="0671588D">
      <w:pPr>
        <w:pStyle w:val="57"/>
        <w:ind w:firstLine="420"/>
        <w:rPr>
          <w:rFonts w:ascii="Times New Roman"/>
        </w:rPr>
      </w:pPr>
      <m:oMath>
        <m:r>
          <m:rPr/>
          <w:rPr>
            <w:rFonts w:ascii="Cambria Math" w:hAnsi="Cambria Math"/>
          </w:rPr>
          <m:t>W</m:t>
        </m:r>
      </m:oMath>
      <w:r>
        <w:rPr>
          <w:rFonts w:ascii="Times New Roman"/>
        </w:rPr>
        <w:t>——</w:t>
      </w:r>
      <w:r>
        <w:rPr>
          <w:rFonts w:hint="eastAsia"/>
        </w:rPr>
        <w:t xml:space="preserve">总耗电量，单位为 </w:t>
      </w:r>
      <w:r>
        <w:t>kW</w:t>
      </w:r>
      <w:r>
        <w:rPr>
          <w:rFonts w:hint="eastAsia" w:ascii="MS Gothic" w:hAnsi="MS Gothic" w:eastAsia="MS Gothic" w:cs="MS Gothic"/>
        </w:rPr>
        <w:t>·</w:t>
      </w:r>
      <w:r>
        <w:t>h；</w:t>
      </w:r>
    </w:p>
    <w:p w14:paraId="36F44B01">
      <w:pPr>
        <w:pStyle w:val="57"/>
        <w:ind w:firstLine="420"/>
      </w:pPr>
      <m:oMath>
        <m:r>
          <m:rPr/>
          <w:rPr>
            <w:rFonts w:ascii="Cambria Math" w:hAnsi="Cambria Math"/>
          </w:rPr>
          <m:t>V</m:t>
        </m:r>
      </m:oMath>
      <w:r>
        <w:rPr>
          <w:rFonts w:ascii="Times New Roman"/>
        </w:rPr>
        <w:t>——</w:t>
      </w:r>
      <w:r>
        <w:rPr>
          <w:rFonts w:hint="eastAsia"/>
        </w:rPr>
        <w:t xml:space="preserve">处理废切削液体积，单位为 </w:t>
      </w:r>
      <w:r>
        <w:t>m³。</w:t>
      </w:r>
      <w:r>
        <w:rPr>
          <w:rFonts w:hint="eastAsia" w:ascii="MS Gothic" w:hAnsi="MS Gothic" w:eastAsia="MS Gothic" w:cs="MS Gothic"/>
        </w:rPr>
        <w:t>​</w:t>
      </w:r>
    </w:p>
    <w:p w14:paraId="1FA59EA1">
      <w:pPr>
        <w:pStyle w:val="106"/>
        <w:spacing w:before="120" w:after="120"/>
      </w:pPr>
      <w:r>
        <w:rPr>
          <w:rFonts w:hint="eastAsia"/>
        </w:rPr>
        <w:t>碳排放检验</w:t>
      </w:r>
      <w:r>
        <w:rPr>
          <w:rFonts w:hint="eastAsia" w:ascii="MS Gothic" w:hAnsi="MS Gothic" w:eastAsia="MS Gothic" w:cs="MS Gothic"/>
        </w:rPr>
        <w:t>​</w:t>
      </w:r>
    </w:p>
    <w:p w14:paraId="605756E9">
      <w:pPr>
        <w:pStyle w:val="57"/>
        <w:ind w:firstLine="420"/>
      </w:pPr>
      <w:r>
        <w:rPr>
          <w:rFonts w:hint="eastAsia"/>
        </w:rPr>
        <w:t>按照</w:t>
      </w:r>
      <w:r>
        <w:t xml:space="preserve"> GB/T 32150</w:t>
      </w:r>
      <w:r>
        <w:rPr>
          <w:rFonts w:hint="eastAsia"/>
        </w:rPr>
        <w:t xml:space="preserve"> 的规定，核算废切削液原位回收利用过程中的碳排放量，包括能源消耗产生的碳排放、原材料消耗产生的碳排放等。</w:t>
      </w:r>
    </w:p>
    <w:p w14:paraId="24F04B43">
      <w:pPr>
        <w:pStyle w:val="105"/>
        <w:spacing w:before="240" w:after="240"/>
      </w:pPr>
      <w:bookmarkStart w:id="79" w:name="_Toc210035475"/>
      <w:r>
        <w:rPr>
          <w:rFonts w:hint="eastAsia"/>
        </w:rPr>
        <w:t>安全与环保要求</w:t>
      </w:r>
      <w:r>
        <w:rPr>
          <w:rFonts w:hint="eastAsia" w:ascii="MS Gothic" w:hAnsi="MS Gothic" w:eastAsia="MS Gothic" w:cs="MS Gothic"/>
        </w:rPr>
        <w:t>​</w:t>
      </w:r>
      <w:bookmarkEnd w:id="79"/>
    </w:p>
    <w:p w14:paraId="3FBF417A">
      <w:pPr>
        <w:pStyle w:val="106"/>
        <w:spacing w:before="120" w:after="120"/>
      </w:pPr>
      <w:r>
        <w:rPr>
          <w:rFonts w:hint="eastAsia"/>
        </w:rPr>
        <w:t>安全要求</w:t>
      </w:r>
      <w:r>
        <w:rPr>
          <w:rFonts w:hint="eastAsia" w:ascii="MS Gothic" w:hAnsi="MS Gothic" w:eastAsia="MS Gothic" w:cs="MS Gothic"/>
        </w:rPr>
        <w:t>​</w:t>
      </w:r>
    </w:p>
    <w:p w14:paraId="0C70863C">
      <w:pPr>
        <w:pStyle w:val="166"/>
      </w:pPr>
      <w:r>
        <w:rPr>
          <w:rFonts w:hint="eastAsia"/>
        </w:rPr>
        <w:t>操作人员应经过专业培训，熟悉设备的操作规程和安全注意事项，考核合格后方可上岗。</w:t>
      </w:r>
      <w:r>
        <w:rPr>
          <w:rFonts w:hint="eastAsia" w:ascii="MS Gothic" w:hAnsi="MS Gothic" w:eastAsia="MS Gothic" w:cs="MS Gothic"/>
        </w:rPr>
        <w:t>​</w:t>
      </w:r>
    </w:p>
    <w:p w14:paraId="6FC9000A">
      <w:pPr>
        <w:pStyle w:val="166"/>
      </w:pPr>
      <w:r>
        <w:rPr>
          <w:rFonts w:hint="eastAsia"/>
        </w:rPr>
        <w:t>操作现场应配备必要的安全防护用品，如防护眼镜、耐酸碱手套、防护服等，操作人员在工作时应正确佩戴。</w:t>
      </w:r>
      <w:r>
        <w:rPr>
          <w:rFonts w:hint="eastAsia" w:ascii="MS Gothic" w:hAnsi="MS Gothic" w:eastAsia="MS Gothic" w:cs="MS Gothic"/>
        </w:rPr>
        <w:t>​</w:t>
      </w:r>
    </w:p>
    <w:p w14:paraId="12753FE1">
      <w:pPr>
        <w:pStyle w:val="166"/>
      </w:pPr>
      <w:r>
        <w:rPr>
          <w:rFonts w:hint="eastAsia"/>
        </w:rPr>
        <w:t>设备运行过程中，严禁触摸旋转部件和高温部件，避免发生机械伤害和烫伤事故。</w:t>
      </w:r>
      <w:r>
        <w:rPr>
          <w:rFonts w:hint="eastAsia" w:ascii="MS Gothic" w:hAnsi="MS Gothic" w:eastAsia="MS Gothic" w:cs="MS Gothic"/>
        </w:rPr>
        <w:t>​</w:t>
      </w:r>
    </w:p>
    <w:p w14:paraId="1CF6B848">
      <w:pPr>
        <w:pStyle w:val="166"/>
      </w:pPr>
      <w:r>
        <w:rPr>
          <w:rFonts w:hint="eastAsia"/>
        </w:rPr>
        <w:t>现场应设置应急照明、消防器材等应急设施，应急设施应定期检查，确保完好有效。同时，应制定应急预案，定期组织应急演练，演练频率应不低于</w:t>
      </w:r>
      <w:r>
        <w:t xml:space="preserve"> 1 </w:t>
      </w:r>
      <w:r>
        <w:rPr>
          <w:rFonts w:hint="eastAsia"/>
        </w:rPr>
        <w:t>次</w:t>
      </w:r>
      <w:r>
        <w:t>/</w:t>
      </w:r>
      <w:r>
        <w:rPr>
          <w:rFonts w:hint="eastAsia"/>
        </w:rPr>
        <w:t>年。</w:t>
      </w:r>
      <w:r>
        <w:rPr>
          <w:rFonts w:hint="eastAsia" w:ascii="MS Gothic" w:hAnsi="MS Gothic" w:eastAsia="MS Gothic" w:cs="MS Gothic"/>
        </w:rPr>
        <w:t>​</w:t>
      </w:r>
    </w:p>
    <w:p w14:paraId="2AB78A18">
      <w:pPr>
        <w:pStyle w:val="106"/>
        <w:spacing w:before="120" w:after="120"/>
      </w:pPr>
      <w:r>
        <w:rPr>
          <w:rFonts w:hint="eastAsia"/>
        </w:rPr>
        <w:t>环保要求</w:t>
      </w:r>
      <w:r>
        <w:rPr>
          <w:rFonts w:hint="eastAsia" w:ascii="MS Gothic" w:hAnsi="MS Gothic" w:eastAsia="MS Gothic" w:cs="MS Gothic"/>
        </w:rPr>
        <w:t>​</w:t>
      </w:r>
    </w:p>
    <w:p w14:paraId="6CDDF212">
      <w:pPr>
        <w:pStyle w:val="166"/>
        <w:rPr>
          <w:rFonts w:eastAsiaTheme="minorEastAsia"/>
        </w:rPr>
      </w:pPr>
      <w:r>
        <w:rPr>
          <w:rFonts w:hint="eastAsia"/>
        </w:rPr>
        <w:t>废切削液原位回收利用过程中产生的废水、废气、废渣等污染物，应按照</w:t>
      </w:r>
      <w:r>
        <w:t xml:space="preserve"> GB 8978</w:t>
      </w:r>
      <w:r>
        <w:rPr>
          <w:rFonts w:hint="eastAsia"/>
        </w:rPr>
        <w:t xml:space="preserve"> 等相关环保标准进行处理，达标后排放或处置。其中，废水排放应符合</w:t>
      </w:r>
      <w:r>
        <w:t xml:space="preserve"> GB 8978</w:t>
      </w:r>
      <w:r>
        <w:rPr>
          <w:rFonts w:hint="eastAsia"/>
        </w:rPr>
        <w:t xml:space="preserve"> 的一级标准要求。</w:t>
      </w:r>
    </w:p>
    <w:p w14:paraId="1F143CF3">
      <w:pPr>
        <w:pStyle w:val="166"/>
      </w:pPr>
      <w:r>
        <w:rPr>
          <w:rFonts w:hint="eastAsia"/>
        </w:rPr>
        <w:t>禁止将未经处理或处理不达标的废切削液、废渣等直接排放到环境中。</w:t>
      </w:r>
      <w:r>
        <w:rPr>
          <w:rFonts w:hint="eastAsia" w:ascii="MS Gothic" w:hAnsi="MS Gothic" w:eastAsia="MS Gothic" w:cs="MS Gothic"/>
        </w:rPr>
        <w:t>​</w:t>
      </w:r>
    </w:p>
    <w:p w14:paraId="7701BFC6">
      <w:pPr>
        <w:pStyle w:val="166"/>
      </w:pPr>
      <w:r>
        <w:rPr>
          <w:rFonts w:hint="eastAsia"/>
        </w:rPr>
        <w:t>应定期对操作现场及周边环境进行监测，监测项目包括地下水、土壤、空气质量等，监测周期应不低于</w:t>
      </w:r>
      <w:r>
        <w:t xml:space="preserve"> 1 </w:t>
      </w:r>
      <w:r>
        <w:rPr>
          <w:rFonts w:hint="eastAsia"/>
        </w:rPr>
        <w:t>次</w:t>
      </w:r>
      <w:r>
        <w:t>/</w:t>
      </w:r>
      <w:r>
        <w:rPr>
          <w:rFonts w:hint="eastAsia"/>
        </w:rPr>
        <w:t>半年，确保周边环境不受污染。</w:t>
      </w:r>
      <w:r>
        <w:rPr>
          <w:rFonts w:hint="eastAsia" w:ascii="MS Gothic" w:hAnsi="MS Gothic" w:eastAsia="MS Gothic" w:cs="MS Gothic"/>
        </w:rPr>
        <w:t>​</w:t>
      </w:r>
    </w:p>
    <w:p w14:paraId="584891FC">
      <w:pPr>
        <w:pStyle w:val="105"/>
        <w:spacing w:before="240" w:after="240"/>
      </w:pPr>
      <w:bookmarkStart w:id="80" w:name="_Toc210035476"/>
      <w:r>
        <w:rPr>
          <w:rFonts w:hint="eastAsia"/>
        </w:rPr>
        <w:t>档案管理</w:t>
      </w:r>
      <w:r>
        <w:rPr>
          <w:rFonts w:hint="eastAsia" w:ascii="MS Gothic" w:hAnsi="MS Gothic" w:eastAsia="MS Gothic" w:cs="MS Gothic"/>
        </w:rPr>
        <w:t>​</w:t>
      </w:r>
      <w:bookmarkEnd w:id="80"/>
    </w:p>
    <w:p w14:paraId="06FC7B70">
      <w:pPr>
        <w:pStyle w:val="163"/>
      </w:pPr>
      <w:r>
        <w:rPr>
          <w:rFonts w:hint="eastAsia"/>
        </w:rPr>
        <w:t>应建立废切削液原位绿色低碳智慧回收利用的档案管理制度，对相关文件和记录进行统一管理。</w:t>
      </w:r>
      <w:r>
        <w:rPr>
          <w:rFonts w:hint="eastAsia" w:ascii="MS Gothic" w:hAnsi="MS Gothic" w:eastAsia="MS Gothic" w:cs="MS Gothic"/>
        </w:rPr>
        <w:t>​</w:t>
      </w:r>
    </w:p>
    <w:p w14:paraId="5EA5BA47">
      <w:pPr>
        <w:pStyle w:val="163"/>
      </w:pPr>
      <w:r>
        <w:rPr>
          <w:rFonts w:hint="eastAsia"/>
        </w:rPr>
        <w:t>档案内容应包括：设备采购合同、说明书、合格证，操作人员培训记录、考核证书，设备运行记录（如运行时间、关键参数、故障情况等），检验检测记录（如杂质去除效率、油含量、再生切削液性能等），碳排放核算记录，应急预案及演练记录，环保监测报告等。</w:t>
      </w:r>
      <w:r>
        <w:rPr>
          <w:rFonts w:hint="eastAsia" w:ascii="MS Gothic" w:hAnsi="MS Gothic" w:eastAsia="MS Gothic" w:cs="MS Gothic"/>
        </w:rPr>
        <w:t>​</w:t>
      </w:r>
    </w:p>
    <w:p w14:paraId="69F92C79">
      <w:pPr>
        <w:pStyle w:val="163"/>
      </w:pPr>
      <w:r>
        <w:rPr>
          <w:rFonts w:hint="eastAsia"/>
        </w:rPr>
        <w:t>档案应妥善保存，纸质档案应存放在干燥、通风、防火、防潮的场所，电子档案应进行备份，保存期限应不低于</w:t>
      </w:r>
      <w:r>
        <w:t xml:space="preserve"> 5 </w:t>
      </w:r>
      <w:r>
        <w:rPr>
          <w:rFonts w:hint="eastAsia"/>
        </w:rPr>
        <w:t>年。</w:t>
      </w:r>
      <w:r>
        <w:rPr>
          <w:rFonts w:hint="eastAsia" w:ascii="MS Gothic" w:hAnsi="MS Gothic" w:eastAsia="MS Gothic" w:cs="MS Gothic"/>
        </w:rPr>
        <w:t>​</w:t>
      </w:r>
    </w:p>
    <w:p w14:paraId="1180E845">
      <w:pPr>
        <w:pStyle w:val="163"/>
      </w:pPr>
      <w:r>
        <w:rPr>
          <w:rFonts w:hint="eastAsia"/>
        </w:rPr>
        <w:t>档案应便于查询和追溯，建立档案索引，明确档案的保管责任人。</w:t>
      </w:r>
    </w:p>
    <w:p w14:paraId="197DE04C">
      <w:pPr>
        <w:pStyle w:val="57"/>
        <w:ind w:firstLine="420"/>
      </w:pPr>
    </w:p>
    <w:p w14:paraId="358C90EB">
      <w:pPr>
        <w:pStyle w:val="57"/>
        <w:ind w:firstLine="420"/>
      </w:pPr>
    </w:p>
    <w:p w14:paraId="607B828E">
      <w:pPr>
        <w:pStyle w:val="57"/>
        <w:ind w:firstLine="420"/>
      </w:pPr>
    </w:p>
    <w:bookmarkEnd w:id="28"/>
    <w:p w14:paraId="6B035511">
      <w:pPr>
        <w:pStyle w:val="57"/>
        <w:ind w:firstLine="0" w:firstLineChars="0"/>
        <w:jc w:val="center"/>
      </w:pPr>
      <w:bookmarkStart w:id="81"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stretch>
                      <a:fillRect/>
                    </a:stretch>
                  </pic:blipFill>
                  <pic:spPr>
                    <a:xfrm>
                      <a:off x="0" y="0"/>
                      <a:ext cx="1485900" cy="317500"/>
                    </a:xfrm>
                    <a:prstGeom prst="rect">
                      <a:avLst/>
                    </a:prstGeom>
                  </pic:spPr>
                </pic:pic>
              </a:graphicData>
            </a:graphic>
          </wp:inline>
        </w:drawing>
      </w:r>
      <w:bookmarkEnd w:id="81"/>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4102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C78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46B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43CD">
    <w:pPr>
      <w:pStyle w:val="53"/>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A7C6">
    <w:pPr>
      <w:pStyle w:val="52"/>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CB81">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8BEC">
    <w:pPr>
      <w:pStyle w:val="52"/>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9D6C">
    <w:pPr>
      <w:pStyle w:val="53"/>
    </w:pPr>
    <w:r>
      <w:fldChar w:fldCharType="begin"/>
    </w:r>
    <w:r>
      <w:instrText xml:space="preserve">PAGE   \* MERGEFORMAT</w:instrText>
    </w:r>
    <w:r>
      <w:fldChar w:fldCharType="separate"/>
    </w:r>
    <w:r>
      <w:rPr>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7D330">
    <w:pPr>
      <w:pStyle w:val="52"/>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D327">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3C4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CD6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DD7B">
    <w:pPr>
      <w:pStyle w:val="62"/>
    </w:pPr>
    <w:r>
      <w:fldChar w:fldCharType="begin"/>
    </w:r>
    <w:r>
      <w:instrText xml:space="preserve"> STYLEREF  标准文件_文件编号  \* MERGEFORMAT </w:instrText>
    </w:r>
    <w:r>
      <w:fldChar w:fldCharType="separate"/>
    </w:r>
    <w: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8C78">
    <w:pPr>
      <w:pStyle w:val="63"/>
    </w:pPr>
    <w:r>
      <w:fldChar w:fldCharType="begin"/>
    </w:r>
    <w:r>
      <w:instrText xml:space="preserve"> STYLEREF  标准文件_文件编号 \* MERGEFORMAT </w:instrText>
    </w:r>
    <w:r>
      <w:fldChar w:fldCharType="separate"/>
    </w:r>
    <w:r>
      <w:t>T/CASMES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37A5">
    <w:pPr>
      <w:pStyle w:val="62"/>
    </w:pPr>
    <w:r>
      <w:fldChar w:fldCharType="begin"/>
    </w:r>
    <w:r>
      <w:instrText xml:space="preserve"> STYLEREF  标准文件_文件编号  \* MERGEFORMAT </w:instrText>
    </w:r>
    <w:r>
      <w:fldChar w:fldCharType="separate"/>
    </w:r>
    <w:r>
      <w:t>T/CASMES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7EBFB">
    <w:pPr>
      <w:pStyle w:val="63"/>
    </w:pPr>
    <w:r>
      <w:fldChar w:fldCharType="begin"/>
    </w:r>
    <w:r>
      <w:instrText xml:space="preserve"> STYLEREF  标准文件_文件编号 \* MERGEFORMAT </w:instrText>
    </w:r>
    <w:r>
      <w:fldChar w:fldCharType="separate"/>
    </w:r>
    <w:r>
      <w:t>T/CASMES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EF6B">
    <w:pPr>
      <w:pStyle w:val="62"/>
    </w:pPr>
    <w:r>
      <w:fldChar w:fldCharType="begin"/>
    </w:r>
    <w:r>
      <w:instrText xml:space="preserve"> STYLEREF  标准文件_文件编号  \* MERGEFORMAT </w:instrText>
    </w:r>
    <w:r>
      <w:fldChar w:fldCharType="separate"/>
    </w:r>
    <w:r>
      <w:t>T/CASMES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D647">
    <w:pPr>
      <w:pStyle w:val="63"/>
    </w:pPr>
    <w:r>
      <w:fldChar w:fldCharType="begin"/>
    </w:r>
    <w:r>
      <w:instrText xml:space="preserve"> STYLEREF  标准文件_文件编号 \* MERGEFORMAT </w:instrText>
    </w:r>
    <w:r>
      <w:fldChar w:fldCharType="separate"/>
    </w:r>
    <w:r>
      <w:t>T/CASMES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1" w:cryptProviderType="rsaFull" w:cryptAlgorithmClass="hash" w:cryptAlgorithmType="typeAny" w:cryptAlgorithmSid="4" w:cryptSpinCount="100000" w:hash="5queqWpqFyVCekuE7uKiTHVn3Yk=" w:salt="vVYA4vw8jQ5AMCpjmrNlUg=="/>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40A"/>
    <w:rsid w:val="00000A94"/>
    <w:rsid w:val="00001972"/>
    <w:rsid w:val="00001D9A"/>
    <w:rsid w:val="00003B8E"/>
    <w:rsid w:val="00007B3A"/>
    <w:rsid w:val="000107E0"/>
    <w:rsid w:val="00010B22"/>
    <w:rsid w:val="000115F7"/>
    <w:rsid w:val="00011C7E"/>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60C"/>
    <w:rsid w:val="00077B64"/>
    <w:rsid w:val="00080A1C"/>
    <w:rsid w:val="00082317"/>
    <w:rsid w:val="00083D2C"/>
    <w:rsid w:val="00083D3A"/>
    <w:rsid w:val="00086AA1"/>
    <w:rsid w:val="00087A77"/>
    <w:rsid w:val="00090CA6"/>
    <w:rsid w:val="0009229B"/>
    <w:rsid w:val="00092B8A"/>
    <w:rsid w:val="00092FB0"/>
    <w:rsid w:val="000934C5"/>
    <w:rsid w:val="00093D25"/>
    <w:rsid w:val="00093DAB"/>
    <w:rsid w:val="00094D73"/>
    <w:rsid w:val="00096D63"/>
    <w:rsid w:val="000A0B60"/>
    <w:rsid w:val="000A0EB8"/>
    <w:rsid w:val="000A19FC"/>
    <w:rsid w:val="000A296B"/>
    <w:rsid w:val="000A38AD"/>
    <w:rsid w:val="000A38C5"/>
    <w:rsid w:val="000A62BD"/>
    <w:rsid w:val="000A7311"/>
    <w:rsid w:val="000B060F"/>
    <w:rsid w:val="000B1592"/>
    <w:rsid w:val="000B1FF2"/>
    <w:rsid w:val="000B3CDA"/>
    <w:rsid w:val="000B6A0B"/>
    <w:rsid w:val="000C0F6C"/>
    <w:rsid w:val="000C11DB"/>
    <w:rsid w:val="000C1492"/>
    <w:rsid w:val="000C2FBD"/>
    <w:rsid w:val="000C4B41"/>
    <w:rsid w:val="000C56A8"/>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321C6"/>
    <w:rsid w:val="001325C4"/>
    <w:rsid w:val="00133010"/>
    <w:rsid w:val="001338EE"/>
    <w:rsid w:val="00133AAE"/>
    <w:rsid w:val="00135323"/>
    <w:rsid w:val="001356C4"/>
    <w:rsid w:val="00137565"/>
    <w:rsid w:val="00141114"/>
    <w:rsid w:val="0014145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5AF6"/>
    <w:rsid w:val="00187A0B"/>
    <w:rsid w:val="00190087"/>
    <w:rsid w:val="001913C4"/>
    <w:rsid w:val="0019348F"/>
    <w:rsid w:val="00193A07"/>
    <w:rsid w:val="00194C95"/>
    <w:rsid w:val="00195C34"/>
    <w:rsid w:val="00196EF5"/>
    <w:rsid w:val="001975FC"/>
    <w:rsid w:val="001A1A53"/>
    <w:rsid w:val="001A234A"/>
    <w:rsid w:val="001A4CF3"/>
    <w:rsid w:val="001A6696"/>
    <w:rsid w:val="001B06E8"/>
    <w:rsid w:val="001B6B9A"/>
    <w:rsid w:val="001B71D0"/>
    <w:rsid w:val="001B71EE"/>
    <w:rsid w:val="001C04A8"/>
    <w:rsid w:val="001C08BD"/>
    <w:rsid w:val="001C1A31"/>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766"/>
    <w:rsid w:val="00202AA4"/>
    <w:rsid w:val="002031F7"/>
    <w:rsid w:val="00203DC4"/>
    <w:rsid w:val="002040E6"/>
    <w:rsid w:val="0020527B"/>
    <w:rsid w:val="00205F2C"/>
    <w:rsid w:val="00210B15"/>
    <w:rsid w:val="002142EA"/>
    <w:rsid w:val="00215ADD"/>
    <w:rsid w:val="002204BB"/>
    <w:rsid w:val="00221B79"/>
    <w:rsid w:val="00221C6B"/>
    <w:rsid w:val="002224A5"/>
    <w:rsid w:val="00222A0D"/>
    <w:rsid w:val="002253A1"/>
    <w:rsid w:val="00225CF8"/>
    <w:rsid w:val="00226A7C"/>
    <w:rsid w:val="0022794E"/>
    <w:rsid w:val="00231E41"/>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C6F"/>
    <w:rsid w:val="002B1966"/>
    <w:rsid w:val="002B4508"/>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EC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5C5D"/>
    <w:rsid w:val="003F6272"/>
    <w:rsid w:val="00400E72"/>
    <w:rsid w:val="00401400"/>
    <w:rsid w:val="00401D97"/>
    <w:rsid w:val="00402631"/>
    <w:rsid w:val="00404869"/>
    <w:rsid w:val="00405884"/>
    <w:rsid w:val="004059A2"/>
    <w:rsid w:val="00407D39"/>
    <w:rsid w:val="0041477A"/>
    <w:rsid w:val="004167A3"/>
    <w:rsid w:val="00427947"/>
    <w:rsid w:val="00432DAA"/>
    <w:rsid w:val="0043339D"/>
    <w:rsid w:val="00434305"/>
    <w:rsid w:val="00435DF7"/>
    <w:rsid w:val="0043741A"/>
    <w:rsid w:val="004378F9"/>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CF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158"/>
    <w:rsid w:val="004E4AA5"/>
    <w:rsid w:val="004E4AEE"/>
    <w:rsid w:val="004E59E3"/>
    <w:rsid w:val="004E67C0"/>
    <w:rsid w:val="004F0C91"/>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61C"/>
    <w:rsid w:val="00526DDA"/>
    <w:rsid w:val="00533D04"/>
    <w:rsid w:val="00534804"/>
    <w:rsid w:val="00534BDF"/>
    <w:rsid w:val="00535335"/>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7FF"/>
    <w:rsid w:val="00604784"/>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0956"/>
    <w:rsid w:val="00651ACB"/>
    <w:rsid w:val="00651C47"/>
    <w:rsid w:val="00652AB2"/>
    <w:rsid w:val="00653FED"/>
    <w:rsid w:val="00654EC0"/>
    <w:rsid w:val="0065525B"/>
    <w:rsid w:val="0065585D"/>
    <w:rsid w:val="00655D4F"/>
    <w:rsid w:val="00656D29"/>
    <w:rsid w:val="006640E5"/>
    <w:rsid w:val="006646F1"/>
    <w:rsid w:val="00664929"/>
    <w:rsid w:val="00664F62"/>
    <w:rsid w:val="006655E1"/>
    <w:rsid w:val="0066691C"/>
    <w:rsid w:val="00667220"/>
    <w:rsid w:val="00672060"/>
    <w:rsid w:val="00672BFD"/>
    <w:rsid w:val="00673285"/>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BC4"/>
    <w:rsid w:val="006A6F93"/>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4F58"/>
    <w:rsid w:val="00715E04"/>
    <w:rsid w:val="00722FBF"/>
    <w:rsid w:val="00722FC2"/>
    <w:rsid w:val="00723FEF"/>
    <w:rsid w:val="00724E1B"/>
    <w:rsid w:val="00725949"/>
    <w:rsid w:val="00727FA2"/>
    <w:rsid w:val="007322D9"/>
    <w:rsid w:val="00732BC0"/>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402"/>
    <w:rsid w:val="00756B26"/>
    <w:rsid w:val="00756EDF"/>
    <w:rsid w:val="007600E3"/>
    <w:rsid w:val="00761F56"/>
    <w:rsid w:val="00765B5D"/>
    <w:rsid w:val="00765C43"/>
    <w:rsid w:val="00765EFB"/>
    <w:rsid w:val="007671CA"/>
    <w:rsid w:val="00767C61"/>
    <w:rsid w:val="0077008A"/>
    <w:rsid w:val="00773C1F"/>
    <w:rsid w:val="00774DA4"/>
    <w:rsid w:val="00776599"/>
    <w:rsid w:val="0078114B"/>
    <w:rsid w:val="00781DD2"/>
    <w:rsid w:val="00783ECF"/>
    <w:rsid w:val="0078413A"/>
    <w:rsid w:val="007924A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6D9"/>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5CFC"/>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BB6"/>
    <w:rsid w:val="008E5518"/>
    <w:rsid w:val="008E652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1E1"/>
    <w:rsid w:val="00993889"/>
    <w:rsid w:val="0099551B"/>
    <w:rsid w:val="00996BD2"/>
    <w:rsid w:val="00997BF1"/>
    <w:rsid w:val="009A089C"/>
    <w:rsid w:val="009A118E"/>
    <w:rsid w:val="009A21CD"/>
    <w:rsid w:val="009A278C"/>
    <w:rsid w:val="009A2BC2"/>
    <w:rsid w:val="009A42C1"/>
    <w:rsid w:val="009A5429"/>
    <w:rsid w:val="009A722E"/>
    <w:rsid w:val="009A72AD"/>
    <w:rsid w:val="009B09E0"/>
    <w:rsid w:val="009B0BC5"/>
    <w:rsid w:val="009B1247"/>
    <w:rsid w:val="009B4566"/>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D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10"/>
    <w:rsid w:val="00AD44FA"/>
    <w:rsid w:val="00AE070A"/>
    <w:rsid w:val="00AE101C"/>
    <w:rsid w:val="00AE2A69"/>
    <w:rsid w:val="00AE37E5"/>
    <w:rsid w:val="00AE5EB4"/>
    <w:rsid w:val="00AE6C74"/>
    <w:rsid w:val="00AF0C18"/>
    <w:rsid w:val="00AF47C5"/>
    <w:rsid w:val="00AF5398"/>
    <w:rsid w:val="00B013AC"/>
    <w:rsid w:val="00B049AF"/>
    <w:rsid w:val="00B06420"/>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0E59"/>
    <w:rsid w:val="00B52120"/>
    <w:rsid w:val="00B54ABC"/>
    <w:rsid w:val="00B557CE"/>
    <w:rsid w:val="00B56FBE"/>
    <w:rsid w:val="00B60ACF"/>
    <w:rsid w:val="00B62B58"/>
    <w:rsid w:val="00B65149"/>
    <w:rsid w:val="00B66567"/>
    <w:rsid w:val="00B66F52"/>
    <w:rsid w:val="00B66FE5"/>
    <w:rsid w:val="00B72880"/>
    <w:rsid w:val="00B758BF"/>
    <w:rsid w:val="00B77EC8"/>
    <w:rsid w:val="00B827A6"/>
    <w:rsid w:val="00B8288C"/>
    <w:rsid w:val="00B831CE"/>
    <w:rsid w:val="00B86677"/>
    <w:rsid w:val="00B87131"/>
    <w:rsid w:val="00B87F2B"/>
    <w:rsid w:val="00B90277"/>
    <w:rsid w:val="00B939B1"/>
    <w:rsid w:val="00B96D40"/>
    <w:rsid w:val="00B97386"/>
    <w:rsid w:val="00BA263B"/>
    <w:rsid w:val="00BA42B2"/>
    <w:rsid w:val="00BA4C0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758"/>
    <w:rsid w:val="00C24C8D"/>
    <w:rsid w:val="00C25FE2"/>
    <w:rsid w:val="00C26B53"/>
    <w:rsid w:val="00C279B2"/>
    <w:rsid w:val="00C33E50"/>
    <w:rsid w:val="00C34C20"/>
    <w:rsid w:val="00C35A3E"/>
    <w:rsid w:val="00C37D67"/>
    <w:rsid w:val="00C42130"/>
    <w:rsid w:val="00C423A4"/>
    <w:rsid w:val="00C423E3"/>
    <w:rsid w:val="00C44BF5"/>
    <w:rsid w:val="00C507C7"/>
    <w:rsid w:val="00C521D6"/>
    <w:rsid w:val="00C52748"/>
    <w:rsid w:val="00C5358F"/>
    <w:rsid w:val="00C55232"/>
    <w:rsid w:val="00C553A4"/>
    <w:rsid w:val="00C55A06"/>
    <w:rsid w:val="00C55D03"/>
    <w:rsid w:val="00C601BC"/>
    <w:rsid w:val="00C602DD"/>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30EA"/>
    <w:rsid w:val="00CF048A"/>
    <w:rsid w:val="00CF155A"/>
    <w:rsid w:val="00CF2947"/>
    <w:rsid w:val="00CF3C51"/>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BC9"/>
    <w:rsid w:val="00D33333"/>
    <w:rsid w:val="00D352A2"/>
    <w:rsid w:val="00D4162B"/>
    <w:rsid w:val="00D4514F"/>
    <w:rsid w:val="00D451E2"/>
    <w:rsid w:val="00D45E89"/>
    <w:rsid w:val="00D45E8D"/>
    <w:rsid w:val="00D466AE"/>
    <w:rsid w:val="00D4734F"/>
    <w:rsid w:val="00D51BF3"/>
    <w:rsid w:val="00D54D56"/>
    <w:rsid w:val="00D66846"/>
    <w:rsid w:val="00D675FB"/>
    <w:rsid w:val="00D71F25"/>
    <w:rsid w:val="00D72A9C"/>
    <w:rsid w:val="00D77031"/>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8A"/>
    <w:rsid w:val="00DE5D91"/>
    <w:rsid w:val="00DE6E81"/>
    <w:rsid w:val="00DE703F"/>
    <w:rsid w:val="00DE7595"/>
    <w:rsid w:val="00DF1961"/>
    <w:rsid w:val="00DF1F05"/>
    <w:rsid w:val="00DF44DE"/>
    <w:rsid w:val="00E01138"/>
    <w:rsid w:val="00E02DFB"/>
    <w:rsid w:val="00E030F9"/>
    <w:rsid w:val="00E0311A"/>
    <w:rsid w:val="00E03138"/>
    <w:rsid w:val="00E06404"/>
    <w:rsid w:val="00E11A85"/>
    <w:rsid w:val="00E12495"/>
    <w:rsid w:val="00E1414E"/>
    <w:rsid w:val="00E15CCD"/>
    <w:rsid w:val="00E202EF"/>
    <w:rsid w:val="00E210B5"/>
    <w:rsid w:val="00E2552F"/>
    <w:rsid w:val="00E3137A"/>
    <w:rsid w:val="00E32CCF"/>
    <w:rsid w:val="00E341BD"/>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6800"/>
    <w:rsid w:val="00E60C63"/>
    <w:rsid w:val="00E62FF9"/>
    <w:rsid w:val="00E635D6"/>
    <w:rsid w:val="00E639BC"/>
    <w:rsid w:val="00E643FD"/>
    <w:rsid w:val="00E664CC"/>
    <w:rsid w:val="00E70388"/>
    <w:rsid w:val="00E70F92"/>
    <w:rsid w:val="00E74313"/>
    <w:rsid w:val="00E74C54"/>
    <w:rsid w:val="00E77A03"/>
    <w:rsid w:val="00E81796"/>
    <w:rsid w:val="00E822E8"/>
    <w:rsid w:val="00E82554"/>
    <w:rsid w:val="00E82606"/>
    <w:rsid w:val="00E831C1"/>
    <w:rsid w:val="00E846C8"/>
    <w:rsid w:val="00E84957"/>
    <w:rsid w:val="00E84A55"/>
    <w:rsid w:val="00E85BFF"/>
    <w:rsid w:val="00E90391"/>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5C2C4423"/>
    <w:rsid w:val="5DF1630B"/>
    <w:rsid w:val="5FEF2CE3"/>
    <w:rsid w:val="76F33DD1"/>
    <w:rsid w:val="F7A70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7"/>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99"/>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 w:type="paragraph" w:customStyle="1" w:styleId="232">
    <w:name w:val="二级条标题"/>
    <w:basedOn w:val="1"/>
    <w:next w:val="1"/>
    <w:uiPriority w:val="0"/>
    <w:pPr>
      <w:widowControl/>
      <w:adjustRightInd/>
      <w:spacing w:beforeLines="50" w:afterLines="50" w:line="240" w:lineRule="auto"/>
      <w:jc w:val="left"/>
      <w:outlineLvl w:val="3"/>
    </w:pPr>
    <w:rPr>
      <w:rFonts w:ascii="黑体" w:hAnsi="黑体" w:eastAsia="黑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2DC3776E8B4114BBFE201AC12A63C0"/>
        <w:style w:val=""/>
        <w:category>
          <w:name w:val="常规"/>
          <w:gallery w:val="placeholder"/>
        </w:category>
        <w:types>
          <w:type w:val="bbPlcHdr"/>
        </w:types>
        <w:behaviors>
          <w:behavior w:val="content"/>
        </w:behaviors>
        <w:description w:val=""/>
        <w:guid w:val="{A4BC3830-FE50-4F04-82F1-9AED722079F2}"/>
      </w:docPartPr>
      <w:docPartBody>
        <w:p w14:paraId="1CB30E96">
          <w:pPr>
            <w:pStyle w:val="5"/>
          </w:pPr>
          <w:r>
            <w:rPr>
              <w:rStyle w:val="4"/>
              <w:rFonts w:hint="eastAsia"/>
            </w:rPr>
            <w:t>单击或点击此处输入文字。</w:t>
          </w:r>
        </w:p>
      </w:docPartBody>
    </w:docPart>
    <w:docPart>
      <w:docPartPr>
        <w:name w:val="AC7EE699BF534036BFA5220FE67B2D5C"/>
        <w:style w:val=""/>
        <w:category>
          <w:name w:val="常规"/>
          <w:gallery w:val="placeholder"/>
        </w:category>
        <w:types>
          <w:type w:val="bbPlcHdr"/>
        </w:types>
        <w:behaviors>
          <w:behavior w:val="content"/>
        </w:behaviors>
        <w:description w:val=""/>
        <w:guid w:val="{EFF03B9B-B808-47B0-807D-813AEB1BF738}"/>
      </w:docPartPr>
      <w:docPartBody>
        <w:p w14:paraId="672427FB">
          <w:pPr>
            <w:pStyle w:val="6"/>
          </w:pPr>
          <w:r>
            <w:rPr>
              <w:rStyle w:val="4"/>
              <w:rFonts w:hint="eastAsia"/>
            </w:rPr>
            <w:t>选择一项。</w:t>
          </w:r>
        </w:p>
      </w:docPartBody>
    </w:docPart>
    <w:docPart>
      <w:docPartPr>
        <w:name w:val="8E072F9FDEB942A292F9B1A0E756B458"/>
        <w:style w:val=""/>
        <w:category>
          <w:name w:val="常规"/>
          <w:gallery w:val="placeholder"/>
        </w:category>
        <w:types>
          <w:type w:val="bbPlcHdr"/>
        </w:types>
        <w:behaviors>
          <w:behavior w:val="content"/>
        </w:behaviors>
        <w:description w:val=""/>
        <w:guid w:val="{A5F183F0-6DBE-4E34-BAA7-E14B08AE680C}"/>
      </w:docPartPr>
      <w:docPartBody>
        <w:p w14:paraId="262E40A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67073"/>
    <w:rsid w:val="002948E5"/>
    <w:rsid w:val="00320C03"/>
    <w:rsid w:val="003636FB"/>
    <w:rsid w:val="00377378"/>
    <w:rsid w:val="00387509"/>
    <w:rsid w:val="004D5F99"/>
    <w:rsid w:val="005A49EF"/>
    <w:rsid w:val="005B1B92"/>
    <w:rsid w:val="00613E05"/>
    <w:rsid w:val="0069330F"/>
    <w:rsid w:val="00696403"/>
    <w:rsid w:val="00720431"/>
    <w:rsid w:val="008836A9"/>
    <w:rsid w:val="009665F5"/>
    <w:rsid w:val="00A76A79"/>
    <w:rsid w:val="00B12AE1"/>
    <w:rsid w:val="00BE25FF"/>
    <w:rsid w:val="00C35948"/>
    <w:rsid w:val="00D10DF8"/>
    <w:rsid w:val="00DF5399"/>
    <w:rsid w:val="00E61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C2DC3776E8B4114BBFE201AC12A63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C7EE699BF534036BFA5220FE67B2D5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E072F9FDEB942A292F9B1A0E756B45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AEE12-DC18-4856-B69A-725788CA10D9}">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8</Pages>
  <Words>3634</Words>
  <Characters>3954</Characters>
  <Lines>37</Lines>
  <Paragraphs>10</Paragraphs>
  <TotalTime>2132</TotalTime>
  <ScaleCrop>false</ScaleCrop>
  <LinksUpToDate>false</LinksUpToDate>
  <CharactersWithSpaces>4178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2024-10-18T18:30:00Z</dcterms:created>
  <dc:creator>1</dc:creator>
  <dc:description>&lt;config cover="true" show_menu="true" version="1.0.0" doctype="SDKXY"&gt;_x000d_
&lt;/config&gt;</dc:description>
  <cp:lastModifiedBy>宗</cp:lastModifiedBy>
  <cp:lastPrinted>2025-10-30T03:12:00Z</cp:lastPrinted>
  <dcterms:modified xsi:type="dcterms:W3CDTF">2025-10-30T03:21:28Z</dcterms:modified>
  <dc:title>团体标准</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2052-12.1.0.23125</vt:lpwstr>
  </property>
  <property fmtid="{D5CDD505-2E9C-101B-9397-08002B2CF9AE}" pid="16" name="ICV">
    <vt:lpwstr>C11768315C6C879A90BABF68BF28C69C_43</vt:lpwstr>
  </property>
  <property fmtid="{D5CDD505-2E9C-101B-9397-08002B2CF9AE}" pid="17" name="DoublePage">
    <vt:lpwstr>true</vt:lpwstr>
  </property>
</Properties>
</file>