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4310" w14:textId="77777777" w:rsidR="00D0587C" w:rsidRDefault="00D0587C">
      <w:pPr>
        <w:jc w:val="center"/>
        <w:rPr>
          <w:rFonts w:hint="eastAsia"/>
        </w:rPr>
      </w:pPr>
    </w:p>
    <w:p w14:paraId="21A490A9" w14:textId="77777777" w:rsidR="00D0587C" w:rsidRDefault="00D0587C">
      <w:pPr>
        <w:jc w:val="center"/>
        <w:rPr>
          <w:rFonts w:hint="eastAsia"/>
        </w:rPr>
      </w:pPr>
    </w:p>
    <w:p w14:paraId="414E60B0" w14:textId="77777777" w:rsidR="00D0587C" w:rsidRDefault="00D0587C">
      <w:pPr>
        <w:jc w:val="center"/>
        <w:rPr>
          <w:rFonts w:hint="eastAsia"/>
        </w:rPr>
      </w:pPr>
    </w:p>
    <w:p w14:paraId="76E009BD" w14:textId="77777777" w:rsidR="00D0587C" w:rsidRDefault="00D0587C">
      <w:pPr>
        <w:jc w:val="center"/>
        <w:rPr>
          <w:rFonts w:hint="eastAsia"/>
        </w:rPr>
      </w:pPr>
    </w:p>
    <w:p w14:paraId="0BE294A5" w14:textId="77777777" w:rsidR="00D0587C" w:rsidRDefault="00D0587C">
      <w:pPr>
        <w:jc w:val="center"/>
        <w:rPr>
          <w:rFonts w:hint="eastAsia"/>
        </w:rPr>
      </w:pPr>
    </w:p>
    <w:p w14:paraId="0E6D3085" w14:textId="77777777" w:rsidR="00D0587C" w:rsidRDefault="00D0587C">
      <w:pPr>
        <w:jc w:val="center"/>
        <w:rPr>
          <w:rFonts w:hint="eastAsia"/>
        </w:rPr>
      </w:pPr>
    </w:p>
    <w:p w14:paraId="0DEB2919" w14:textId="77777777" w:rsidR="00D0587C" w:rsidRDefault="00D0587C">
      <w:pPr>
        <w:jc w:val="center"/>
        <w:rPr>
          <w:rFonts w:hint="eastAsia"/>
        </w:rPr>
      </w:pPr>
    </w:p>
    <w:p w14:paraId="11946233" w14:textId="77777777" w:rsidR="00D0587C" w:rsidRDefault="00D0587C">
      <w:pPr>
        <w:jc w:val="center"/>
        <w:rPr>
          <w:rFonts w:hint="eastAsia"/>
        </w:rPr>
      </w:pPr>
    </w:p>
    <w:p w14:paraId="04880843" w14:textId="77777777" w:rsidR="00D0587C" w:rsidRDefault="00D0587C">
      <w:pPr>
        <w:jc w:val="center"/>
        <w:rPr>
          <w:rFonts w:hint="eastAsia"/>
        </w:rPr>
      </w:pPr>
    </w:p>
    <w:p w14:paraId="71B19B9F" w14:textId="77777777" w:rsidR="00D0587C" w:rsidRDefault="00D0587C">
      <w:pPr>
        <w:jc w:val="center"/>
        <w:rPr>
          <w:rFonts w:hint="eastAsia"/>
        </w:rPr>
      </w:pPr>
    </w:p>
    <w:p w14:paraId="45AC2630" w14:textId="77777777" w:rsidR="00D0587C" w:rsidRDefault="00D0587C">
      <w:pPr>
        <w:jc w:val="center"/>
        <w:rPr>
          <w:rFonts w:hint="eastAsia"/>
        </w:rPr>
      </w:pPr>
    </w:p>
    <w:p w14:paraId="7841C9FD" w14:textId="77777777" w:rsidR="00D0587C" w:rsidRDefault="00D0587C">
      <w:pPr>
        <w:jc w:val="center"/>
        <w:rPr>
          <w:rFonts w:hint="eastAsia"/>
        </w:rPr>
      </w:pPr>
    </w:p>
    <w:p w14:paraId="0EEEE4DA" w14:textId="77777777" w:rsidR="00D0587C" w:rsidRDefault="00D0587C">
      <w:pPr>
        <w:jc w:val="center"/>
        <w:rPr>
          <w:rFonts w:hint="eastAsia"/>
        </w:rPr>
      </w:pPr>
    </w:p>
    <w:p w14:paraId="2A3E1617" w14:textId="77777777" w:rsidR="00D0587C" w:rsidRDefault="00000000">
      <w:pPr>
        <w:jc w:val="center"/>
        <w:rPr>
          <w:rFonts w:ascii="迷你简小标宋" w:eastAsia="迷你简小标宋" w:hAnsi="宋体" w:hint="eastAsia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《废切削液原位回收设备技术规范》</w:t>
      </w:r>
    </w:p>
    <w:p w14:paraId="69F0C85D" w14:textId="77777777" w:rsidR="00D0587C" w:rsidRDefault="00000000">
      <w:pPr>
        <w:jc w:val="center"/>
        <w:rPr>
          <w:rFonts w:ascii="迷你简小标宋" w:eastAsia="迷你简小标宋" w:hAnsi="宋体" w:hint="eastAsia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（征求意见稿）</w:t>
      </w:r>
    </w:p>
    <w:p w14:paraId="55437751" w14:textId="77777777" w:rsidR="00D0587C" w:rsidRDefault="00000000">
      <w:pPr>
        <w:jc w:val="center"/>
        <w:rPr>
          <w:rFonts w:ascii="迷你简小标宋" w:eastAsia="迷你简小标宋" w:hAnsi="宋体" w:hint="eastAsia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编制说明</w:t>
      </w:r>
    </w:p>
    <w:p w14:paraId="18454EF9" w14:textId="77777777" w:rsidR="00D0587C" w:rsidRDefault="00D0587C">
      <w:pPr>
        <w:jc w:val="center"/>
        <w:rPr>
          <w:rFonts w:hint="eastAsia"/>
        </w:rPr>
      </w:pPr>
    </w:p>
    <w:p w14:paraId="35F35331" w14:textId="77777777" w:rsidR="00D0587C" w:rsidRDefault="00D0587C">
      <w:pPr>
        <w:jc w:val="center"/>
        <w:rPr>
          <w:rFonts w:hint="eastAsia"/>
        </w:rPr>
      </w:pPr>
    </w:p>
    <w:p w14:paraId="52CB4322" w14:textId="77777777" w:rsidR="00D0587C" w:rsidRDefault="00D0587C">
      <w:pPr>
        <w:jc w:val="center"/>
        <w:rPr>
          <w:rFonts w:hint="eastAsia"/>
        </w:rPr>
      </w:pPr>
    </w:p>
    <w:p w14:paraId="5ADB625D" w14:textId="77777777" w:rsidR="00D0587C" w:rsidRDefault="00D0587C">
      <w:pPr>
        <w:jc w:val="center"/>
        <w:rPr>
          <w:rFonts w:hint="eastAsia"/>
        </w:rPr>
      </w:pPr>
    </w:p>
    <w:p w14:paraId="2D598305" w14:textId="77777777" w:rsidR="00D0587C" w:rsidRDefault="00D0587C">
      <w:pPr>
        <w:jc w:val="center"/>
        <w:rPr>
          <w:rFonts w:hint="eastAsia"/>
        </w:rPr>
      </w:pPr>
    </w:p>
    <w:p w14:paraId="5E042C9C" w14:textId="77777777" w:rsidR="00D0587C" w:rsidRDefault="00D0587C">
      <w:pPr>
        <w:jc w:val="center"/>
        <w:rPr>
          <w:rFonts w:hint="eastAsia"/>
        </w:rPr>
      </w:pPr>
    </w:p>
    <w:p w14:paraId="3AA483EF" w14:textId="77777777" w:rsidR="00D0587C" w:rsidRDefault="00D0587C">
      <w:pPr>
        <w:rPr>
          <w:rFonts w:hint="eastAsia"/>
        </w:rPr>
      </w:pPr>
    </w:p>
    <w:p w14:paraId="546631ED" w14:textId="77777777" w:rsidR="00D0587C" w:rsidRDefault="00D0587C">
      <w:pPr>
        <w:jc w:val="center"/>
        <w:rPr>
          <w:rFonts w:hint="eastAsia"/>
        </w:rPr>
      </w:pPr>
    </w:p>
    <w:p w14:paraId="6F964396" w14:textId="77777777" w:rsidR="00D0587C" w:rsidRDefault="00D0587C">
      <w:pPr>
        <w:jc w:val="center"/>
        <w:rPr>
          <w:rFonts w:hint="eastAsia"/>
        </w:rPr>
      </w:pPr>
    </w:p>
    <w:p w14:paraId="72ABC04F" w14:textId="77777777" w:rsidR="00D0587C" w:rsidRDefault="00D0587C">
      <w:pPr>
        <w:jc w:val="center"/>
        <w:rPr>
          <w:rFonts w:hint="eastAsia"/>
        </w:rPr>
      </w:pPr>
    </w:p>
    <w:p w14:paraId="41FD896A" w14:textId="77777777" w:rsidR="00D0587C" w:rsidRDefault="00D0587C">
      <w:pPr>
        <w:jc w:val="center"/>
        <w:rPr>
          <w:rFonts w:hint="eastAsia"/>
        </w:rPr>
      </w:pPr>
    </w:p>
    <w:p w14:paraId="368D84F2" w14:textId="77777777" w:rsidR="00D0587C" w:rsidRDefault="00D0587C">
      <w:pPr>
        <w:jc w:val="center"/>
        <w:rPr>
          <w:rFonts w:hint="eastAsia"/>
        </w:rPr>
      </w:pPr>
    </w:p>
    <w:p w14:paraId="6E31FECB" w14:textId="77777777" w:rsidR="00D0587C" w:rsidRDefault="00D0587C">
      <w:pPr>
        <w:jc w:val="center"/>
        <w:rPr>
          <w:rFonts w:hint="eastAsia"/>
        </w:rPr>
      </w:pPr>
    </w:p>
    <w:p w14:paraId="0F08AB82" w14:textId="77777777" w:rsidR="00D0587C" w:rsidRDefault="00D0587C">
      <w:pPr>
        <w:jc w:val="center"/>
        <w:rPr>
          <w:rFonts w:hint="eastAsia"/>
        </w:rPr>
      </w:pPr>
    </w:p>
    <w:p w14:paraId="5AA85425" w14:textId="77777777" w:rsidR="00D0587C" w:rsidRDefault="00000000">
      <w:pPr>
        <w:jc w:val="center"/>
        <w:rPr>
          <w:rFonts w:ascii="宋体" w:eastAsia="宋体" w:hAnsi="宋体" w:hint="eastAsia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团标制定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工作组 </w:t>
      </w:r>
    </w:p>
    <w:p w14:paraId="06B0F8F2" w14:textId="77777777" w:rsidR="00D0587C" w:rsidRDefault="00D0587C">
      <w:pPr>
        <w:jc w:val="center"/>
        <w:rPr>
          <w:rFonts w:ascii="宋体" w:eastAsia="宋体" w:hAnsi="宋体" w:hint="eastAsia"/>
          <w:sz w:val="28"/>
          <w:szCs w:val="28"/>
        </w:rPr>
      </w:pPr>
    </w:p>
    <w:p w14:paraId="4E4B05CC" w14:textId="77777777" w:rsidR="00D0587C" w:rsidRDefault="00000000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二零二五年十月</w:t>
      </w:r>
    </w:p>
    <w:p w14:paraId="0362D2A3" w14:textId="77777777" w:rsidR="00D0587C" w:rsidRDefault="00D0587C">
      <w:pPr>
        <w:rPr>
          <w:rFonts w:hint="eastAsia"/>
        </w:rPr>
      </w:pPr>
    </w:p>
    <w:p w14:paraId="70AA4479" w14:textId="77777777" w:rsidR="00D0587C" w:rsidRDefault="00000000">
      <w:pPr>
        <w:jc w:val="center"/>
        <w:rPr>
          <w:rFonts w:ascii="方正大标宋简体" w:eastAsia="方正大标宋简体" w:hAnsi="黑体" w:hint="eastAsia"/>
          <w:spacing w:val="-14"/>
          <w:sz w:val="28"/>
          <w:szCs w:val="36"/>
        </w:rPr>
      </w:pPr>
      <w:r>
        <w:rPr>
          <w:rFonts w:ascii="方正大标宋简体" w:eastAsia="方正大标宋简体" w:hAnsi="黑体" w:hint="eastAsia"/>
          <w:spacing w:val="-14"/>
          <w:sz w:val="28"/>
          <w:szCs w:val="36"/>
        </w:rPr>
        <w:t>《废切削液原位回收设备技术规范》团体标准</w:t>
      </w:r>
    </w:p>
    <w:p w14:paraId="4F11D69C" w14:textId="77777777" w:rsidR="00D0587C" w:rsidRDefault="00000000">
      <w:pPr>
        <w:jc w:val="center"/>
        <w:rPr>
          <w:rFonts w:ascii="方正大标宋简体" w:eastAsia="方正大标宋简体" w:hAnsi="黑体" w:hint="eastAsia"/>
          <w:sz w:val="28"/>
          <w:szCs w:val="36"/>
        </w:rPr>
      </w:pPr>
      <w:r>
        <w:rPr>
          <w:rFonts w:ascii="方正大标宋简体" w:eastAsia="方正大标宋简体" w:hAnsi="黑体" w:hint="eastAsia"/>
          <w:sz w:val="28"/>
          <w:szCs w:val="36"/>
        </w:rPr>
        <w:lastRenderedPageBreak/>
        <w:t>（征求意见稿）编制说明</w:t>
      </w:r>
    </w:p>
    <w:p w14:paraId="7A62F3DD" w14:textId="77777777" w:rsidR="00D0587C" w:rsidRDefault="00D0587C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41325348" w14:textId="77777777" w:rsidR="00D0587C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一、任务来源，主要起草单位</w:t>
      </w:r>
    </w:p>
    <w:p w14:paraId="4F84D72B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bookmarkStart w:id="0" w:name="_Hlk529782780"/>
      <w:r>
        <w:rPr>
          <w:rFonts w:ascii="华文宋体" w:eastAsia="华文宋体" w:hAnsi="华文宋体" w:hint="eastAsia"/>
          <w:sz w:val="24"/>
          <w:szCs w:val="24"/>
        </w:rPr>
        <w:t>中国中小企业协会</w:t>
      </w:r>
      <w:bookmarkEnd w:id="0"/>
      <w:r>
        <w:rPr>
          <w:rFonts w:ascii="华文宋体" w:eastAsia="华文宋体" w:hAnsi="华文宋体" w:hint="eastAsia"/>
          <w:sz w:val="24"/>
          <w:szCs w:val="24"/>
        </w:rPr>
        <w:t>下达的2025年团体标准修订编制计划，将《废切削液原位回收设备技术规范》列为标准编制项目，并于2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25年10月在全国团体标准信息平台上进行了立项公告。</w:t>
      </w:r>
    </w:p>
    <w:p w14:paraId="105490F3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起草单位为常州海纳环保科技有限公司。</w:t>
      </w:r>
    </w:p>
    <w:p w14:paraId="45170ADC" w14:textId="77777777" w:rsidR="00D0587C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二、制定标准的必要性和意义</w:t>
      </w:r>
    </w:p>
    <w:p w14:paraId="7B7F934B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>1、项目必要性</w:t>
      </w:r>
    </w:p>
    <w:p w14:paraId="0019793D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必要性：传统回收设备存在 “高能耗、高污染” 短板：某企业采用的旧式蒸发设备处理每吨废液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能耗超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 xml:space="preserve"> 200kWh，且无废气收集装置，VOCs 排放浓度远超 60mg/m³ 的限值。规范聚焦设备的绿色属性，明确要求集成低碳设计：如推荐采用低温真空蒸发技术（蒸馏温度≤80℃），搭配余热回收模块，使设备热效率≥85%；强制设置废气处理单元，活性炭吸附塔吸附效率需≥85%。通过设备端的能耗与排放约束，直接推动企业碳足迹降低 —— 按单台设备年处理 1000 吨废液计算，合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规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设备较传统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设备年减排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 xml:space="preserve"> CO₂可达 10 吨以上，助力 “双碳” 目标落地</w:t>
      </w:r>
      <w:r>
        <w:rPr>
          <w:rFonts w:ascii="华文宋体" w:eastAsia="华文宋体" w:hAnsi="华文宋体"/>
          <w:sz w:val="24"/>
          <w:szCs w:val="24"/>
        </w:rPr>
        <w:t>。</w:t>
      </w:r>
    </w:p>
    <w:p w14:paraId="4C1A3742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可行性：传统处理需专人负责取样、记录、调整设备，人均仅能管理 1-2 套系统；原位回收设备支持远程监控与故障预警（故障定位准确率≥90%），运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维人员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通过手机 APP 即可查看设备状态，接收报警信息，人均可管理 5-8 套系统。同时设备具备自动生成运维报表功能，减少人工记录工作量。某集团企业应用设备后，运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维人员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 xml:space="preserve">数量从 20 人降至 8 人，人工成本降低 60%，运维效率提升 3 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lastRenderedPageBreak/>
        <w:t>倍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。</w:t>
      </w:r>
    </w:p>
    <w:p w14:paraId="67EFDD55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>2、项目意义</w:t>
      </w:r>
    </w:p>
    <w:p w14:paraId="35640309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废切削液原位处理场景的安全隐患多源于设备缺陷：某车间因设备密封失效导致乳化液泄漏，引发地面滑倒事故；部分设备缺乏过载保护，运行中突发停机造成管道爆裂。规范从机械安全、电气安全、环保安全三方面建立防护标准：旋转部件需配备 IP54 级防护罩，压力设备设置 1.1 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倍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设计压力的安全阀，防爆区域设备防爆等级≥Ex d IIB T4 Ga。同时要求设备具备泄漏自动检测与应急切断功能，响应时间≤1 秒。这些要求可使设备运行事故率降低 70% 以上，保障操作人员安全与生产连续性。</w:t>
      </w:r>
    </w:p>
    <w:p w14:paraId="6066F95C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本项目旨在借助标准化手段，针对项目所属细分行业的特点，制定相应的标准，可以为行业内企业提供技术规范，填补本行业标准空白，从而规范市场，促进标准化应用水平升级，引领行业高质量发展。。</w:t>
      </w:r>
    </w:p>
    <w:p w14:paraId="56CD69A4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>3、应用前景</w:t>
      </w:r>
    </w:p>
    <w:p w14:paraId="79421DD9" w14:textId="77777777" w:rsidR="00D0587C" w:rsidRDefault="00000000">
      <w:pPr>
        <w:ind w:firstLineChars="200" w:firstLine="480"/>
        <w:rPr>
          <w:rFonts w:hint="eastAsia"/>
          <w:sz w:val="24"/>
          <w:szCs w:val="24"/>
        </w:rPr>
      </w:pPr>
      <w:proofErr w:type="gramStart"/>
      <w:r>
        <w:rPr>
          <w:rFonts w:ascii="华文宋体" w:eastAsia="华文宋体" w:hAnsi="华文宋体" w:hint="eastAsia"/>
          <w:sz w:val="24"/>
          <w:szCs w:val="24"/>
        </w:rPr>
        <w:t>传统委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外处置需经历 “废液收集 - 储存 - 联系处置单位 - 运输” 等流程，周期长达 15-30 天，期间若废液储存满容，可能导致生产线停工。原位回收设备可在车间实时处理废液，再生液直接回用，无需等待外部处置，确保生产连续性。</w:t>
      </w:r>
    </w:p>
    <w:p w14:paraId="7020BB14" w14:textId="77777777" w:rsidR="00D0587C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三、主要工作过程</w:t>
      </w:r>
    </w:p>
    <w:p w14:paraId="7C006C26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202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 xml:space="preserve"> 年 </w:t>
      </w:r>
      <w:r>
        <w:rPr>
          <w:rFonts w:ascii="华文宋体" w:eastAsia="华文宋体" w:hAnsi="华文宋体" w:hint="eastAsia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>月，完成《</w:t>
      </w:r>
      <w:r>
        <w:rPr>
          <w:rFonts w:ascii="华文宋体" w:eastAsia="华文宋体" w:hAnsi="华文宋体" w:hint="eastAsia"/>
          <w:sz w:val="24"/>
          <w:szCs w:val="24"/>
        </w:rPr>
        <w:t>废切削液原位回收设备技术规范</w:t>
      </w:r>
      <w:r>
        <w:rPr>
          <w:rFonts w:ascii="华文宋体" w:eastAsia="华文宋体" w:hAnsi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202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 xml:space="preserve"> 年 </w:t>
      </w:r>
      <w:r>
        <w:rPr>
          <w:rFonts w:ascii="华文宋体" w:eastAsia="华文宋体" w:hAnsi="华文宋体" w:hint="eastAsia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 xml:space="preserve"> 月，标准编制起草组对国内外的相关行业、标准、科研成果、</w:t>
      </w:r>
      <w:r>
        <w:rPr>
          <w:rFonts w:ascii="华文宋体" w:eastAsia="华文宋体" w:hAnsi="华文宋体"/>
          <w:sz w:val="24"/>
          <w:szCs w:val="24"/>
        </w:rPr>
        <w:lastRenderedPageBreak/>
        <w:t>专著等开展广泛、深入的调研，在此基础上完成《</w:t>
      </w:r>
      <w:r>
        <w:rPr>
          <w:rFonts w:ascii="华文宋体" w:eastAsia="华文宋体" w:hAnsi="华文宋体" w:hint="eastAsia"/>
          <w:sz w:val="24"/>
          <w:szCs w:val="24"/>
        </w:rPr>
        <w:t>废切削液原位回收设备技术规范</w:t>
      </w:r>
      <w:r>
        <w:rPr>
          <w:rFonts w:ascii="华文宋体" w:eastAsia="华文宋体" w:hAnsi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>年</w:t>
      </w:r>
      <w:r>
        <w:rPr>
          <w:rFonts w:ascii="华文宋体" w:eastAsia="华文宋体" w:hAnsi="华文宋体" w:hint="eastAsia"/>
          <w:sz w:val="24"/>
          <w:szCs w:val="24"/>
        </w:rPr>
        <w:t>11</w:t>
      </w:r>
      <w:r>
        <w:rPr>
          <w:rFonts w:ascii="华文宋体" w:eastAsia="华文宋体" w:hAnsi="华文宋体"/>
          <w:sz w:val="24"/>
          <w:szCs w:val="24"/>
        </w:rPr>
        <w:t>月提交《</w:t>
      </w:r>
      <w:r>
        <w:rPr>
          <w:rFonts w:ascii="华文宋体" w:eastAsia="华文宋体" w:hAnsi="华文宋体" w:hint="eastAsia"/>
          <w:sz w:val="24"/>
          <w:szCs w:val="24"/>
        </w:rPr>
        <w:t>废切削液原位回收设备技术规范</w:t>
      </w:r>
      <w:r>
        <w:rPr>
          <w:rFonts w:ascii="华文宋体" w:eastAsia="华文宋体" w:hAnsi="华文宋体"/>
          <w:sz w:val="24"/>
          <w:szCs w:val="24"/>
        </w:rPr>
        <w:t>》标准征求意见稿及征求意见稿编制说明，拟定于202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>年</w:t>
      </w:r>
      <w:r>
        <w:rPr>
          <w:rFonts w:ascii="华文宋体" w:eastAsia="华文宋体" w:hAnsi="华文宋体" w:hint="eastAsia"/>
          <w:sz w:val="24"/>
          <w:szCs w:val="24"/>
        </w:rPr>
        <w:t>11</w:t>
      </w:r>
      <w:r>
        <w:rPr>
          <w:rFonts w:ascii="华文宋体" w:eastAsia="华文宋体" w:hAnsi="华文宋体"/>
          <w:sz w:val="24"/>
          <w:szCs w:val="24"/>
        </w:rPr>
        <w:t>月在网上公示征求意见稿，广泛征求各方意见和建议。</w:t>
      </w:r>
    </w:p>
    <w:p w14:paraId="412F5803" w14:textId="77777777" w:rsidR="00D0587C" w:rsidRDefault="00000000">
      <w:pPr>
        <w:ind w:firstLineChars="200" w:firstLine="480"/>
        <w:rPr>
          <w:rFonts w:hint="eastAsia"/>
          <w:sz w:val="24"/>
          <w:szCs w:val="24"/>
          <w:highlight w:val="yellow"/>
        </w:rPr>
      </w:pPr>
      <w:r>
        <w:rPr>
          <w:rFonts w:ascii="华文宋体" w:eastAsia="华文宋体" w:hAnsi="华文宋体" w:hint="eastAsia"/>
          <w:sz w:val="24"/>
          <w:szCs w:val="24"/>
        </w:rPr>
        <w:t>制定小组将根据各方意见和建议对标准进行修改后形成送审稿，拟定</w:t>
      </w:r>
      <w:r>
        <w:rPr>
          <w:rFonts w:ascii="华文宋体" w:eastAsia="华文宋体" w:hAnsi="华文宋体"/>
          <w:sz w:val="24"/>
          <w:szCs w:val="24"/>
        </w:rPr>
        <w:t xml:space="preserve"> 20</w:t>
      </w:r>
      <w:r>
        <w:rPr>
          <w:rFonts w:ascii="华文宋体" w:eastAsia="华文宋体" w:hAnsi="华文宋体" w:hint="eastAsia"/>
          <w:sz w:val="24"/>
          <w:szCs w:val="24"/>
        </w:rPr>
        <w:t>25</w:t>
      </w:r>
      <w:r>
        <w:rPr>
          <w:rFonts w:ascii="华文宋体" w:eastAsia="华文宋体" w:hAnsi="华文宋体"/>
          <w:sz w:val="24"/>
          <w:szCs w:val="24"/>
        </w:rPr>
        <w:t xml:space="preserve"> 年 </w:t>
      </w:r>
      <w:r>
        <w:rPr>
          <w:rFonts w:ascii="华文宋体" w:eastAsia="华文宋体" w:hAnsi="华文宋体" w:hint="eastAsia"/>
          <w:sz w:val="24"/>
          <w:szCs w:val="24"/>
        </w:rPr>
        <w:t>12</w:t>
      </w:r>
      <w:r>
        <w:rPr>
          <w:rFonts w:ascii="华文宋体" w:eastAsia="华文宋体" w:hAnsi="华文宋体"/>
          <w:sz w:val="24"/>
          <w:szCs w:val="24"/>
        </w:rPr>
        <w:t>月召开专家审查会并根据审查专家的意见与建议对送审稿进行补充、完善，完成报批稿后发布。</w:t>
      </w:r>
    </w:p>
    <w:p w14:paraId="37293B2D" w14:textId="77777777" w:rsidR="00D0587C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四、制定标准的原则和依据，与现行法律、法规、标准的关系</w:t>
      </w:r>
    </w:p>
    <w:p w14:paraId="2F82F1E3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本标准依据相关行业标准，标准编制遵循“前瞻性、实用性、</w:t>
      </w:r>
      <w:r>
        <w:rPr>
          <w:rFonts w:ascii="华文宋体" w:eastAsia="华文宋体" w:hAnsi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  <w:highlight w:val="yellow"/>
        </w:rPr>
      </w:pPr>
      <w:r>
        <w:rPr>
          <w:rFonts w:ascii="华文宋体" w:eastAsia="华文宋体" w:hAnsi="华文宋体" w:hint="eastAsia"/>
          <w:sz w:val="24"/>
          <w:szCs w:val="24"/>
        </w:rPr>
        <w:t>本标准符合现行相关法律、法规、规章及相关标准，与强制性标准协调一致。</w:t>
      </w:r>
    </w:p>
    <w:p w14:paraId="64C66DD4" w14:textId="77777777" w:rsidR="00D0587C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五、主要条款的说明，主要技术指标的论述</w:t>
      </w:r>
    </w:p>
    <w:p w14:paraId="725B1357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>1、</w:t>
      </w:r>
      <w:r>
        <w:rPr>
          <w:rFonts w:ascii="华文宋体" w:eastAsia="华文宋体" w:hAnsi="华文宋体" w:hint="eastAsia"/>
          <w:b/>
          <w:sz w:val="24"/>
          <w:szCs w:val="24"/>
        </w:rPr>
        <w:t>标准</w:t>
      </w:r>
      <w:r>
        <w:rPr>
          <w:rFonts w:ascii="华文宋体" w:eastAsia="华文宋体" w:hAnsi="华文宋体"/>
          <w:b/>
          <w:sz w:val="24"/>
          <w:szCs w:val="24"/>
        </w:rPr>
        <w:t>适用范围的确定</w:t>
      </w:r>
    </w:p>
    <w:p w14:paraId="2B01F0BC" w14:textId="77777777" w:rsidR="00D0587C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本标准适用于废切削液原位回收设备技术规范。</w:t>
      </w:r>
    </w:p>
    <w:p w14:paraId="4EC2F4A1" w14:textId="77777777" w:rsidR="00D0587C" w:rsidRDefault="00000000">
      <w:pPr>
        <w:topLinePunct/>
        <w:spacing w:line="360" w:lineRule="auto"/>
        <w:ind w:firstLineChars="200" w:firstLine="48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2、规范性引用文件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5A0D7D1B" w14:textId="77777777" w:rsidR="00D0587C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列出了本文件引用的标准文件。 </w:t>
      </w:r>
    </w:p>
    <w:p w14:paraId="4C581956" w14:textId="77777777" w:rsidR="00D0587C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 xml:space="preserve">3、术语和定义 </w:t>
      </w:r>
    </w:p>
    <w:p w14:paraId="7456BD01" w14:textId="77777777" w:rsidR="00D0587C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列出了本文件所界定的术语和定义。</w:t>
      </w:r>
    </w:p>
    <w:p w14:paraId="00E5B195" w14:textId="77777777" w:rsidR="00D0587C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5、技术要求</w:t>
      </w:r>
    </w:p>
    <w:p w14:paraId="51710138" w14:textId="77777777" w:rsidR="00D0587C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根据废切削液原位回收设备制造水平及使用情况，确定主要技术内容。技术</w:t>
      </w:r>
      <w:r>
        <w:rPr>
          <w:rFonts w:ascii="华文宋体" w:eastAsia="华文宋体" w:hAnsi="华文宋体" w:hint="eastAsia"/>
          <w:sz w:val="24"/>
          <w:szCs w:val="24"/>
        </w:rPr>
        <w:lastRenderedPageBreak/>
        <w:t>要求主要包括外观、装配质量、噪声，可靠性等方面。</w:t>
      </w:r>
    </w:p>
    <w:p w14:paraId="5E170876" w14:textId="77777777" w:rsidR="00D0587C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6、试验方法</w:t>
      </w:r>
    </w:p>
    <w:p w14:paraId="42CA498A" w14:textId="77777777" w:rsidR="00D0587C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针对技术要求，提供了相应的试验方法。</w:t>
      </w:r>
    </w:p>
    <w:p w14:paraId="70D250E9" w14:textId="77777777" w:rsidR="00D0587C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7、检验规则</w:t>
      </w:r>
    </w:p>
    <w:p w14:paraId="0DA2865A" w14:textId="77777777" w:rsidR="00D0587C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规定了废切削液原位回收设备技术规范的检验规则。</w:t>
      </w:r>
    </w:p>
    <w:p w14:paraId="6F9C5760" w14:textId="77777777" w:rsidR="00D0587C" w:rsidRDefault="00000000">
      <w:pPr>
        <w:topLinePunct/>
        <w:spacing w:line="360" w:lineRule="auto"/>
        <w:ind w:firstLineChars="200" w:firstLine="48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8、标志、包装、运输、贮存</w:t>
      </w:r>
    </w:p>
    <w:p w14:paraId="7A68DDFB" w14:textId="77777777" w:rsidR="00D0587C" w:rsidRDefault="00000000">
      <w:pPr>
        <w:spacing w:line="360" w:lineRule="auto"/>
        <w:ind w:firstLineChars="200" w:firstLine="480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对废切削液原位回收设备技术规范的标志、包装、运输及贮存的相关要求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作出</w:t>
      </w:r>
      <w:proofErr w:type="gramEnd"/>
      <w:r>
        <w:rPr>
          <w:rFonts w:ascii="华文宋体" w:eastAsia="华文宋体" w:hAnsi="华文宋体" w:hint="eastAsia"/>
          <w:sz w:val="24"/>
          <w:szCs w:val="24"/>
        </w:rPr>
        <w:t>规范。</w:t>
      </w:r>
    </w:p>
    <w:p w14:paraId="24316A74" w14:textId="77777777" w:rsidR="00D0587C" w:rsidRDefault="00000000">
      <w:pPr>
        <w:ind w:firstLineChars="200" w:firstLine="560"/>
        <w:rPr>
          <w:rFonts w:ascii="仿宋_GB2312" w:eastAsia="仿宋_GB2312" w:hAnsi="仿宋" w:hint="eastAsia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六、重大意见分歧的处理依据和结果</w:t>
      </w:r>
    </w:p>
    <w:p w14:paraId="16CDB990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无重大意见分歧。</w:t>
      </w:r>
    </w:p>
    <w:p w14:paraId="6D547F7C" w14:textId="77777777" w:rsidR="00D0587C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七、其他事项说明</w:t>
      </w:r>
    </w:p>
    <w:p w14:paraId="5DAB9E66" w14:textId="77777777" w:rsidR="00D0587C" w:rsidRDefault="00000000">
      <w:pPr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本标准不涉及专利、商标等知识产权问题。</w:t>
      </w:r>
    </w:p>
    <w:p w14:paraId="43908296" w14:textId="77777777" w:rsidR="00D0587C" w:rsidRDefault="00D0587C">
      <w:pPr>
        <w:ind w:firstLineChars="200" w:firstLine="480"/>
        <w:rPr>
          <w:rFonts w:hint="eastAsia"/>
          <w:sz w:val="24"/>
          <w:szCs w:val="24"/>
        </w:rPr>
      </w:pPr>
    </w:p>
    <w:p w14:paraId="6B215294" w14:textId="77777777" w:rsidR="00D0587C" w:rsidRDefault="00D0587C">
      <w:pPr>
        <w:ind w:firstLineChars="200" w:firstLine="480"/>
        <w:rPr>
          <w:rFonts w:hint="eastAsia"/>
          <w:sz w:val="24"/>
          <w:szCs w:val="24"/>
        </w:rPr>
      </w:pPr>
    </w:p>
    <w:p w14:paraId="153EA85F" w14:textId="77777777" w:rsidR="00D0587C" w:rsidRPr="00214091" w:rsidRDefault="00000000">
      <w:pPr>
        <w:ind w:firstLineChars="200" w:firstLine="480"/>
        <w:jc w:val="right"/>
        <w:rPr>
          <w:rFonts w:ascii="华文宋体" w:eastAsia="华文宋体" w:hAnsi="华文宋体" w:hint="eastAsia"/>
          <w:sz w:val="24"/>
          <w:szCs w:val="24"/>
        </w:rPr>
      </w:pPr>
      <w:r w:rsidRPr="00214091">
        <w:rPr>
          <w:rFonts w:ascii="华文宋体" w:eastAsia="华文宋体" w:hAnsi="华文宋体" w:hint="eastAsia"/>
          <w:sz w:val="24"/>
          <w:szCs w:val="24"/>
        </w:rPr>
        <w:t>《废切削液原位回收设备技术规范</w:t>
      </w:r>
      <w:r w:rsidRPr="00214091">
        <w:rPr>
          <w:rFonts w:ascii="华文宋体" w:eastAsia="华文宋体" w:hAnsi="华文宋体"/>
          <w:sz w:val="24"/>
          <w:szCs w:val="24"/>
        </w:rPr>
        <w:t>》编制起草组</w:t>
      </w:r>
    </w:p>
    <w:p w14:paraId="78298997" w14:textId="139F5EBF" w:rsidR="00D0587C" w:rsidRPr="00214091" w:rsidRDefault="00000000">
      <w:pPr>
        <w:ind w:firstLineChars="200" w:firstLine="480"/>
        <w:jc w:val="right"/>
        <w:rPr>
          <w:rFonts w:ascii="华文宋体" w:eastAsia="华文宋体" w:hAnsi="华文宋体" w:hint="eastAsia"/>
          <w:sz w:val="24"/>
          <w:szCs w:val="24"/>
        </w:rPr>
      </w:pPr>
      <w:r w:rsidRPr="00214091">
        <w:rPr>
          <w:rFonts w:ascii="华文宋体" w:eastAsia="华文宋体" w:hAnsi="华文宋体"/>
          <w:sz w:val="24"/>
          <w:szCs w:val="24"/>
        </w:rPr>
        <w:t>20</w:t>
      </w:r>
      <w:r w:rsidRPr="00214091">
        <w:rPr>
          <w:rFonts w:ascii="华文宋体" w:eastAsia="华文宋体" w:hAnsi="华文宋体" w:hint="eastAsia"/>
          <w:sz w:val="24"/>
          <w:szCs w:val="24"/>
        </w:rPr>
        <w:t>25</w:t>
      </w:r>
      <w:r w:rsidRPr="00214091">
        <w:rPr>
          <w:rFonts w:ascii="华文宋体" w:eastAsia="华文宋体" w:hAnsi="华文宋体"/>
          <w:sz w:val="24"/>
          <w:szCs w:val="24"/>
        </w:rPr>
        <w:t>年</w:t>
      </w:r>
      <w:r w:rsidRPr="00214091">
        <w:rPr>
          <w:rFonts w:ascii="华文宋体" w:eastAsia="华文宋体" w:hAnsi="华文宋体" w:hint="eastAsia"/>
          <w:sz w:val="24"/>
          <w:szCs w:val="24"/>
        </w:rPr>
        <w:t>10</w:t>
      </w:r>
      <w:r w:rsidRPr="00214091">
        <w:rPr>
          <w:rFonts w:ascii="华文宋体" w:eastAsia="华文宋体" w:hAnsi="华文宋体"/>
          <w:sz w:val="24"/>
          <w:szCs w:val="24"/>
        </w:rPr>
        <w:t>月</w:t>
      </w:r>
    </w:p>
    <w:sectPr w:rsidR="00D0587C" w:rsidRPr="002140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1989" w14:textId="77777777" w:rsidR="00F8138C" w:rsidRDefault="00F8138C">
      <w:pPr>
        <w:rPr>
          <w:rFonts w:hint="eastAsia"/>
        </w:rPr>
      </w:pPr>
      <w:r>
        <w:separator/>
      </w:r>
    </w:p>
  </w:endnote>
  <w:endnote w:type="continuationSeparator" w:id="0">
    <w:p w14:paraId="7A4A262E" w14:textId="77777777" w:rsidR="00F8138C" w:rsidRDefault="00F813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迷你简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386030"/>
    </w:sdtPr>
    <w:sdtContent>
      <w:p w14:paraId="3B9C1C53" w14:textId="77777777" w:rsidR="00D0587C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 w14:textId="77777777" w:rsidR="00D0587C" w:rsidRDefault="00D0587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3D92" w14:textId="77777777" w:rsidR="00F8138C" w:rsidRDefault="00F8138C">
      <w:pPr>
        <w:rPr>
          <w:rFonts w:hint="eastAsia"/>
        </w:rPr>
      </w:pPr>
      <w:r>
        <w:separator/>
      </w:r>
    </w:p>
  </w:footnote>
  <w:footnote w:type="continuationSeparator" w:id="0">
    <w:p w14:paraId="24861309" w14:textId="77777777" w:rsidR="00F8138C" w:rsidRDefault="00F813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1409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0587C"/>
    <w:rsid w:val="00D61393"/>
    <w:rsid w:val="00EA1E91"/>
    <w:rsid w:val="00F8138C"/>
    <w:rsid w:val="00FA54AD"/>
    <w:rsid w:val="00FD05E7"/>
    <w:rsid w:val="07634E43"/>
    <w:rsid w:val="49F918DB"/>
    <w:rsid w:val="6C3652EF"/>
    <w:rsid w:val="6F654C8C"/>
    <w:rsid w:val="76B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D0396"/>
  <w15:docId w15:val="{96710850-539D-408D-BDA8-39ECD2D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1006</Words>
  <Characters>1058</Characters>
  <Application>Microsoft Office Word</Application>
  <DocSecurity>0</DocSecurity>
  <Lines>66</Lines>
  <Paragraphs>50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 alan</dc:creator>
  <cp:lastModifiedBy>jie wu</cp:lastModifiedBy>
  <cp:revision>8</cp:revision>
  <dcterms:created xsi:type="dcterms:W3CDTF">2022-04-02T03:18:00Z</dcterms:created>
  <dcterms:modified xsi:type="dcterms:W3CDTF">2025-11-03T07:12:00Z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