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7234E">
      <w:pPr>
        <w:ind w:firstLine="0" w:firstLineChars="0"/>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pacing w:val="-1"/>
          <w:sz w:val="36"/>
          <w:szCs w:val="36"/>
          <w:highlight w:val="none"/>
        </w:rPr>
        <w:t>《</w:t>
      </w:r>
      <w:r>
        <w:rPr>
          <w:rFonts w:hint="eastAsia" w:ascii="微软雅黑" w:hAnsi="微软雅黑" w:eastAsia="微软雅黑" w:cs="微软雅黑"/>
          <w:spacing w:val="-1"/>
          <w:sz w:val="36"/>
          <w:szCs w:val="36"/>
          <w:highlight w:val="none"/>
          <w:lang w:val="en-US" w:eastAsia="zh-CN"/>
        </w:rPr>
        <w:t>污染场地高压旋喷注药原位修复工程技术规范</w:t>
      </w:r>
      <w:r>
        <w:rPr>
          <w:rFonts w:hint="eastAsia" w:ascii="微软雅黑" w:hAnsi="微软雅黑" w:eastAsia="微软雅黑" w:cs="微软雅黑"/>
          <w:sz w:val="36"/>
          <w:szCs w:val="36"/>
          <w:highlight w:val="none"/>
        </w:rPr>
        <w:t>》</w:t>
      </w:r>
    </w:p>
    <w:p w14:paraId="0F2A553E">
      <w:pPr>
        <w:ind w:firstLine="0" w:firstLineChars="0"/>
        <w:jc w:val="center"/>
        <w:rPr>
          <w:rFonts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编制说明</w:t>
      </w:r>
    </w:p>
    <w:p w14:paraId="7921BF48">
      <w:pPr>
        <w:ind w:firstLine="0" w:firstLineChars="0"/>
        <w:jc w:val="center"/>
        <w:rPr>
          <w:b/>
          <w:bCs/>
          <w:sz w:val="36"/>
          <w:szCs w:val="36"/>
          <w:highlight w:val="none"/>
        </w:rPr>
        <w:sectPr>
          <w:pgSz w:w="11906" w:h="16838"/>
          <w:pgMar w:top="1440" w:right="1800" w:bottom="1440" w:left="1800" w:header="851" w:footer="992" w:gutter="0"/>
          <w:pgNumType w:fmt="upperRoman"/>
          <w:cols w:space="425" w:num="1"/>
          <w:docGrid w:type="lines" w:linePitch="312" w:charSpace="0"/>
        </w:sectPr>
      </w:pPr>
    </w:p>
    <w:sdt>
      <w:sdtPr>
        <w:rPr>
          <w:b/>
          <w:bCs/>
          <w:highlight w:val="none"/>
        </w:rPr>
        <w:id w:val="94748935"/>
        <w:docPartObj>
          <w:docPartGallery w:val="Table of Contents"/>
          <w:docPartUnique/>
        </w:docPartObj>
      </w:sdtPr>
      <w:sdtEndPr>
        <w:rPr>
          <w:rFonts w:ascii="微软雅黑" w:hAnsi="微软雅黑" w:eastAsia="微软雅黑" w:cs="微软雅黑"/>
          <w:b/>
          <w:bCs/>
          <w:szCs w:val="52"/>
          <w:highlight w:val="none"/>
        </w:rPr>
      </w:sdtEndPr>
      <w:sdtContent>
        <w:p w14:paraId="033845F9">
          <w:pPr>
            <w:ind w:firstLine="0" w:firstLineChars="0"/>
            <w:jc w:val="center"/>
            <w:rPr>
              <w:b/>
              <w:bCs/>
              <w:highlight w:val="none"/>
            </w:rPr>
          </w:pPr>
          <w:r>
            <w:rPr>
              <w:b/>
              <w:bCs/>
              <w:highlight w:val="none"/>
            </w:rPr>
            <w:t>目录</w:t>
          </w:r>
        </w:p>
        <w:p w14:paraId="0DDFBFE6">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20" w:firstLineChars="100"/>
            <w:textAlignment w:val="auto"/>
          </w:pPr>
          <w:r>
            <w:rPr>
              <w:rFonts w:ascii="微软雅黑" w:hAnsi="微软雅黑" w:eastAsia="微软雅黑" w:cs="微软雅黑"/>
              <w:sz w:val="52"/>
              <w:szCs w:val="52"/>
              <w:highlight w:val="none"/>
            </w:rPr>
            <w:fldChar w:fldCharType="begin"/>
          </w:r>
          <w:r>
            <w:rPr>
              <w:rFonts w:ascii="微软雅黑" w:hAnsi="微软雅黑" w:eastAsia="微软雅黑" w:cs="微软雅黑"/>
              <w:sz w:val="52"/>
              <w:szCs w:val="52"/>
              <w:highlight w:val="none"/>
            </w:rPr>
            <w:instrText xml:space="preserve">TOC \o "1-3" \h \u </w:instrText>
          </w:r>
          <w:r>
            <w:rPr>
              <w:rFonts w:ascii="微软雅黑" w:hAnsi="微软雅黑" w:eastAsia="微软雅黑" w:cs="微软雅黑"/>
              <w:sz w:val="52"/>
              <w:szCs w:val="52"/>
              <w:highlight w:val="none"/>
            </w:rPr>
            <w:fldChar w:fldCharType="separate"/>
          </w: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_Toc11473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1. </w:t>
          </w:r>
          <w:r>
            <w:rPr>
              <w:rFonts w:hint="eastAsia"/>
              <w:highlight w:val="none"/>
            </w:rPr>
            <w:t>标准编制背景</w:t>
          </w:r>
          <w:r>
            <w:tab/>
          </w:r>
          <w:r>
            <w:fldChar w:fldCharType="begin"/>
          </w:r>
          <w:r>
            <w:instrText xml:space="preserve"> PAGEREF _Toc11473 \h </w:instrText>
          </w:r>
          <w:r>
            <w:fldChar w:fldCharType="separate"/>
          </w:r>
          <w:r>
            <w:t>1</w:t>
          </w:r>
          <w:r>
            <w:fldChar w:fldCharType="end"/>
          </w:r>
          <w:r>
            <w:rPr>
              <w:rFonts w:ascii="微软雅黑" w:hAnsi="微软雅黑" w:eastAsia="微软雅黑" w:cs="微软雅黑"/>
              <w:szCs w:val="52"/>
              <w:highlight w:val="none"/>
            </w:rPr>
            <w:fldChar w:fldCharType="end"/>
          </w:r>
        </w:p>
        <w:p w14:paraId="6FF8969F">
          <w:pPr>
            <w:pStyle w:val="14"/>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_Toc16581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1.1 </w:t>
          </w:r>
          <w:r>
            <w:rPr>
              <w:rFonts w:hint="eastAsia"/>
              <w:highlight w:val="none"/>
            </w:rPr>
            <w:t>任务工作来源</w:t>
          </w:r>
          <w:r>
            <w:tab/>
          </w:r>
          <w:r>
            <w:fldChar w:fldCharType="begin"/>
          </w:r>
          <w:r>
            <w:instrText xml:space="preserve"> PAGEREF _Toc16581 \h </w:instrText>
          </w:r>
          <w:r>
            <w:fldChar w:fldCharType="separate"/>
          </w:r>
          <w:r>
            <w:t>1</w:t>
          </w:r>
          <w:r>
            <w:fldChar w:fldCharType="end"/>
          </w:r>
          <w:r>
            <w:rPr>
              <w:rFonts w:ascii="微软雅黑" w:hAnsi="微软雅黑" w:eastAsia="微软雅黑" w:cs="微软雅黑"/>
              <w:szCs w:val="52"/>
              <w:highlight w:val="none"/>
            </w:rPr>
            <w:fldChar w:fldCharType="end"/>
          </w:r>
        </w:p>
        <w:p w14:paraId="49B66737">
          <w:pPr>
            <w:pStyle w:val="14"/>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_Toc4894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1.2 </w:t>
          </w:r>
          <w:r>
            <w:rPr>
              <w:rFonts w:hint="eastAsia"/>
              <w:highlight w:val="none"/>
            </w:rPr>
            <w:t>项目</w:t>
          </w:r>
          <w:r>
            <w:rPr>
              <w:rFonts w:hint="eastAsia"/>
              <w:highlight w:val="none"/>
              <w:lang w:val="en-US" w:eastAsia="zh-CN"/>
            </w:rPr>
            <w:t>工作</w:t>
          </w:r>
          <w:r>
            <w:rPr>
              <w:rFonts w:hint="eastAsia"/>
              <w:highlight w:val="none"/>
            </w:rPr>
            <w:t>过程</w:t>
          </w:r>
          <w:r>
            <w:tab/>
          </w:r>
          <w:r>
            <w:fldChar w:fldCharType="begin"/>
          </w:r>
          <w:r>
            <w:instrText xml:space="preserve"> PAGEREF _Toc4894 \h </w:instrText>
          </w:r>
          <w:r>
            <w:fldChar w:fldCharType="separate"/>
          </w:r>
          <w:r>
            <w:t>1</w:t>
          </w:r>
          <w:r>
            <w:fldChar w:fldCharType="end"/>
          </w:r>
          <w:r>
            <w:rPr>
              <w:rFonts w:ascii="微软雅黑" w:hAnsi="微软雅黑" w:eastAsia="微软雅黑" w:cs="微软雅黑"/>
              <w:szCs w:val="52"/>
              <w:highlight w:val="none"/>
            </w:rPr>
            <w:fldChar w:fldCharType="end"/>
          </w:r>
        </w:p>
        <w:p w14:paraId="6768343D">
          <w:pPr>
            <w:pStyle w:val="9"/>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_Toc27490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1.2.1 </w:t>
          </w:r>
          <w:r>
            <w:rPr>
              <w:rFonts w:hint="eastAsia"/>
              <w:highlight w:val="none"/>
            </w:rPr>
            <w:t>准备阶段</w:t>
          </w:r>
          <w:r>
            <w:tab/>
          </w:r>
          <w:r>
            <w:fldChar w:fldCharType="begin"/>
          </w:r>
          <w:r>
            <w:instrText xml:space="preserve"> PAGEREF _Toc27490 \h </w:instrText>
          </w:r>
          <w:r>
            <w:fldChar w:fldCharType="separate"/>
          </w:r>
          <w:r>
            <w:t>1</w:t>
          </w:r>
          <w:r>
            <w:fldChar w:fldCharType="end"/>
          </w:r>
          <w:r>
            <w:rPr>
              <w:rFonts w:ascii="微软雅黑" w:hAnsi="微软雅黑" w:eastAsia="微软雅黑" w:cs="微软雅黑"/>
              <w:szCs w:val="52"/>
              <w:highlight w:val="none"/>
            </w:rPr>
            <w:fldChar w:fldCharType="end"/>
          </w:r>
        </w:p>
        <w:p w14:paraId="2C105417">
          <w:pPr>
            <w:pStyle w:val="9"/>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_Toc18139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1.2.2 </w:t>
          </w:r>
          <w:r>
            <w:rPr>
              <w:rFonts w:hint="eastAsia"/>
              <w:highlight w:val="none"/>
              <w:lang w:val="en-US" w:eastAsia="zh-CN"/>
            </w:rPr>
            <w:t>编制阶段</w:t>
          </w:r>
          <w:r>
            <w:tab/>
          </w:r>
          <w:r>
            <w:fldChar w:fldCharType="begin"/>
          </w:r>
          <w:r>
            <w:instrText xml:space="preserve"> PAGEREF _Toc18139 \h </w:instrText>
          </w:r>
          <w:r>
            <w:fldChar w:fldCharType="separate"/>
          </w:r>
          <w:r>
            <w:t>1</w:t>
          </w:r>
          <w:r>
            <w:fldChar w:fldCharType="end"/>
          </w:r>
          <w:r>
            <w:rPr>
              <w:rFonts w:ascii="微软雅黑" w:hAnsi="微软雅黑" w:eastAsia="微软雅黑" w:cs="微软雅黑"/>
              <w:szCs w:val="52"/>
              <w:highlight w:val="none"/>
            </w:rPr>
            <w:fldChar w:fldCharType="end"/>
          </w:r>
        </w:p>
        <w:p w14:paraId="590B3EF5">
          <w:pPr>
            <w:pStyle w:val="9"/>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_Toc20758 </w:instrText>
          </w:r>
          <w:r>
            <w:rPr>
              <w:rFonts w:ascii="微软雅黑" w:hAnsi="微软雅黑" w:eastAsia="微软雅黑" w:cs="微软雅黑"/>
              <w:szCs w:val="52"/>
              <w:highlight w:val="none"/>
            </w:rPr>
            <w:fldChar w:fldCharType="separate"/>
          </w:r>
          <w:r>
            <w:rPr>
              <w:rFonts w:hint="default" w:ascii="宋体" w:hAnsi="宋体" w:eastAsia="宋体" w:cs="宋体"/>
              <w:lang w:val="en-US" w:eastAsia="zh-CN"/>
            </w:rPr>
            <w:t xml:space="preserve">1.2.3 </w:t>
          </w:r>
          <w:r>
            <w:rPr>
              <w:rFonts w:hint="eastAsia"/>
              <w:highlight w:val="none"/>
              <w:lang w:val="en-US" w:eastAsia="zh-CN"/>
            </w:rPr>
            <w:t>召开征求意见稿技术审查会</w:t>
          </w:r>
          <w:r>
            <w:tab/>
          </w:r>
          <w:r>
            <w:fldChar w:fldCharType="begin"/>
          </w:r>
          <w:r>
            <w:instrText xml:space="preserve"> PAGEREF _Toc20758 \h </w:instrText>
          </w:r>
          <w:r>
            <w:fldChar w:fldCharType="separate"/>
          </w:r>
          <w:r>
            <w:t>2</w:t>
          </w:r>
          <w:r>
            <w:fldChar w:fldCharType="end"/>
          </w:r>
          <w:r>
            <w:rPr>
              <w:rFonts w:ascii="微软雅黑" w:hAnsi="微软雅黑" w:eastAsia="微软雅黑" w:cs="微软雅黑"/>
              <w:szCs w:val="52"/>
              <w:highlight w:val="none"/>
            </w:rPr>
            <w:fldChar w:fldCharType="end"/>
          </w:r>
        </w:p>
        <w:p w14:paraId="16BE0143">
          <w:pPr>
            <w:pStyle w:val="13"/>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_Toc16421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2. </w:t>
          </w:r>
          <w:r>
            <w:rPr>
              <w:rFonts w:hint="eastAsia"/>
              <w:highlight w:val="none"/>
            </w:rPr>
            <w:t>标准编制的必要性</w:t>
          </w:r>
          <w:r>
            <w:tab/>
          </w:r>
          <w:r>
            <w:fldChar w:fldCharType="begin"/>
          </w:r>
          <w:r>
            <w:instrText xml:space="preserve"> PAGEREF _Toc16421 \h </w:instrText>
          </w:r>
          <w:r>
            <w:fldChar w:fldCharType="separate"/>
          </w:r>
          <w:r>
            <w:t>2</w:t>
          </w:r>
          <w:r>
            <w:fldChar w:fldCharType="end"/>
          </w:r>
          <w:r>
            <w:rPr>
              <w:rFonts w:ascii="微软雅黑" w:hAnsi="微软雅黑" w:eastAsia="微软雅黑" w:cs="微软雅黑"/>
              <w:szCs w:val="52"/>
              <w:highlight w:val="none"/>
            </w:rPr>
            <w:fldChar w:fldCharType="end"/>
          </w:r>
        </w:p>
        <w:p w14:paraId="58FA69F8">
          <w:pPr>
            <w:pStyle w:val="13"/>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_Toc24230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3. </w:t>
          </w:r>
          <w:r>
            <w:rPr>
              <w:rFonts w:hint="eastAsia"/>
              <w:highlight w:val="none"/>
            </w:rPr>
            <w:t>行业概况</w:t>
          </w:r>
          <w:r>
            <w:tab/>
          </w:r>
          <w:r>
            <w:fldChar w:fldCharType="begin"/>
          </w:r>
          <w:r>
            <w:instrText xml:space="preserve"> PAGEREF _Toc24230 \h </w:instrText>
          </w:r>
          <w:r>
            <w:fldChar w:fldCharType="separate"/>
          </w:r>
          <w:r>
            <w:t>3</w:t>
          </w:r>
          <w:r>
            <w:fldChar w:fldCharType="end"/>
          </w:r>
          <w:r>
            <w:rPr>
              <w:rFonts w:ascii="微软雅黑" w:hAnsi="微软雅黑" w:eastAsia="微软雅黑" w:cs="微软雅黑"/>
              <w:szCs w:val="52"/>
              <w:highlight w:val="none"/>
            </w:rPr>
            <w:fldChar w:fldCharType="end"/>
          </w:r>
        </w:p>
        <w:p w14:paraId="656B84E2">
          <w:pPr>
            <w:pStyle w:val="13"/>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_Toc16711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4. </w:t>
          </w:r>
          <w:r>
            <w:rPr>
              <w:rFonts w:hint="eastAsia"/>
              <w:highlight w:val="none"/>
            </w:rPr>
            <w:t>标准编制的基本原则、依据及技术路线</w:t>
          </w:r>
          <w:r>
            <w:tab/>
          </w:r>
          <w:r>
            <w:fldChar w:fldCharType="begin"/>
          </w:r>
          <w:r>
            <w:instrText xml:space="preserve"> PAGEREF _Toc16711 \h </w:instrText>
          </w:r>
          <w:r>
            <w:fldChar w:fldCharType="separate"/>
          </w:r>
          <w:r>
            <w:t>3</w:t>
          </w:r>
          <w:r>
            <w:fldChar w:fldCharType="end"/>
          </w:r>
          <w:r>
            <w:rPr>
              <w:rFonts w:ascii="微软雅黑" w:hAnsi="微软雅黑" w:eastAsia="微软雅黑" w:cs="微软雅黑"/>
              <w:szCs w:val="52"/>
              <w:highlight w:val="none"/>
            </w:rPr>
            <w:fldChar w:fldCharType="end"/>
          </w:r>
        </w:p>
        <w:p w14:paraId="2ED05EFF">
          <w:pPr>
            <w:pStyle w:val="14"/>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_Toc7015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4.1 </w:t>
          </w:r>
          <w:r>
            <w:rPr>
              <w:rFonts w:hint="eastAsia"/>
              <w:highlight w:val="none"/>
            </w:rPr>
            <w:t>基本原则</w:t>
          </w:r>
          <w:r>
            <w:tab/>
          </w:r>
          <w:r>
            <w:fldChar w:fldCharType="begin"/>
          </w:r>
          <w:r>
            <w:instrText xml:space="preserve"> PAGEREF _Toc7015 \h </w:instrText>
          </w:r>
          <w:r>
            <w:fldChar w:fldCharType="separate"/>
          </w:r>
          <w:r>
            <w:t>3</w:t>
          </w:r>
          <w:r>
            <w:fldChar w:fldCharType="end"/>
          </w:r>
          <w:r>
            <w:rPr>
              <w:rFonts w:ascii="微软雅黑" w:hAnsi="微软雅黑" w:eastAsia="微软雅黑" w:cs="微软雅黑"/>
              <w:szCs w:val="52"/>
              <w:highlight w:val="none"/>
            </w:rPr>
            <w:fldChar w:fldCharType="end"/>
          </w:r>
        </w:p>
        <w:p w14:paraId="3EA8AFEB">
          <w:pPr>
            <w:pStyle w:val="14"/>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_Toc4526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4.2 </w:t>
          </w:r>
          <w:r>
            <w:rPr>
              <w:rFonts w:hint="eastAsia"/>
              <w:highlight w:val="none"/>
            </w:rPr>
            <w:t>编制依据</w:t>
          </w:r>
          <w:r>
            <w:tab/>
          </w:r>
          <w:r>
            <w:fldChar w:fldCharType="begin"/>
          </w:r>
          <w:r>
            <w:instrText xml:space="preserve"> PAGEREF _Toc4526 \h </w:instrText>
          </w:r>
          <w:r>
            <w:fldChar w:fldCharType="separate"/>
          </w:r>
          <w:r>
            <w:t>4</w:t>
          </w:r>
          <w:r>
            <w:fldChar w:fldCharType="end"/>
          </w:r>
          <w:r>
            <w:rPr>
              <w:rFonts w:ascii="微软雅黑" w:hAnsi="微软雅黑" w:eastAsia="微软雅黑" w:cs="微软雅黑"/>
              <w:szCs w:val="52"/>
              <w:highlight w:val="none"/>
            </w:rPr>
            <w:fldChar w:fldCharType="end"/>
          </w:r>
        </w:p>
        <w:p w14:paraId="43783817">
          <w:pPr>
            <w:pStyle w:val="14"/>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_Toc16596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4.3 </w:t>
          </w:r>
          <w:r>
            <w:rPr>
              <w:rFonts w:hint="eastAsia"/>
              <w:highlight w:val="none"/>
            </w:rPr>
            <w:t>技术路线</w:t>
          </w:r>
          <w:r>
            <w:tab/>
          </w:r>
          <w:r>
            <w:fldChar w:fldCharType="begin"/>
          </w:r>
          <w:r>
            <w:instrText xml:space="preserve"> PAGEREF _Toc16596 \h </w:instrText>
          </w:r>
          <w:r>
            <w:fldChar w:fldCharType="separate"/>
          </w:r>
          <w:r>
            <w:t>5</w:t>
          </w:r>
          <w:r>
            <w:fldChar w:fldCharType="end"/>
          </w:r>
          <w:r>
            <w:rPr>
              <w:rFonts w:ascii="微软雅黑" w:hAnsi="微软雅黑" w:eastAsia="微软雅黑" w:cs="微软雅黑"/>
              <w:szCs w:val="52"/>
              <w:highlight w:val="none"/>
            </w:rPr>
            <w:fldChar w:fldCharType="end"/>
          </w:r>
        </w:p>
        <w:p w14:paraId="0F99DE96">
          <w:pPr>
            <w:pStyle w:val="14"/>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_Toc23971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4.4 </w:t>
          </w:r>
          <w:r>
            <w:rPr>
              <w:highlight w:val="none"/>
            </w:rPr>
            <w:t>国内外本技术领域技术发展情况</w:t>
          </w:r>
          <w:r>
            <w:tab/>
          </w:r>
          <w:r>
            <w:fldChar w:fldCharType="begin"/>
          </w:r>
          <w:r>
            <w:instrText xml:space="preserve"> PAGEREF _Toc23971 \h </w:instrText>
          </w:r>
          <w:r>
            <w:fldChar w:fldCharType="separate"/>
          </w:r>
          <w:r>
            <w:t>6</w:t>
          </w:r>
          <w:r>
            <w:fldChar w:fldCharType="end"/>
          </w:r>
          <w:r>
            <w:rPr>
              <w:rFonts w:ascii="微软雅黑" w:hAnsi="微软雅黑" w:eastAsia="微软雅黑" w:cs="微软雅黑"/>
              <w:szCs w:val="52"/>
              <w:highlight w:val="none"/>
            </w:rPr>
            <w:fldChar w:fldCharType="end"/>
          </w:r>
        </w:p>
        <w:p w14:paraId="0A969A19">
          <w:pPr>
            <w:pStyle w:val="13"/>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_Toc10210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5. </w:t>
          </w:r>
          <w:r>
            <w:rPr>
              <w:rFonts w:hint="eastAsia"/>
              <w:highlight w:val="none"/>
            </w:rPr>
            <w:t>编制主要技术内容说明</w:t>
          </w:r>
          <w:r>
            <w:tab/>
          </w:r>
          <w:r>
            <w:fldChar w:fldCharType="begin"/>
          </w:r>
          <w:r>
            <w:instrText xml:space="preserve"> PAGEREF _Toc10210 \h </w:instrText>
          </w:r>
          <w:r>
            <w:fldChar w:fldCharType="separate"/>
          </w:r>
          <w:r>
            <w:t>7</w:t>
          </w:r>
          <w:r>
            <w:fldChar w:fldCharType="end"/>
          </w:r>
          <w:r>
            <w:rPr>
              <w:rFonts w:ascii="微软雅黑" w:hAnsi="微软雅黑" w:eastAsia="微软雅黑" w:cs="微软雅黑"/>
              <w:szCs w:val="52"/>
              <w:highlight w:val="none"/>
            </w:rPr>
            <w:fldChar w:fldCharType="end"/>
          </w:r>
        </w:p>
        <w:p w14:paraId="4C4B064A">
          <w:pPr>
            <w:pStyle w:val="13"/>
            <w:tabs>
              <w:tab w:val="right" w:leader="dot" w:pos="8306"/>
            </w:tabs>
          </w:pPr>
          <w:r>
            <w:rPr>
              <w:rFonts w:ascii="微软雅黑" w:hAnsi="微软雅黑" w:eastAsia="微软雅黑" w:cs="微软雅黑"/>
              <w:szCs w:val="52"/>
              <w:highlight w:val="none"/>
            </w:rPr>
            <w:fldChar w:fldCharType="begin"/>
          </w:r>
          <w:r>
            <w:rPr>
              <w:rFonts w:ascii="微软雅黑" w:hAnsi="微软雅黑" w:eastAsia="微软雅黑" w:cs="微软雅黑"/>
              <w:szCs w:val="52"/>
              <w:highlight w:val="none"/>
            </w:rPr>
            <w:instrText xml:space="preserve"> HYPERLINK \l _Toc18638 </w:instrText>
          </w:r>
          <w:r>
            <w:rPr>
              <w:rFonts w:ascii="微软雅黑" w:hAnsi="微软雅黑" w:eastAsia="微软雅黑" w:cs="微软雅黑"/>
              <w:szCs w:val="52"/>
              <w:highlight w:val="none"/>
            </w:rPr>
            <w:fldChar w:fldCharType="separate"/>
          </w:r>
          <w:r>
            <w:rPr>
              <w:rFonts w:hint="default" w:ascii="宋体" w:hAnsi="宋体" w:eastAsia="宋体" w:cs="宋体"/>
            </w:rPr>
            <w:t xml:space="preserve">6. </w:t>
          </w:r>
          <w:r>
            <w:rPr>
              <w:rFonts w:hint="eastAsia"/>
              <w:highlight w:val="none"/>
            </w:rPr>
            <w:t>实施本标准的成本-效益分析</w:t>
          </w:r>
          <w:r>
            <w:tab/>
          </w:r>
          <w:r>
            <w:fldChar w:fldCharType="begin"/>
          </w:r>
          <w:r>
            <w:instrText xml:space="preserve"> PAGEREF _Toc18638 \h </w:instrText>
          </w:r>
          <w:r>
            <w:fldChar w:fldCharType="separate"/>
          </w:r>
          <w:r>
            <w:t>9</w:t>
          </w:r>
          <w:r>
            <w:fldChar w:fldCharType="end"/>
          </w:r>
          <w:r>
            <w:rPr>
              <w:rFonts w:ascii="微软雅黑" w:hAnsi="微软雅黑" w:eastAsia="微软雅黑" w:cs="微软雅黑"/>
              <w:szCs w:val="52"/>
              <w:highlight w:val="none"/>
            </w:rPr>
            <w:fldChar w:fldCharType="end"/>
          </w:r>
        </w:p>
        <w:p w14:paraId="5723C617">
          <w:pPr>
            <w:keepNext w:val="0"/>
            <w:keepLines w:val="0"/>
            <w:pageBreakBefore w:val="0"/>
            <w:widowControl w:val="0"/>
            <w:kinsoku/>
            <w:wordWrap/>
            <w:overflowPunct/>
            <w:topLinePunct w:val="0"/>
            <w:autoSpaceDE/>
            <w:autoSpaceDN/>
            <w:bidi w:val="0"/>
            <w:adjustRightInd/>
            <w:snapToGrid/>
            <w:ind w:left="0" w:leftChars="0" w:firstLine="600"/>
            <w:textAlignment w:val="auto"/>
            <w:rPr>
              <w:rFonts w:ascii="微软雅黑" w:hAnsi="微软雅黑" w:eastAsia="微软雅黑" w:cs="微软雅黑"/>
              <w:sz w:val="52"/>
              <w:szCs w:val="52"/>
              <w:highlight w:val="none"/>
            </w:rPr>
          </w:pPr>
          <w:r>
            <w:rPr>
              <w:rFonts w:ascii="微软雅黑" w:hAnsi="微软雅黑" w:eastAsia="微软雅黑" w:cs="微软雅黑"/>
              <w:szCs w:val="52"/>
              <w:highlight w:val="none"/>
            </w:rPr>
            <w:fldChar w:fldCharType="end"/>
          </w:r>
        </w:p>
      </w:sdtContent>
    </w:sdt>
    <w:p w14:paraId="2C7077D7">
      <w:pPr>
        <w:ind w:firstLine="0" w:firstLineChars="0"/>
        <w:jc w:val="center"/>
        <w:rPr>
          <w:rFonts w:ascii="微软雅黑" w:hAnsi="微软雅黑" w:eastAsia="微软雅黑" w:cs="微软雅黑"/>
          <w:spacing w:val="-1"/>
          <w:sz w:val="52"/>
          <w:szCs w:val="52"/>
          <w:highlight w:val="none"/>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27E32578">
      <w:pPr>
        <w:ind w:firstLine="0" w:firstLineChars="0"/>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pacing w:val="-1"/>
          <w:sz w:val="36"/>
          <w:szCs w:val="36"/>
          <w:highlight w:val="none"/>
        </w:rPr>
        <w:t>《污染场地高压旋喷注药原位修复工程技术规范</w:t>
      </w:r>
      <w:r>
        <w:rPr>
          <w:rFonts w:hint="eastAsia" w:ascii="微软雅黑" w:hAnsi="微软雅黑" w:eastAsia="微软雅黑" w:cs="微软雅黑"/>
          <w:sz w:val="36"/>
          <w:szCs w:val="36"/>
          <w:highlight w:val="none"/>
        </w:rPr>
        <w:t>》</w:t>
      </w:r>
    </w:p>
    <w:p w14:paraId="58B672DE">
      <w:pPr>
        <w:ind w:firstLine="0" w:firstLineChars="0"/>
        <w:jc w:val="center"/>
        <w:rPr>
          <w:rFonts w:ascii="仿宋_GB2312" w:hAnsi="仿宋_GB2312" w:eastAsia="仿宋_GB2312" w:cs="仿宋_GB2312"/>
          <w:sz w:val="36"/>
          <w:szCs w:val="36"/>
          <w:highlight w:val="none"/>
        </w:rPr>
      </w:pPr>
      <w:r>
        <w:rPr>
          <w:rFonts w:hint="eastAsia" w:ascii="微软雅黑" w:hAnsi="微软雅黑" w:eastAsia="微软雅黑" w:cs="微软雅黑"/>
          <w:sz w:val="36"/>
          <w:szCs w:val="36"/>
          <w:highlight w:val="none"/>
        </w:rPr>
        <w:t>编制说明</w:t>
      </w:r>
    </w:p>
    <w:p w14:paraId="640CC046">
      <w:pPr>
        <w:pStyle w:val="2"/>
        <w:ind w:firstLine="640"/>
        <w:rPr>
          <w:rFonts w:hint="eastAsia" w:ascii="宋体" w:hAnsi="宋体" w:eastAsia="宋体" w:cs="宋体"/>
          <w:highlight w:val="none"/>
        </w:rPr>
      </w:pPr>
      <w:bookmarkStart w:id="0" w:name="_Toc408121467"/>
      <w:bookmarkStart w:id="1" w:name="_Toc1953714282"/>
      <w:bookmarkStart w:id="2" w:name="_Toc11473"/>
      <w:r>
        <w:rPr>
          <w:rFonts w:hint="eastAsia" w:ascii="宋体" w:hAnsi="宋体" w:eastAsia="宋体" w:cs="宋体"/>
          <w:highlight w:val="none"/>
        </w:rPr>
        <w:t>标准编制背景</w:t>
      </w:r>
      <w:bookmarkEnd w:id="0"/>
      <w:bookmarkEnd w:id="1"/>
      <w:bookmarkEnd w:id="2"/>
    </w:p>
    <w:p w14:paraId="6B0F0A75">
      <w:pPr>
        <w:pStyle w:val="3"/>
        <w:ind w:firstLine="600"/>
        <w:rPr>
          <w:rFonts w:hint="eastAsia" w:ascii="宋体" w:hAnsi="宋体" w:eastAsia="宋体" w:cs="宋体"/>
          <w:highlight w:val="none"/>
        </w:rPr>
      </w:pPr>
      <w:bookmarkStart w:id="3" w:name="_Toc1050974944"/>
      <w:bookmarkStart w:id="4" w:name="_Toc234727351"/>
      <w:bookmarkStart w:id="5" w:name="_Toc16581"/>
      <w:r>
        <w:rPr>
          <w:rFonts w:hint="eastAsia" w:ascii="宋体" w:hAnsi="宋体" w:eastAsia="宋体" w:cs="宋体"/>
          <w:highlight w:val="none"/>
        </w:rPr>
        <w:t>任务工作来源</w:t>
      </w:r>
      <w:bookmarkEnd w:id="3"/>
      <w:bookmarkEnd w:id="4"/>
      <w:bookmarkEnd w:id="5"/>
    </w:p>
    <w:p w14:paraId="45126943">
      <w:pPr>
        <w:bidi w:val="0"/>
        <w:rPr>
          <w:rFonts w:hint="eastAsia" w:ascii="宋体" w:hAnsi="宋体" w:eastAsia="宋体" w:cs="宋体"/>
          <w:lang w:val="en-US" w:eastAsia="zh-CN"/>
        </w:rPr>
      </w:pPr>
      <w:bookmarkStart w:id="6" w:name="_Toc135128718"/>
      <w:bookmarkStart w:id="7" w:name="_Toc682887233"/>
      <w:r>
        <w:rPr>
          <w:rFonts w:hint="eastAsia" w:ascii="宋体" w:hAnsi="宋体" w:eastAsia="宋体" w:cs="宋体"/>
          <w:lang w:val="en-US" w:eastAsia="zh-CN"/>
        </w:rPr>
        <w:t>为了填补当前污染场地修复领域，特别是高压旋喷注药原位修复技术方面的标准空白，明确污染场地高压旋喷注药原位修复工程技术要求，规范施工流程，提升施工质量，推动技术创新，中交天航环保工程有限公司联合行业内多家权威机构及企业，向中华环保联合会申请编制《污染场地高压旋喷注药原位修复工程技术规范》。</w:t>
      </w:r>
    </w:p>
    <w:p w14:paraId="6411301F">
      <w:pPr>
        <w:pStyle w:val="3"/>
        <w:ind w:firstLine="600"/>
        <w:rPr>
          <w:rFonts w:hint="eastAsia" w:ascii="宋体" w:hAnsi="宋体" w:eastAsia="宋体" w:cs="宋体"/>
          <w:highlight w:val="none"/>
        </w:rPr>
      </w:pPr>
      <w:bookmarkStart w:id="8" w:name="_Toc4894"/>
      <w:r>
        <w:rPr>
          <w:rFonts w:hint="eastAsia" w:ascii="宋体" w:hAnsi="宋体" w:eastAsia="宋体" w:cs="宋体"/>
          <w:highlight w:val="none"/>
        </w:rPr>
        <w:t>项目</w:t>
      </w:r>
      <w:r>
        <w:rPr>
          <w:rFonts w:hint="eastAsia" w:ascii="宋体" w:hAnsi="宋体" w:eastAsia="宋体" w:cs="宋体"/>
          <w:highlight w:val="none"/>
          <w:lang w:val="en-US" w:eastAsia="zh-CN"/>
        </w:rPr>
        <w:t>工作</w:t>
      </w:r>
      <w:r>
        <w:rPr>
          <w:rFonts w:hint="eastAsia" w:ascii="宋体" w:hAnsi="宋体" w:eastAsia="宋体" w:cs="宋体"/>
          <w:highlight w:val="none"/>
        </w:rPr>
        <w:t>过程</w:t>
      </w:r>
      <w:bookmarkEnd w:id="6"/>
      <w:bookmarkEnd w:id="7"/>
      <w:bookmarkEnd w:id="8"/>
    </w:p>
    <w:p w14:paraId="1F02A052">
      <w:pPr>
        <w:pStyle w:val="4"/>
        <w:ind w:firstLine="600"/>
        <w:rPr>
          <w:rFonts w:hint="eastAsia" w:ascii="宋体" w:hAnsi="宋体" w:eastAsia="宋体" w:cs="宋体"/>
          <w:highlight w:val="none"/>
        </w:rPr>
      </w:pPr>
      <w:bookmarkStart w:id="9" w:name="_Toc1218148547"/>
      <w:bookmarkStart w:id="10" w:name="_Toc1133115463"/>
      <w:bookmarkStart w:id="11" w:name="_Toc27490"/>
      <w:r>
        <w:rPr>
          <w:rFonts w:hint="eastAsia" w:ascii="宋体" w:hAnsi="宋体" w:eastAsia="宋体" w:cs="宋体"/>
          <w:highlight w:val="none"/>
        </w:rPr>
        <w:t>准备阶段</w:t>
      </w:r>
      <w:bookmarkEnd w:id="9"/>
      <w:bookmarkEnd w:id="10"/>
      <w:bookmarkEnd w:id="11"/>
    </w:p>
    <w:p w14:paraId="51C52EC1">
      <w:pPr>
        <w:ind w:firstLine="600"/>
        <w:rPr>
          <w:rFonts w:hint="eastAsia" w:ascii="宋体" w:hAnsi="宋体" w:eastAsia="宋体" w:cs="宋体"/>
          <w:highlight w:val="none"/>
        </w:rPr>
      </w:pPr>
      <w:r>
        <w:rPr>
          <w:rFonts w:hint="eastAsia" w:ascii="宋体" w:hAnsi="宋体" w:eastAsia="宋体" w:cs="宋体"/>
          <w:lang w:val="en-US" w:eastAsia="zh-CN"/>
        </w:rPr>
        <w:t>中交天航环保工程有限公司组织专家和技术人员构成标准编制工作组，编制了工作方案，确定了标准的大纲、主要内容以及</w:t>
      </w:r>
      <w:r>
        <w:rPr>
          <w:rFonts w:hint="eastAsia" w:ascii="宋体" w:hAnsi="宋体" w:eastAsia="宋体" w:cs="宋体"/>
          <w:highlight w:val="none"/>
        </w:rPr>
        <w:t>进度安排</w:t>
      </w:r>
      <w:r>
        <w:rPr>
          <w:rFonts w:hint="eastAsia" w:ascii="宋体" w:hAnsi="宋体" w:eastAsia="宋体" w:cs="宋体"/>
          <w:highlight w:val="none"/>
          <w:lang w:val="en-US" w:eastAsia="zh-CN"/>
        </w:rPr>
        <w:t>等</w:t>
      </w:r>
      <w:r>
        <w:rPr>
          <w:rFonts w:hint="eastAsia" w:ascii="宋体" w:hAnsi="宋体" w:eastAsia="宋体" w:cs="宋体"/>
          <w:lang w:val="en-US" w:eastAsia="zh-CN"/>
        </w:rPr>
        <w:t>重点问题，明确了任务分工。在此基础上，</w:t>
      </w:r>
      <w:r>
        <w:rPr>
          <w:rFonts w:hint="eastAsia" w:ascii="宋体" w:hAnsi="宋体" w:eastAsia="宋体" w:cs="宋体"/>
          <w:highlight w:val="none"/>
        </w:rPr>
        <w:t>广泛调研国内外相关标准、规范和相关技术文件，收集污染场地高压旋喷注药修复设计与施工资料，并进行资料分类整理，提炼关键技术要点，</w:t>
      </w:r>
      <w:r>
        <w:rPr>
          <w:rFonts w:hint="eastAsia" w:ascii="宋体" w:hAnsi="宋体" w:eastAsia="宋体" w:cs="宋体"/>
          <w:lang w:val="en-US" w:eastAsia="zh-CN"/>
        </w:rPr>
        <w:t>，并对典型工程开展了现场考察，</w:t>
      </w:r>
      <w:r>
        <w:rPr>
          <w:rFonts w:hint="eastAsia" w:ascii="宋体" w:hAnsi="宋体" w:eastAsia="宋体" w:cs="宋体"/>
          <w:highlight w:val="none"/>
        </w:rPr>
        <w:t>为规范编制</w:t>
      </w:r>
      <w:r>
        <w:rPr>
          <w:rFonts w:hint="eastAsia" w:ascii="宋体" w:hAnsi="宋体" w:eastAsia="宋体" w:cs="宋体"/>
          <w:highlight w:val="none"/>
          <w:lang w:val="en-US" w:eastAsia="zh-CN"/>
        </w:rPr>
        <w:t>奠定坚实</w:t>
      </w:r>
      <w:r>
        <w:rPr>
          <w:rFonts w:hint="eastAsia" w:ascii="宋体" w:hAnsi="宋体" w:eastAsia="宋体" w:cs="宋体"/>
          <w:highlight w:val="none"/>
        </w:rPr>
        <w:t>基础。</w:t>
      </w:r>
    </w:p>
    <w:p w14:paraId="2A43994F">
      <w:pPr>
        <w:pStyle w:val="4"/>
        <w:ind w:firstLine="600"/>
        <w:rPr>
          <w:rFonts w:hint="eastAsia" w:ascii="宋体" w:hAnsi="宋体" w:eastAsia="宋体" w:cs="宋体"/>
          <w:highlight w:val="none"/>
        </w:rPr>
      </w:pPr>
      <w:bookmarkStart w:id="12" w:name="_Toc18139"/>
      <w:r>
        <w:rPr>
          <w:rFonts w:hint="eastAsia" w:ascii="宋体" w:hAnsi="宋体" w:eastAsia="宋体" w:cs="宋体"/>
          <w:highlight w:val="none"/>
          <w:lang w:val="en-US" w:eastAsia="zh-CN"/>
        </w:rPr>
        <w:t>编制阶段</w:t>
      </w:r>
      <w:bookmarkEnd w:id="12"/>
    </w:p>
    <w:p w14:paraId="0FC98B6D">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工作组按照既定计划，组织多次内部研讨会议，针对高压旋喷注药原位修复技术的核心环节进行了深入讨论与分析。同时，邀请行业资深专家进行技术指导与咨询，确保标准内容的科学性、合理性和可操作性。在广泛吸收各方意见的基础上，工作组逐步完善标准草案，形成初稿，并进行了多轮次的内部审核与修改，力求标准文本的准确性和规范性。</w:t>
      </w:r>
    </w:p>
    <w:p w14:paraId="003A0DD7">
      <w:pPr>
        <w:pStyle w:val="4"/>
        <w:ind w:firstLine="600"/>
        <w:rPr>
          <w:rFonts w:hint="eastAsia" w:ascii="宋体" w:hAnsi="宋体" w:eastAsia="宋体" w:cs="宋体"/>
          <w:highlight w:val="none"/>
          <w:lang w:val="en-US" w:eastAsia="zh-CN"/>
        </w:rPr>
      </w:pPr>
      <w:bookmarkStart w:id="13" w:name="_Toc20758"/>
      <w:r>
        <w:rPr>
          <w:rFonts w:hint="eastAsia" w:ascii="宋体" w:hAnsi="宋体" w:eastAsia="宋体" w:cs="宋体"/>
          <w:highlight w:val="none"/>
          <w:lang w:val="en-US" w:eastAsia="zh-CN"/>
        </w:rPr>
        <w:t>召开征求意见稿技术审查会</w:t>
      </w:r>
      <w:bookmarkEnd w:id="13"/>
    </w:p>
    <w:p w14:paraId="16CA7463">
      <w:pPr>
        <w:bidi w:val="0"/>
        <w:rPr>
          <w:rFonts w:hint="eastAsia" w:ascii="宋体" w:hAnsi="宋体" w:eastAsia="宋体" w:cs="宋体"/>
          <w:lang w:val="en-US" w:eastAsia="zh-CN"/>
        </w:rPr>
      </w:pPr>
      <w:r>
        <w:rPr>
          <w:rFonts w:hint="eastAsia" w:ascii="宋体" w:hAnsi="宋体" w:eastAsia="宋体" w:cs="宋体"/>
          <w:lang w:val="en-US" w:eastAsia="zh-CN"/>
        </w:rPr>
        <w:t>提交草案和编制说明，征求业内专家及管理部门的意见，修改形成征求意见稿。充分征求标准涉及领域、行业、部门、组织和机构的意见，对相关意见进行归纳整理，研究确定各种意见的处理方案，编写意见汇总处理表，并视情况召开专题讨论会，论证和确定修改方案。</w:t>
      </w:r>
    </w:p>
    <w:p w14:paraId="5DEEA166">
      <w:pPr>
        <w:bidi w:val="0"/>
        <w:rPr>
          <w:rFonts w:hint="eastAsia" w:ascii="宋体" w:hAnsi="宋体" w:eastAsia="宋体" w:cs="宋体"/>
          <w:lang w:val="en-US" w:eastAsia="zh-CN"/>
        </w:rPr>
      </w:pPr>
      <w:r>
        <w:rPr>
          <w:rFonts w:hint="eastAsia" w:ascii="宋体" w:hAnsi="宋体" w:eastAsia="宋体" w:cs="宋体"/>
          <w:lang w:val="en-US" w:eastAsia="zh-CN"/>
        </w:rPr>
        <w:t>根据征求意见稿的修改方案，编制《废弃露天建材类矿山地质灾害治理与生态修复工程施工规程》送审稿及其编制说明。根据中华环保联合会的初步审查意见，修改和完善送审稿。参加标准审议会，接受标准审议委员会的技术审查。</w:t>
      </w:r>
    </w:p>
    <w:p w14:paraId="57BECACE">
      <w:pPr>
        <w:pStyle w:val="2"/>
        <w:ind w:firstLine="640"/>
        <w:rPr>
          <w:rFonts w:hint="eastAsia" w:ascii="宋体" w:hAnsi="宋体" w:eastAsia="宋体" w:cs="宋体"/>
          <w:highlight w:val="none"/>
        </w:rPr>
      </w:pPr>
      <w:bookmarkStart w:id="14" w:name="_Toc1705654703"/>
      <w:bookmarkStart w:id="15" w:name="_Toc1455705126"/>
      <w:bookmarkStart w:id="16" w:name="_Toc16421"/>
      <w:r>
        <w:rPr>
          <w:rFonts w:hint="eastAsia" w:ascii="宋体" w:hAnsi="宋体" w:eastAsia="宋体" w:cs="宋体"/>
          <w:highlight w:val="none"/>
        </w:rPr>
        <w:t>标准编制的必要性</w:t>
      </w:r>
      <w:bookmarkEnd w:id="14"/>
      <w:bookmarkEnd w:id="15"/>
      <w:bookmarkEnd w:id="16"/>
    </w:p>
    <w:p w14:paraId="70DD2397">
      <w:pPr>
        <w:ind w:firstLine="600"/>
        <w:rPr>
          <w:rFonts w:hint="eastAsia" w:ascii="宋体" w:hAnsi="宋体" w:eastAsia="宋体" w:cs="宋体"/>
          <w:highlight w:val="none"/>
          <w:lang w:val="en-US" w:eastAsia="zh-CN"/>
        </w:rPr>
      </w:pPr>
      <w:r>
        <w:rPr>
          <w:rFonts w:hint="eastAsia" w:ascii="宋体" w:hAnsi="宋体" w:eastAsia="宋体" w:cs="宋体"/>
          <w:highlight w:val="none"/>
        </w:rPr>
        <w:t>高压旋喷技术在国内工业污染场地</w:t>
      </w:r>
      <w:r>
        <w:rPr>
          <w:rFonts w:hint="eastAsia" w:ascii="宋体" w:hAnsi="宋体" w:eastAsia="宋体" w:cs="宋体"/>
          <w:highlight w:val="none"/>
          <w:lang w:val="en-US" w:eastAsia="zh-CN"/>
        </w:rPr>
        <w:t>逐步得到</w:t>
      </w:r>
      <w:r>
        <w:rPr>
          <w:rFonts w:hint="eastAsia" w:ascii="宋体" w:hAnsi="宋体" w:eastAsia="宋体" w:cs="宋体"/>
          <w:highlight w:val="none"/>
        </w:rPr>
        <w:t>大规模推广应用，</w:t>
      </w:r>
      <w:r>
        <w:rPr>
          <w:rFonts w:hint="eastAsia" w:ascii="宋体" w:hAnsi="宋体" w:eastAsia="宋体" w:cs="宋体"/>
          <w:highlight w:val="none"/>
          <w:lang w:val="en-US" w:eastAsia="zh-CN"/>
        </w:rPr>
        <w:t>但</w:t>
      </w:r>
      <w:r>
        <w:rPr>
          <w:rFonts w:hint="eastAsia" w:ascii="宋体" w:hAnsi="宋体" w:eastAsia="宋体" w:cs="宋体"/>
          <w:highlight w:val="none"/>
        </w:rPr>
        <w:t>尚未有与污染场地高压旋喷修复技术相关的国家标准</w:t>
      </w:r>
      <w:r>
        <w:rPr>
          <w:rFonts w:hint="eastAsia" w:ascii="宋体" w:hAnsi="宋体" w:eastAsia="宋体" w:cs="宋体"/>
          <w:highlight w:val="none"/>
          <w:lang w:eastAsia="zh-CN"/>
        </w:rPr>
        <w:t>、</w:t>
      </w:r>
      <w:r>
        <w:rPr>
          <w:rFonts w:hint="eastAsia" w:ascii="宋体" w:hAnsi="宋体" w:eastAsia="宋体" w:cs="宋体"/>
          <w:highlight w:val="none"/>
        </w:rPr>
        <w:t>地方标准</w:t>
      </w:r>
      <w:r>
        <w:rPr>
          <w:rFonts w:hint="eastAsia" w:ascii="宋体" w:hAnsi="宋体" w:eastAsia="宋体" w:cs="宋体"/>
          <w:highlight w:val="none"/>
          <w:lang w:val="en-US" w:eastAsia="zh-CN"/>
        </w:rPr>
        <w:t>及</w:t>
      </w:r>
      <w:r>
        <w:rPr>
          <w:rFonts w:hint="eastAsia" w:ascii="宋体" w:hAnsi="宋体" w:eastAsia="宋体" w:cs="宋体"/>
          <w:highlight w:val="none"/>
        </w:rPr>
        <w:t>行业标准</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为规范</w:t>
      </w:r>
      <w:r>
        <w:rPr>
          <w:rFonts w:hint="eastAsia" w:ascii="宋体" w:hAnsi="宋体" w:eastAsia="宋体" w:cs="宋体"/>
          <w:highlight w:val="none"/>
        </w:rPr>
        <w:t>污染场地高压旋喷注药修复施工</w:t>
      </w:r>
      <w:r>
        <w:rPr>
          <w:rFonts w:hint="eastAsia" w:ascii="宋体" w:hAnsi="宋体" w:eastAsia="宋体" w:cs="宋体"/>
          <w:highlight w:val="none"/>
          <w:lang w:val="en-US" w:eastAsia="zh-CN"/>
        </w:rPr>
        <w:t>过程，不断提升施工质量，推动污染场地修复领域创新发展，编制本标准。</w:t>
      </w:r>
    </w:p>
    <w:p w14:paraId="46FC6AFF">
      <w:pPr>
        <w:ind w:firstLine="600"/>
        <w:rPr>
          <w:rFonts w:hint="eastAsia" w:ascii="宋体" w:hAnsi="宋体" w:eastAsia="宋体" w:cs="宋体"/>
          <w:highlight w:val="none"/>
        </w:rPr>
      </w:pPr>
      <w:r>
        <w:rPr>
          <w:rFonts w:hint="eastAsia" w:ascii="宋体" w:hAnsi="宋体" w:eastAsia="宋体" w:cs="宋体"/>
          <w:highlight w:val="none"/>
        </w:rPr>
        <w:t>本标准的编写</w:t>
      </w:r>
      <w:r>
        <w:rPr>
          <w:rFonts w:hint="eastAsia" w:ascii="宋体" w:hAnsi="宋体" w:eastAsia="宋体" w:cs="宋体"/>
          <w:highlight w:val="none"/>
          <w:lang w:val="en-US" w:eastAsia="zh-CN"/>
        </w:rPr>
        <w:t>将</w:t>
      </w:r>
      <w:r>
        <w:rPr>
          <w:rFonts w:hint="eastAsia" w:ascii="宋体" w:hAnsi="宋体" w:eastAsia="宋体" w:cs="宋体"/>
          <w:highlight w:val="none"/>
        </w:rPr>
        <w:t>完善土壤修复领域的技术标准，为土壤修复相关行业的发展提供理论指导</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对</w:t>
      </w:r>
      <w:r>
        <w:rPr>
          <w:rFonts w:hint="eastAsia" w:ascii="宋体" w:hAnsi="宋体" w:eastAsia="宋体" w:cs="宋体"/>
          <w:highlight w:val="none"/>
        </w:rPr>
        <w:t>国内污染场地原位修复领域有较大意义。</w:t>
      </w:r>
      <w:r>
        <w:rPr>
          <w:rFonts w:hint="eastAsia" w:ascii="宋体" w:hAnsi="宋体" w:eastAsia="宋体" w:cs="宋体"/>
          <w:highlight w:val="none"/>
          <w:lang w:val="en-US" w:eastAsia="zh-CN"/>
        </w:rPr>
        <w:t>标准发布后，将有效提升</w:t>
      </w:r>
      <w:r>
        <w:rPr>
          <w:rFonts w:hint="eastAsia" w:ascii="宋体" w:hAnsi="宋体" w:eastAsia="宋体" w:cs="宋体"/>
          <w:highlight w:val="none"/>
        </w:rPr>
        <w:t>污染场地高压旋喷注药修复施工</w:t>
      </w:r>
      <w:r>
        <w:rPr>
          <w:rFonts w:hint="eastAsia" w:ascii="宋体" w:hAnsi="宋体" w:eastAsia="宋体" w:cs="宋体"/>
          <w:highlight w:val="none"/>
          <w:lang w:val="en-US" w:eastAsia="zh-CN"/>
        </w:rPr>
        <w:t>质效性和安全性，增强相关技术的交流合作，促进该领域健康发展。因此，本标准的编写对于</w:t>
      </w:r>
      <w:r>
        <w:rPr>
          <w:rFonts w:hint="eastAsia" w:ascii="宋体" w:hAnsi="宋体" w:eastAsia="宋体" w:cs="宋体"/>
          <w:sz w:val="30"/>
          <w:szCs w:val="24"/>
          <w:highlight w:val="none"/>
          <w:lang w:eastAsia="zh-CN"/>
        </w:rPr>
        <w:t>污染场地高压旋喷注药原位修复工程</w:t>
      </w:r>
      <w:r>
        <w:rPr>
          <w:rFonts w:hint="eastAsia" w:ascii="宋体" w:hAnsi="宋体" w:eastAsia="宋体" w:cs="宋体"/>
          <w:highlight w:val="none"/>
          <w:lang w:val="en-US" w:eastAsia="zh-CN"/>
        </w:rPr>
        <w:t>的提质、降本、增效十分必要</w:t>
      </w:r>
      <w:r>
        <w:rPr>
          <w:rFonts w:hint="eastAsia" w:ascii="宋体" w:hAnsi="宋体" w:eastAsia="宋体" w:cs="宋体"/>
          <w:highlight w:val="none"/>
        </w:rPr>
        <w:t>。</w:t>
      </w:r>
    </w:p>
    <w:p w14:paraId="28A87490">
      <w:pPr>
        <w:pStyle w:val="2"/>
        <w:ind w:firstLine="640"/>
        <w:rPr>
          <w:rFonts w:hint="eastAsia" w:ascii="宋体" w:hAnsi="宋体" w:eastAsia="宋体" w:cs="宋体"/>
          <w:highlight w:val="none"/>
        </w:rPr>
      </w:pPr>
      <w:bookmarkStart w:id="17" w:name="_Toc993660270"/>
      <w:bookmarkStart w:id="18" w:name="_Toc2080072285"/>
      <w:bookmarkStart w:id="19" w:name="_Toc24230"/>
      <w:r>
        <w:rPr>
          <w:rFonts w:hint="eastAsia" w:ascii="宋体" w:hAnsi="宋体" w:eastAsia="宋体" w:cs="宋体"/>
          <w:highlight w:val="none"/>
        </w:rPr>
        <w:t>行业概况</w:t>
      </w:r>
      <w:bookmarkEnd w:id="17"/>
      <w:bookmarkEnd w:id="18"/>
      <w:bookmarkEnd w:id="19"/>
    </w:p>
    <w:p w14:paraId="04A8EB53">
      <w:pPr>
        <w:ind w:firstLine="600"/>
        <w:rPr>
          <w:rFonts w:hint="eastAsia" w:ascii="宋体" w:hAnsi="宋体" w:eastAsia="宋体" w:cs="宋体"/>
          <w:highlight w:val="none"/>
        </w:rPr>
      </w:pPr>
      <w:r>
        <w:rPr>
          <w:rFonts w:hint="eastAsia" w:ascii="宋体" w:hAnsi="宋体" w:eastAsia="宋体" w:cs="宋体"/>
          <w:highlight w:val="none"/>
        </w:rPr>
        <w:t>目前</w:t>
      </w:r>
      <w:r>
        <w:rPr>
          <w:rFonts w:hint="eastAsia" w:ascii="宋体" w:hAnsi="宋体" w:eastAsia="宋体" w:cs="宋体"/>
          <w:highlight w:val="none"/>
          <w:lang w:eastAsia="zh-CN"/>
        </w:rPr>
        <w:t>，</w:t>
      </w:r>
      <w:r>
        <w:rPr>
          <w:rFonts w:hint="eastAsia" w:ascii="宋体" w:hAnsi="宋体" w:eastAsia="宋体" w:cs="宋体"/>
          <w:highlight w:val="none"/>
        </w:rPr>
        <w:t>尚未有与污染场地高压旋喷修复技术相关的国家标准和行业标准，天津市也无相关的地方标准，经检索只有少量的与之相关的团体标准，如《地下水污染防控与修复产业联盟团体标准》（T/GIA 002-2017）、《原位化学氧化注入修复指南》（T/GIA 003-2017）、《污染场地原位修复直推钻进-喷/注一体化装备操作指南》（T/ACEF150-2024），本标准制订能够有效指导污染土壤高压旋喷修复施工，具有较强的应用推广价值。</w:t>
      </w:r>
    </w:p>
    <w:p w14:paraId="669FAC0B">
      <w:pPr>
        <w:pStyle w:val="2"/>
        <w:ind w:firstLine="640"/>
        <w:rPr>
          <w:rFonts w:hint="eastAsia" w:ascii="宋体" w:hAnsi="宋体" w:eastAsia="宋体" w:cs="宋体"/>
          <w:highlight w:val="none"/>
        </w:rPr>
      </w:pPr>
      <w:bookmarkStart w:id="20" w:name="_Toc206983022"/>
      <w:bookmarkStart w:id="21" w:name="_Toc1000198474"/>
      <w:bookmarkStart w:id="22" w:name="_Toc16711"/>
      <w:r>
        <w:rPr>
          <w:rFonts w:hint="eastAsia" w:ascii="宋体" w:hAnsi="宋体" w:eastAsia="宋体" w:cs="宋体"/>
          <w:highlight w:val="none"/>
        </w:rPr>
        <w:t>标准编制的基本原则、依据及技术路线</w:t>
      </w:r>
      <w:bookmarkEnd w:id="20"/>
      <w:bookmarkEnd w:id="21"/>
      <w:bookmarkEnd w:id="22"/>
    </w:p>
    <w:p w14:paraId="7C113ECA">
      <w:pPr>
        <w:pStyle w:val="3"/>
        <w:ind w:firstLine="600"/>
        <w:rPr>
          <w:rFonts w:hint="eastAsia" w:ascii="宋体" w:hAnsi="宋体" w:eastAsia="宋体" w:cs="宋体"/>
          <w:highlight w:val="none"/>
        </w:rPr>
      </w:pPr>
      <w:bookmarkStart w:id="23" w:name="_Toc1981247449"/>
      <w:bookmarkStart w:id="24" w:name="_Toc1987626261"/>
      <w:bookmarkStart w:id="25" w:name="_Toc7015"/>
      <w:r>
        <w:rPr>
          <w:rFonts w:hint="eastAsia" w:ascii="宋体" w:hAnsi="宋体" w:eastAsia="宋体" w:cs="宋体"/>
          <w:highlight w:val="none"/>
        </w:rPr>
        <w:t>基本原则</w:t>
      </w:r>
      <w:bookmarkEnd w:id="23"/>
      <w:bookmarkEnd w:id="24"/>
      <w:bookmarkEnd w:id="25"/>
    </w:p>
    <w:p w14:paraId="3875AED8">
      <w:pPr>
        <w:ind w:firstLine="600"/>
        <w:rPr>
          <w:rFonts w:hint="eastAsia" w:ascii="宋体" w:hAnsi="宋体" w:eastAsia="宋体" w:cs="宋体"/>
          <w:highlight w:val="none"/>
          <w:lang w:val="en-US" w:eastAsia="zh-CN"/>
        </w:rPr>
      </w:pPr>
      <w:bookmarkStart w:id="26" w:name="_Toc1765579976"/>
      <w:bookmarkStart w:id="27" w:name="_Toc1840065701"/>
      <w:r>
        <w:rPr>
          <w:rFonts w:hint="eastAsia" w:ascii="宋体" w:hAnsi="宋体" w:eastAsia="宋体" w:cs="宋体"/>
          <w:highlight w:val="none"/>
          <w:lang w:val="en-US" w:eastAsia="zh-CN"/>
        </w:rPr>
        <w:t>（1）遵守国家有关法律、法规；</w:t>
      </w:r>
    </w:p>
    <w:p w14:paraId="356C9A54">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（2）符合国家强制性标准的要求；</w:t>
      </w:r>
    </w:p>
    <w:p w14:paraId="522366C4">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（3）与现行国家标注、行业标准相协调；</w:t>
      </w:r>
    </w:p>
    <w:p w14:paraId="21B308A2">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（4）标准编制格式符合GB/T 1.1-2020《标准化工作导则第1部分：标准化文件的结构和起草规则》规定；</w:t>
      </w:r>
    </w:p>
    <w:p w14:paraId="304EC5ED">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（5）结合积累的技术参数与施工经验；</w:t>
      </w:r>
    </w:p>
    <w:p w14:paraId="0B99D4F6">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（6）吸收相关成功工程案例经验。</w:t>
      </w:r>
    </w:p>
    <w:p w14:paraId="741ADD8D">
      <w:pPr>
        <w:pStyle w:val="3"/>
        <w:ind w:firstLine="600"/>
        <w:rPr>
          <w:rFonts w:hint="eastAsia" w:ascii="宋体" w:hAnsi="宋体" w:eastAsia="宋体" w:cs="宋体"/>
          <w:highlight w:val="none"/>
        </w:rPr>
      </w:pPr>
      <w:bookmarkStart w:id="28" w:name="_Toc4526"/>
      <w:r>
        <w:rPr>
          <w:rFonts w:hint="eastAsia" w:ascii="宋体" w:hAnsi="宋体" w:eastAsia="宋体" w:cs="宋体"/>
          <w:highlight w:val="none"/>
        </w:rPr>
        <w:t>编制依据</w:t>
      </w:r>
      <w:bookmarkEnd w:id="26"/>
      <w:bookmarkEnd w:id="27"/>
      <w:bookmarkEnd w:id="28"/>
    </w:p>
    <w:p w14:paraId="5A1452E8">
      <w:pPr>
        <w:ind w:firstLine="600"/>
        <w:rPr>
          <w:rFonts w:hint="eastAsia" w:ascii="宋体" w:hAnsi="宋体" w:eastAsia="宋体" w:cs="宋体"/>
          <w:highlight w:val="none"/>
          <w:lang w:val="en-US" w:eastAsia="zh-CN"/>
        </w:rPr>
      </w:pPr>
      <w:r>
        <w:rPr>
          <w:rFonts w:hint="eastAsia" w:ascii="宋体" w:hAnsi="宋体" w:eastAsia="宋体" w:cs="宋体"/>
          <w:highlight w:val="none"/>
          <w:lang w:eastAsia="zh-CN"/>
        </w:rPr>
        <w:t>本标准依据GB/T 1.1-2020《标准化工作导则  第1部分：标准化文件的结构和起草规则》的规定拟定了标准的框架结构。《污染场地高压旋喷注药原位修复工程技术规范》企业标准主要内容分为</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部分包括：</w:t>
      </w:r>
      <w:r>
        <w:rPr>
          <w:rFonts w:hint="eastAsia" w:ascii="宋体" w:hAnsi="宋体" w:eastAsia="宋体" w:cs="宋体"/>
          <w:highlight w:val="none"/>
          <w:lang w:val="en-US" w:eastAsia="zh-CN"/>
        </w:rPr>
        <w:t>范围</w:t>
      </w:r>
      <w:r>
        <w:rPr>
          <w:rFonts w:hint="eastAsia" w:ascii="宋体" w:hAnsi="宋体" w:eastAsia="宋体" w:cs="宋体"/>
          <w:highlight w:val="none"/>
          <w:lang w:eastAsia="zh-CN"/>
        </w:rPr>
        <w:t>、规范性引用文件、术语和定义、</w:t>
      </w:r>
      <w:r>
        <w:rPr>
          <w:rFonts w:hint="eastAsia" w:ascii="宋体" w:hAnsi="宋体" w:eastAsia="宋体" w:cs="宋体"/>
          <w:highlight w:val="none"/>
          <w:lang w:val="en-US" w:eastAsia="zh-CN"/>
        </w:rPr>
        <w:t>工程设计、工程施工、劳动安全与环境保护、</w:t>
      </w:r>
      <w:r>
        <w:rPr>
          <w:rFonts w:hint="eastAsia" w:ascii="宋体" w:hAnsi="宋体" w:eastAsia="宋体" w:cs="宋体"/>
          <w:highlight w:val="none"/>
          <w:lang w:eastAsia="zh-CN"/>
        </w:rPr>
        <w:t>修复效果验收。本标准的编写基于多年来在</w:t>
      </w:r>
      <w:r>
        <w:rPr>
          <w:rFonts w:hint="eastAsia" w:ascii="宋体" w:hAnsi="宋体" w:eastAsia="宋体" w:cs="宋体"/>
          <w:highlight w:val="none"/>
          <w:lang w:val="en-US" w:eastAsia="zh-CN"/>
        </w:rPr>
        <w:t>污染土修复行业的技术参数总结与施工</w:t>
      </w:r>
      <w:r>
        <w:rPr>
          <w:rFonts w:hint="eastAsia" w:ascii="宋体" w:hAnsi="宋体" w:eastAsia="宋体" w:cs="宋体"/>
          <w:highlight w:val="none"/>
          <w:lang w:eastAsia="zh-CN"/>
        </w:rPr>
        <w:t>经验，结合</w:t>
      </w:r>
      <w:r>
        <w:rPr>
          <w:rFonts w:hint="eastAsia" w:ascii="宋体" w:hAnsi="宋体" w:eastAsia="宋体" w:cs="宋体"/>
          <w:highlight w:val="none"/>
          <w:lang w:val="en-US" w:eastAsia="zh-CN"/>
        </w:rPr>
        <w:t>相关土壤修复</w:t>
      </w:r>
      <w:r>
        <w:rPr>
          <w:rFonts w:hint="eastAsia" w:ascii="宋体" w:hAnsi="宋体" w:eastAsia="宋体" w:cs="宋体"/>
          <w:highlight w:val="none"/>
          <w:lang w:eastAsia="zh-CN"/>
        </w:rPr>
        <w:t>规范编制而成。标准编写过程中，参考的</w:t>
      </w:r>
      <w:r>
        <w:rPr>
          <w:rFonts w:hint="eastAsia" w:ascii="宋体" w:hAnsi="宋体" w:eastAsia="宋体" w:cs="宋体"/>
          <w:highlight w:val="none"/>
          <w:lang w:val="en-US" w:eastAsia="zh-CN"/>
        </w:rPr>
        <w:t>与高压旋喷注药施工</w:t>
      </w:r>
      <w:r>
        <w:rPr>
          <w:rFonts w:hint="eastAsia" w:ascii="宋体" w:hAnsi="宋体" w:eastAsia="宋体" w:cs="宋体"/>
          <w:highlight w:val="none"/>
          <w:lang w:eastAsia="zh-CN"/>
        </w:rPr>
        <w:t>相关标准</w:t>
      </w:r>
      <w:r>
        <w:rPr>
          <w:rFonts w:hint="eastAsia" w:ascii="宋体" w:hAnsi="宋体" w:eastAsia="宋体" w:cs="宋体"/>
          <w:highlight w:val="none"/>
          <w:lang w:val="en-US" w:eastAsia="zh-CN"/>
        </w:rPr>
        <w:t>如下：</w:t>
      </w:r>
    </w:p>
    <w:p w14:paraId="6AEF9693">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 xml:space="preserve">GB 8978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污水综合排放标准</w:t>
      </w:r>
    </w:p>
    <w:p w14:paraId="05938E48">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GB 1252</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建筑施工场界环境噪声排放标准</w:t>
      </w:r>
    </w:p>
    <w:p w14:paraId="602FC5A6">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GB 16297</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大气污染物综合排放标准</w:t>
      </w:r>
    </w:p>
    <w:p w14:paraId="16BE348D">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GB 50055</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通用用电设备配电设计规范</w:t>
      </w:r>
    </w:p>
    <w:p w14:paraId="39676AAF">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GB 50058</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爆炸和火灾危险环境装置电力设计规范</w:t>
      </w:r>
    </w:p>
    <w:p w14:paraId="5BD6F5D8">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GB/T 50062</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电力装置的继电保护和自动装置设计规范标准</w:t>
      </w:r>
    </w:p>
    <w:p w14:paraId="5F91DCE4">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 xml:space="preserve">GB 50187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工业企业总平面设计规范</w:t>
      </w:r>
    </w:p>
    <w:p w14:paraId="1263C89B">
      <w:pPr>
        <w:ind w:firstLine="600"/>
        <w:rPr>
          <w:rFonts w:hint="eastAsia" w:ascii="宋体" w:hAnsi="宋体" w:eastAsia="宋体" w:cs="宋体"/>
          <w:highlight w:val="none"/>
          <w:lang w:val="en-US" w:eastAsia="zh-CN"/>
        </w:rPr>
      </w:pPr>
      <w:r>
        <w:rPr>
          <w:rFonts w:hint="eastAsia" w:ascii="宋体" w:hAnsi="宋体" w:eastAsia="宋体" w:cs="宋体"/>
          <w:highlight w:val="none"/>
          <w:lang w:eastAsia="zh-CN"/>
        </w:rPr>
        <w:t>GBZ 2.1</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工作场所有害因素职业接触限值</w:t>
      </w:r>
      <w:r>
        <w:rPr>
          <w:rFonts w:hint="eastAsia" w:ascii="宋体" w:hAnsi="宋体" w:eastAsia="宋体" w:cs="宋体"/>
          <w:highlight w:val="none"/>
          <w:lang w:val="en-US" w:eastAsia="zh-CN"/>
        </w:rPr>
        <w:t>第1部分：化学有害因素</w:t>
      </w:r>
    </w:p>
    <w:p w14:paraId="1D9C515D">
      <w:pPr>
        <w:ind w:firstLine="600"/>
        <w:rPr>
          <w:rFonts w:hint="eastAsia" w:ascii="宋体" w:hAnsi="宋体" w:eastAsia="宋体" w:cs="宋体"/>
          <w:highlight w:val="none"/>
          <w:lang w:val="en-US" w:eastAsia="zh-CN"/>
        </w:rPr>
      </w:pPr>
      <w:r>
        <w:rPr>
          <w:rFonts w:hint="eastAsia" w:ascii="宋体" w:hAnsi="宋体" w:eastAsia="宋体" w:cs="宋体"/>
          <w:highlight w:val="none"/>
          <w:lang w:eastAsia="zh-CN"/>
        </w:rPr>
        <w:t>DL/T 5200</w:t>
      </w:r>
      <w:r>
        <w:rPr>
          <w:rFonts w:hint="eastAsia" w:ascii="宋体" w:hAnsi="宋体" w:eastAsia="宋体" w:cs="宋体"/>
          <w:highlight w:val="none"/>
          <w:lang w:val="en-US" w:eastAsia="zh-CN"/>
        </w:rPr>
        <w:t xml:space="preserve">  水电水利工程高压喷射灌浆技术规范</w:t>
      </w:r>
    </w:p>
    <w:p w14:paraId="1B18D9CE">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HG/T 20691 高压喷射注浆施工技术规范</w:t>
      </w:r>
    </w:p>
    <w:p w14:paraId="25F58109">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 25.2</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场地环境监测技术导则</w:t>
      </w:r>
    </w:p>
    <w:p w14:paraId="535CE5A9">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 25.4</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建设用地土壤修复技术导则</w:t>
      </w:r>
    </w:p>
    <w:p w14:paraId="641B53C6">
      <w:pPr>
        <w:ind w:firstLine="600"/>
        <w:rPr>
          <w:rFonts w:hint="eastAsia" w:ascii="宋体" w:hAnsi="宋体" w:eastAsia="宋体" w:cs="宋体"/>
          <w:highlight w:val="none"/>
          <w:lang w:val="en-US" w:eastAsia="zh-CN"/>
        </w:rPr>
      </w:pPr>
      <w:r>
        <w:rPr>
          <w:rFonts w:hint="eastAsia" w:ascii="宋体" w:hAnsi="宋体" w:eastAsia="宋体" w:cs="宋体"/>
          <w:highlight w:val="none"/>
          <w:lang w:eastAsia="zh-CN"/>
        </w:rPr>
        <w:t>HJ 25.5</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污染地块风险管控与土壤修复效果评估技术导则</w:t>
      </w:r>
    </w:p>
    <w:p w14:paraId="47EA61DD">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 613</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土壤干物质和水分的测定重量法</w:t>
      </w:r>
    </w:p>
    <w:p w14:paraId="6BF2CF04">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 642</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土壤和沉积物挥发性有机物的测定顶空/气相色谱-质谱法</w:t>
      </w:r>
    </w:p>
    <w:p w14:paraId="669E6085">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 8347</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土壤和沉积物半挥发性有机物的测定气相色谱-质谱法</w:t>
      </w:r>
    </w:p>
    <w:p w14:paraId="1AC7B087">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HJ/T 55</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大气污染物无组织排放监测技术导则</w:t>
      </w:r>
    </w:p>
    <w:p w14:paraId="15DA550D">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HJ/T 91</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地表水和污水监测技术规范</w:t>
      </w:r>
    </w:p>
    <w:p w14:paraId="56FC339F">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HJ/T 164</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地下水环境监测技术规范</w:t>
      </w:r>
    </w:p>
    <w:p w14:paraId="7FA09C97">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HJ/T 166</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土壤环境监测技术规范</w:t>
      </w:r>
    </w:p>
    <w:p w14:paraId="731E018B">
      <w:pPr>
        <w:ind w:firstLine="600"/>
        <w:rPr>
          <w:rFonts w:hint="eastAsia" w:ascii="宋体" w:hAnsi="宋体" w:eastAsia="宋体" w:cs="宋体"/>
          <w:highlight w:val="none"/>
          <w:lang w:eastAsia="zh-CN"/>
        </w:rPr>
      </w:pPr>
      <w:r>
        <w:rPr>
          <w:rFonts w:hint="eastAsia" w:ascii="宋体" w:hAnsi="宋体" w:eastAsia="宋体" w:cs="宋体"/>
          <w:highlight w:val="none"/>
          <w:lang w:eastAsia="zh-CN"/>
        </w:rPr>
        <w:t>HJ/T 397</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固定源废气监测技术规范</w:t>
      </w:r>
    </w:p>
    <w:p w14:paraId="12EF8897">
      <w:pPr>
        <w:pStyle w:val="3"/>
        <w:ind w:firstLine="600"/>
        <w:rPr>
          <w:rFonts w:hint="eastAsia" w:ascii="宋体" w:hAnsi="宋体" w:eastAsia="宋体" w:cs="宋体"/>
          <w:highlight w:val="none"/>
        </w:rPr>
      </w:pPr>
      <w:bookmarkStart w:id="29" w:name="_Toc173622386"/>
      <w:bookmarkStart w:id="30" w:name="_Toc72236260"/>
      <w:bookmarkStart w:id="31" w:name="_Toc16596"/>
      <w:r>
        <w:rPr>
          <w:rFonts w:hint="eastAsia" w:ascii="宋体" w:hAnsi="宋体" w:eastAsia="宋体" w:cs="宋体"/>
          <w:highlight w:val="none"/>
        </w:rPr>
        <w:t>技术路线</w:t>
      </w:r>
      <w:bookmarkEnd w:id="29"/>
      <w:bookmarkEnd w:id="30"/>
      <w:bookmarkEnd w:id="31"/>
    </w:p>
    <w:p w14:paraId="4A3DB1C2">
      <w:pPr>
        <w:bidi w:val="0"/>
        <w:rPr>
          <w:rFonts w:hint="eastAsia" w:ascii="宋体" w:hAnsi="宋体" w:eastAsia="宋体" w:cs="宋体"/>
          <w:lang w:val="en-US" w:eastAsia="zh-CN"/>
        </w:rPr>
      </w:pPr>
      <w:r>
        <w:rPr>
          <w:rFonts w:hint="eastAsia" w:ascii="宋体" w:hAnsi="宋体" w:eastAsia="宋体" w:cs="宋体"/>
          <w:lang w:val="en-US" w:eastAsia="zh-CN"/>
        </w:rPr>
        <w:t>标准的编制以国家相关行业或部门的政策法规、管理目标、污染场地修复政策等为基础，采用资料调研、现场调研与专家咨询相结合的方法，具体所采用的技术路线如下图：</w:t>
      </w:r>
    </w:p>
    <w:p w14:paraId="552E6228">
      <w:pPr>
        <w:ind w:firstLine="0" w:firstLineChar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drawing>
          <wp:inline distT="0" distB="0" distL="114300" distR="114300">
            <wp:extent cx="4343400" cy="4769485"/>
            <wp:effectExtent l="0" t="0" r="0" b="0"/>
            <wp:docPr id="1" name="图片 1" descr="kappframework-pSVNX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appframework-pSVNXL(1)(1)"/>
                    <pic:cNvPicPr>
                      <a:picLocks noChangeAspect="1"/>
                    </pic:cNvPicPr>
                  </pic:nvPicPr>
                  <pic:blipFill>
                    <a:blip r:embed="rId8"/>
                    <a:srcRect b="1430"/>
                    <a:stretch>
                      <a:fillRect/>
                    </a:stretch>
                  </pic:blipFill>
                  <pic:spPr>
                    <a:xfrm>
                      <a:off x="0" y="0"/>
                      <a:ext cx="4343400" cy="4769485"/>
                    </a:xfrm>
                    <a:prstGeom prst="rect">
                      <a:avLst/>
                    </a:prstGeom>
                  </pic:spPr>
                </pic:pic>
              </a:graphicData>
            </a:graphic>
          </wp:inline>
        </w:drawing>
      </w:r>
    </w:p>
    <w:p w14:paraId="4FAAD29D">
      <w:pPr>
        <w:ind w:firstLine="0" w:firstLineChars="0"/>
        <w:jc w:val="center"/>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图1 标准编制技术路线图</w:t>
      </w:r>
    </w:p>
    <w:p w14:paraId="15A71394">
      <w:pPr>
        <w:pStyle w:val="3"/>
        <w:ind w:firstLine="600"/>
        <w:rPr>
          <w:rFonts w:hint="eastAsia" w:ascii="宋体" w:hAnsi="宋体" w:eastAsia="宋体" w:cs="宋体"/>
          <w:highlight w:val="none"/>
        </w:rPr>
      </w:pPr>
      <w:bookmarkStart w:id="32" w:name="_Toc746561265"/>
      <w:bookmarkStart w:id="33" w:name="_Toc1788648876"/>
      <w:bookmarkStart w:id="34" w:name="_Toc23971"/>
      <w:r>
        <w:rPr>
          <w:rFonts w:hint="eastAsia" w:ascii="宋体" w:hAnsi="宋体" w:eastAsia="宋体" w:cs="宋体"/>
          <w:highlight w:val="none"/>
        </w:rPr>
        <w:t>国内外本技术领域技术发展情况</w:t>
      </w:r>
      <w:bookmarkEnd w:id="32"/>
      <w:bookmarkEnd w:id="33"/>
      <w:bookmarkEnd w:id="34"/>
    </w:p>
    <w:p w14:paraId="2C2821F9">
      <w:pPr>
        <w:ind w:firstLine="600"/>
        <w:rPr>
          <w:rFonts w:hint="eastAsia" w:ascii="宋体" w:hAnsi="宋体" w:eastAsia="宋体" w:cs="宋体"/>
          <w:highlight w:val="none"/>
          <w:lang w:eastAsia="zh-CN"/>
        </w:rPr>
      </w:pPr>
      <w:r>
        <w:rPr>
          <w:rFonts w:hint="eastAsia" w:ascii="宋体" w:hAnsi="宋体" w:eastAsia="宋体" w:cs="宋体"/>
          <w:highlight w:val="none"/>
        </w:rPr>
        <w:t>污染场地修复工程的药剂添加方式以异位土壤换填、原位注入井、直压式注射及高压旋喷为主。其中，高压旋喷作为一种新兴的药剂施加方式，由地质工程领域的地基加固与桩基施工技术创新而来，常与化学氧化修复工艺结合使用，具有适用土层范围广、修复深度可控、注射压力可调等优点而受到国内外诸多学者青睐。</w:t>
      </w:r>
    </w:p>
    <w:p w14:paraId="684620CA">
      <w:pPr>
        <w:ind w:firstLine="600"/>
        <w:rPr>
          <w:rFonts w:hint="eastAsia" w:ascii="宋体" w:hAnsi="宋体" w:eastAsia="宋体" w:cs="宋体"/>
          <w:highlight w:val="none"/>
        </w:rPr>
      </w:pPr>
      <w:r>
        <w:rPr>
          <w:rFonts w:hint="eastAsia" w:ascii="宋体" w:hAnsi="宋体" w:eastAsia="宋体" w:cs="宋体"/>
          <w:highlight w:val="none"/>
          <w:lang w:val="en-US" w:eastAsia="zh-CN"/>
        </w:rPr>
        <w:t>我国</w:t>
      </w:r>
      <w:r>
        <w:rPr>
          <w:rFonts w:hint="eastAsia" w:ascii="宋体" w:hAnsi="宋体" w:eastAsia="宋体" w:cs="宋体"/>
          <w:highlight w:val="none"/>
        </w:rPr>
        <w:t>从1980年代开始逐步引进并应用高压旋喷技术</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涉及领域</w:t>
      </w:r>
      <w:r>
        <w:rPr>
          <w:rFonts w:hint="eastAsia" w:ascii="宋体" w:hAnsi="宋体" w:eastAsia="宋体" w:cs="宋体"/>
          <w:highlight w:val="none"/>
        </w:rPr>
        <w:t>包括但不限于交通基础设施建设、建筑物基础加固、地下空间开发</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污染场地修复</w:t>
      </w:r>
      <w:r>
        <w:rPr>
          <w:rFonts w:hint="eastAsia" w:ascii="宋体" w:hAnsi="宋体" w:eastAsia="宋体" w:cs="宋体"/>
          <w:highlight w:val="none"/>
        </w:rPr>
        <w:t>等领域。</w:t>
      </w:r>
      <w:r>
        <w:rPr>
          <w:rFonts w:hint="eastAsia" w:ascii="宋体" w:hAnsi="宋体" w:eastAsia="宋体" w:cs="宋体"/>
          <w:highlight w:val="none"/>
          <w:lang w:val="en-US" w:eastAsia="zh-CN"/>
        </w:rPr>
        <w:t>目前，</w:t>
      </w:r>
      <w:r>
        <w:rPr>
          <w:rFonts w:hint="eastAsia" w:ascii="宋体" w:hAnsi="宋体" w:eastAsia="宋体" w:cs="宋体"/>
          <w:highlight w:val="none"/>
        </w:rPr>
        <w:t>高压旋喷技术已在国内多个城市工业污染场地修复项目中得到规模化工程验证，以原位化学氧化/还原修复技术为代表，涉及土壤修复规模近90万m³，地下水修复近20万m³。高压旋喷技术在国内工业污染场地的大规模推广应用，有效提高了我国污染场地土壤及地下水原位修复技术水平，不同污染类型、水文地质条件对该技术的适应能力明显提高，尤其地下水修复领域显示了显著的经济性和高效性。</w:t>
      </w:r>
    </w:p>
    <w:p w14:paraId="73DC16D8">
      <w:pPr>
        <w:ind w:firstLine="600"/>
        <w:rPr>
          <w:rFonts w:hint="eastAsia" w:ascii="宋体" w:hAnsi="宋体" w:eastAsia="宋体" w:cs="宋体"/>
          <w:highlight w:val="none"/>
        </w:rPr>
      </w:pPr>
      <w:r>
        <w:rPr>
          <w:rFonts w:hint="eastAsia" w:ascii="宋体" w:hAnsi="宋体" w:eastAsia="宋体" w:cs="宋体"/>
          <w:highlight w:val="none"/>
          <w:lang w:val="en-US" w:eastAsia="zh-CN"/>
        </w:rPr>
        <w:t>国外对于高压旋喷</w:t>
      </w:r>
      <w:r>
        <w:rPr>
          <w:rFonts w:hint="eastAsia" w:ascii="宋体" w:hAnsi="宋体" w:eastAsia="宋体" w:cs="宋体"/>
          <w:highlight w:val="none"/>
        </w:rPr>
        <w:t>技术的应用已经非常成熟。日本不仅在城市地铁、隧道等大型基础设施建设项目中广泛应用高压旋喷技术，而且还不断推出新的工法和技术标准，例如RJP高压旋喷工法，这种工法具有低排泥、低位移等特点，已经在超过740个工程项目中成功应用。此外，欧洲和其他国家也逐渐重视并采用高压旋喷技术</w:t>
      </w:r>
      <w:r>
        <w:rPr>
          <w:rFonts w:hint="eastAsia" w:ascii="宋体" w:hAnsi="宋体" w:eastAsia="宋体" w:cs="宋体"/>
          <w:highlight w:val="none"/>
          <w:lang w:eastAsia="zh-CN"/>
        </w:rPr>
        <w:t>。</w:t>
      </w:r>
      <w:r>
        <w:rPr>
          <w:rFonts w:hint="eastAsia" w:ascii="宋体" w:hAnsi="宋体" w:eastAsia="宋体" w:cs="宋体"/>
          <w:highlight w:val="none"/>
        </w:rPr>
        <w:t>随着智能建造</w:t>
      </w:r>
      <w:r>
        <w:rPr>
          <w:rFonts w:hint="eastAsia" w:ascii="宋体" w:hAnsi="宋体" w:eastAsia="宋体" w:cs="宋体"/>
          <w:highlight w:val="none"/>
          <w:lang w:val="en-US" w:eastAsia="zh-CN"/>
        </w:rPr>
        <w:t>施工</w:t>
      </w:r>
      <w:r>
        <w:rPr>
          <w:rFonts w:hint="eastAsia" w:ascii="宋体" w:hAnsi="宋体" w:eastAsia="宋体" w:cs="宋体"/>
          <w:highlight w:val="none"/>
        </w:rPr>
        <w:t>技术的发展，高压旋喷施工</w:t>
      </w:r>
      <w:r>
        <w:rPr>
          <w:rFonts w:hint="eastAsia" w:ascii="宋体" w:hAnsi="宋体" w:eastAsia="宋体" w:cs="宋体"/>
          <w:highlight w:val="none"/>
          <w:lang w:val="en-US" w:eastAsia="zh-CN"/>
        </w:rPr>
        <w:t>将</w:t>
      </w:r>
      <w:r>
        <w:rPr>
          <w:rFonts w:hint="eastAsia" w:ascii="宋体" w:hAnsi="宋体" w:eastAsia="宋体" w:cs="宋体"/>
          <w:highlight w:val="none"/>
        </w:rPr>
        <w:t>更多地融入自动化和信息化元素，实现更加高效、精准的施工操作。</w:t>
      </w:r>
    </w:p>
    <w:p w14:paraId="02095860">
      <w:pPr>
        <w:pStyle w:val="2"/>
        <w:ind w:firstLine="640"/>
        <w:rPr>
          <w:rFonts w:hint="eastAsia" w:ascii="宋体" w:hAnsi="宋体" w:eastAsia="宋体" w:cs="宋体"/>
          <w:highlight w:val="none"/>
        </w:rPr>
      </w:pPr>
      <w:bookmarkStart w:id="35" w:name="_Toc1855715081"/>
      <w:bookmarkStart w:id="36" w:name="_Toc1345568226"/>
      <w:bookmarkStart w:id="37" w:name="_Toc10210"/>
      <w:r>
        <w:rPr>
          <w:rFonts w:hint="eastAsia" w:ascii="宋体" w:hAnsi="宋体" w:eastAsia="宋体" w:cs="宋体"/>
          <w:highlight w:val="none"/>
        </w:rPr>
        <w:t>编制主要技术内容说明</w:t>
      </w:r>
      <w:bookmarkEnd w:id="35"/>
      <w:bookmarkEnd w:id="36"/>
      <w:bookmarkEnd w:id="37"/>
    </w:p>
    <w:p w14:paraId="50CDCFAA">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（1）范围</w:t>
      </w:r>
    </w:p>
    <w:p w14:paraId="02E14643">
      <w:pPr>
        <w:ind w:firstLine="600"/>
        <w:rPr>
          <w:rFonts w:hint="eastAsia" w:ascii="宋体" w:hAnsi="宋体" w:eastAsia="宋体" w:cs="宋体"/>
          <w:highlight w:val="none"/>
        </w:rPr>
      </w:pPr>
      <w:r>
        <w:rPr>
          <w:rFonts w:hint="eastAsia" w:ascii="宋体" w:hAnsi="宋体" w:eastAsia="宋体" w:cs="宋体"/>
          <w:highlight w:val="none"/>
        </w:rPr>
        <w:t>本部分依据GB/T 1.1-2020《标准化工作导则  第1部分：标准化文件的结构和起草规则》中的8.5条编写。标准化对象的陈述采用了“本文件规定了……”的表述。标准化适用性的表述采用了“本文件适用于……”的表述。</w:t>
      </w:r>
    </w:p>
    <w:p w14:paraId="7443257C">
      <w:pPr>
        <w:ind w:firstLine="600"/>
        <w:rPr>
          <w:rFonts w:hint="eastAsia" w:ascii="宋体" w:hAnsi="宋体" w:eastAsia="宋体" w:cs="宋体"/>
          <w:highlight w:val="none"/>
        </w:rPr>
      </w:pPr>
      <w:r>
        <w:rPr>
          <w:rFonts w:hint="eastAsia" w:ascii="宋体" w:hAnsi="宋体" w:eastAsia="宋体" w:cs="宋体"/>
          <w:highlight w:val="none"/>
        </w:rPr>
        <w:t>（2）规范性引用文件</w:t>
      </w:r>
    </w:p>
    <w:p w14:paraId="43F6BA47">
      <w:pPr>
        <w:ind w:firstLine="600"/>
        <w:rPr>
          <w:rFonts w:hint="eastAsia" w:ascii="宋体" w:hAnsi="宋体" w:eastAsia="宋体" w:cs="宋体"/>
          <w:highlight w:val="none"/>
        </w:rPr>
      </w:pPr>
      <w:r>
        <w:rPr>
          <w:rFonts w:hint="eastAsia" w:ascii="宋体" w:hAnsi="宋体" w:eastAsia="宋体" w:cs="宋体"/>
          <w:highlight w:val="none"/>
        </w:rPr>
        <w:t>本部分依据GB/T 1.1-2020《标准化工作导则  第1部分：标准化文件的结构和起草规则》中的8.6条编写。规范性引用文件清单按照国家标准化文件、行业标准化文件、地方标准化文件顺序编排，并按标准顺序号排列。</w:t>
      </w:r>
    </w:p>
    <w:p w14:paraId="3B76BDF2">
      <w:pPr>
        <w:ind w:firstLine="600"/>
        <w:rPr>
          <w:rFonts w:hint="eastAsia" w:ascii="宋体" w:hAnsi="宋体" w:eastAsia="宋体" w:cs="宋体"/>
          <w:highlight w:val="none"/>
        </w:rPr>
      </w:pPr>
      <w:r>
        <w:rPr>
          <w:rFonts w:hint="eastAsia" w:ascii="宋体" w:hAnsi="宋体" w:eastAsia="宋体" w:cs="宋体"/>
          <w:highlight w:val="none"/>
        </w:rPr>
        <w:t>（3）术语和定义</w:t>
      </w:r>
    </w:p>
    <w:p w14:paraId="4FD5034A">
      <w:pPr>
        <w:ind w:firstLine="600"/>
        <w:rPr>
          <w:rFonts w:hint="eastAsia" w:ascii="宋体" w:hAnsi="宋体" w:eastAsia="宋体" w:cs="宋体"/>
          <w:highlight w:val="none"/>
        </w:rPr>
      </w:pPr>
      <w:r>
        <w:rPr>
          <w:rFonts w:hint="eastAsia" w:ascii="宋体" w:hAnsi="宋体" w:eastAsia="宋体" w:cs="宋体"/>
          <w:highlight w:val="none"/>
        </w:rPr>
        <w:t>本部分依据GB/T 1.1-2020《标准化工作导则  第1部分：标准化文件的结构和起草规则》中的8.7条编写，并使用了引导语“下列术语和定义适用于本文件”的表述。</w:t>
      </w:r>
    </w:p>
    <w:p w14:paraId="4C6ABB65">
      <w:pPr>
        <w:ind w:firstLine="600"/>
        <w:rPr>
          <w:rFonts w:hint="eastAsia" w:ascii="宋体" w:hAnsi="宋体" w:eastAsia="宋体" w:cs="宋体"/>
          <w:highlight w:val="none"/>
          <w:lang w:eastAsia="zh-CN"/>
        </w:rPr>
      </w:pPr>
      <w:r>
        <w:rPr>
          <w:rFonts w:hint="eastAsia" w:ascii="宋体" w:hAnsi="宋体" w:eastAsia="宋体" w:cs="宋体"/>
          <w:highlight w:val="none"/>
        </w:rPr>
        <w:t>（4）</w:t>
      </w:r>
      <w:r>
        <w:rPr>
          <w:rFonts w:hint="eastAsia" w:ascii="宋体" w:hAnsi="宋体" w:eastAsia="宋体" w:cs="宋体"/>
          <w:highlight w:val="none"/>
          <w:lang w:val="en-US" w:eastAsia="zh-CN"/>
        </w:rPr>
        <w:t>工程设计</w:t>
      </w:r>
    </w:p>
    <w:p w14:paraId="1A95028C">
      <w:pPr>
        <w:ind w:firstLine="600"/>
        <w:rPr>
          <w:rFonts w:hint="eastAsia" w:ascii="宋体" w:hAnsi="宋体" w:eastAsia="宋体" w:cs="宋体"/>
          <w:highlight w:val="none"/>
          <w:lang w:val="en-US"/>
        </w:rPr>
      </w:pPr>
      <w:r>
        <w:rPr>
          <w:rFonts w:hint="eastAsia" w:ascii="宋体" w:hAnsi="宋体" w:eastAsia="宋体" w:cs="宋体"/>
          <w:highlight w:val="none"/>
        </w:rPr>
        <w:t>本章节主要规定了</w:t>
      </w:r>
      <w:r>
        <w:rPr>
          <w:rFonts w:hint="eastAsia" w:ascii="宋体" w:hAnsi="宋体" w:eastAsia="宋体" w:cs="宋体"/>
          <w:highlight w:val="none"/>
          <w:lang w:val="en-US" w:eastAsia="zh-CN"/>
        </w:rPr>
        <w:t>高压旋喷注药修复的设计要求、场地特征参数收集及药剂选型、需要量等的参数确定</w:t>
      </w:r>
    </w:p>
    <w:p w14:paraId="49CFFF96">
      <w:pPr>
        <w:ind w:firstLine="600"/>
        <w:rPr>
          <w:rFonts w:hint="eastAsia" w:ascii="宋体" w:hAnsi="宋体" w:eastAsia="宋体" w:cs="宋体"/>
          <w:highlight w:val="none"/>
        </w:rPr>
      </w:pPr>
      <w:r>
        <w:rPr>
          <w:rFonts w:hint="eastAsia" w:ascii="宋体" w:hAnsi="宋体" w:eastAsia="宋体" w:cs="宋体"/>
          <w:highlight w:val="none"/>
        </w:rPr>
        <w:t>4.1条规定了</w:t>
      </w:r>
      <w:r>
        <w:rPr>
          <w:rFonts w:hint="eastAsia" w:ascii="宋体" w:hAnsi="宋体" w:eastAsia="宋体" w:cs="宋体"/>
          <w:highlight w:val="none"/>
          <w:lang w:val="en-US" w:eastAsia="zh-CN"/>
        </w:rPr>
        <w:t>工程设计的总体要求。</w:t>
      </w:r>
      <w:r>
        <w:rPr>
          <w:rFonts w:hint="eastAsia" w:ascii="宋体" w:hAnsi="宋体" w:eastAsia="宋体" w:cs="宋体"/>
          <w:highlight w:val="none"/>
        </w:rPr>
        <w:t>。</w:t>
      </w:r>
    </w:p>
    <w:p w14:paraId="459FA5CA">
      <w:pPr>
        <w:ind w:firstLine="600"/>
        <w:rPr>
          <w:rFonts w:hint="eastAsia" w:ascii="宋体" w:hAnsi="宋体" w:eastAsia="宋体" w:cs="宋体"/>
          <w:highlight w:val="none"/>
          <w:lang w:val="en-US" w:eastAsia="zh-CN"/>
        </w:rPr>
      </w:pPr>
      <w:r>
        <w:rPr>
          <w:rFonts w:hint="eastAsia" w:ascii="宋体" w:hAnsi="宋体" w:eastAsia="宋体" w:cs="宋体"/>
          <w:highlight w:val="none"/>
        </w:rPr>
        <w:t>4.2条规定了</w:t>
      </w:r>
      <w:r>
        <w:rPr>
          <w:rFonts w:hint="eastAsia" w:ascii="宋体" w:hAnsi="宋体" w:eastAsia="宋体" w:cs="宋体"/>
          <w:highlight w:val="none"/>
          <w:lang w:val="en-US" w:eastAsia="zh-CN"/>
        </w:rPr>
        <w:t>工程设计要求</w:t>
      </w:r>
      <w:r>
        <w:rPr>
          <w:rFonts w:hint="eastAsia" w:ascii="宋体" w:hAnsi="宋体" w:eastAsia="宋体" w:cs="宋体"/>
          <w:highlight w:val="none"/>
        </w:rPr>
        <w:t>。</w:t>
      </w:r>
      <w:r>
        <w:rPr>
          <w:rFonts w:hint="eastAsia" w:ascii="宋体" w:hAnsi="宋体" w:eastAsia="宋体" w:cs="宋体"/>
          <w:highlight w:val="none"/>
          <w:lang w:val="en-US" w:eastAsia="zh-CN"/>
        </w:rPr>
        <w:t>设计前需进行场地特征数据收集、场地特征参数收集，以此进行高压旋喷注药系统的设计。</w:t>
      </w:r>
    </w:p>
    <w:p w14:paraId="4CE80ABF">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4.3条规定了</w:t>
      </w:r>
      <w:r>
        <w:rPr>
          <w:rFonts w:hint="eastAsia" w:ascii="宋体" w:hAnsi="宋体" w:eastAsia="宋体" w:cs="宋体"/>
          <w:highlight w:val="none"/>
        </w:rPr>
        <w:t>药剂选型</w:t>
      </w:r>
      <w:r>
        <w:rPr>
          <w:rFonts w:hint="eastAsia" w:ascii="宋体" w:hAnsi="宋体" w:eastAsia="宋体" w:cs="宋体"/>
          <w:highlight w:val="none"/>
          <w:lang w:eastAsia="zh-CN"/>
        </w:rPr>
        <w:t>、</w:t>
      </w:r>
      <w:r>
        <w:rPr>
          <w:rFonts w:hint="eastAsia" w:ascii="宋体" w:hAnsi="宋体" w:eastAsia="宋体" w:cs="宋体"/>
          <w:highlight w:val="none"/>
        </w:rPr>
        <w:t>药剂需要量</w:t>
      </w:r>
      <w:r>
        <w:rPr>
          <w:rFonts w:hint="eastAsia" w:ascii="宋体" w:hAnsi="宋体" w:eastAsia="宋体" w:cs="宋体"/>
          <w:highlight w:val="none"/>
          <w:lang w:eastAsia="zh-CN"/>
        </w:rPr>
        <w:t>、</w:t>
      </w:r>
      <w:r>
        <w:rPr>
          <w:rFonts w:hint="eastAsia" w:ascii="宋体" w:hAnsi="宋体" w:eastAsia="宋体" w:cs="宋体"/>
          <w:highlight w:val="none"/>
        </w:rPr>
        <w:t>高压旋喷注入方法</w:t>
      </w:r>
      <w:r>
        <w:rPr>
          <w:rFonts w:hint="eastAsia" w:ascii="宋体" w:hAnsi="宋体" w:eastAsia="宋体" w:cs="宋体"/>
          <w:highlight w:val="none"/>
          <w:lang w:eastAsia="zh-CN"/>
        </w:rPr>
        <w:t>、</w:t>
      </w:r>
      <w:r>
        <w:rPr>
          <w:rFonts w:hint="eastAsia" w:ascii="宋体" w:hAnsi="宋体" w:eastAsia="宋体" w:cs="宋体"/>
          <w:highlight w:val="none"/>
        </w:rPr>
        <w:t>影响半径</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修复点位、</w:t>
      </w:r>
      <w:r>
        <w:rPr>
          <w:rFonts w:hint="eastAsia" w:ascii="宋体" w:hAnsi="宋体" w:eastAsia="宋体" w:cs="宋体"/>
          <w:highlight w:val="none"/>
        </w:rPr>
        <w:t>注药压力、旋转速度、提升速度</w:t>
      </w:r>
      <w:r>
        <w:rPr>
          <w:rFonts w:hint="eastAsia" w:ascii="宋体" w:hAnsi="宋体" w:eastAsia="宋体" w:cs="宋体"/>
          <w:highlight w:val="none"/>
          <w:lang w:val="en-US" w:eastAsia="zh-CN"/>
        </w:rPr>
        <w:t>以及总平面布置等设计参数的确定。</w:t>
      </w:r>
    </w:p>
    <w:p w14:paraId="29550122">
      <w:pPr>
        <w:ind w:firstLine="600"/>
        <w:rPr>
          <w:rFonts w:hint="eastAsia" w:ascii="宋体" w:hAnsi="宋体" w:eastAsia="宋体" w:cs="宋体"/>
          <w:highlight w:val="none"/>
          <w:lang w:eastAsia="zh-CN"/>
        </w:rPr>
      </w:pPr>
      <w:r>
        <w:rPr>
          <w:rFonts w:hint="eastAsia" w:ascii="宋体" w:hAnsi="宋体" w:eastAsia="宋体" w:cs="宋体"/>
          <w:highlight w:val="none"/>
        </w:rPr>
        <w:t>（5）</w:t>
      </w:r>
      <w:r>
        <w:rPr>
          <w:rFonts w:hint="eastAsia" w:ascii="宋体" w:hAnsi="宋体" w:eastAsia="宋体" w:cs="宋体"/>
          <w:highlight w:val="none"/>
          <w:lang w:val="en-US" w:eastAsia="zh-CN"/>
        </w:rPr>
        <w:t>工程施工</w:t>
      </w:r>
    </w:p>
    <w:p w14:paraId="37F54891">
      <w:pPr>
        <w:ind w:firstLine="600"/>
        <w:rPr>
          <w:rFonts w:hint="eastAsia" w:ascii="宋体" w:hAnsi="宋体" w:eastAsia="宋体" w:cs="宋体"/>
          <w:highlight w:val="none"/>
          <w:lang w:val="en-US" w:eastAsia="zh-CN"/>
        </w:rPr>
      </w:pPr>
      <w:r>
        <w:rPr>
          <w:rFonts w:hint="eastAsia" w:ascii="宋体" w:hAnsi="宋体" w:eastAsia="宋体" w:cs="宋体"/>
          <w:highlight w:val="none"/>
        </w:rPr>
        <w:t>本章节主要规定了</w:t>
      </w:r>
      <w:r>
        <w:rPr>
          <w:rFonts w:hint="eastAsia" w:ascii="宋体" w:hAnsi="宋体" w:eastAsia="宋体" w:cs="宋体"/>
          <w:highlight w:val="none"/>
          <w:lang w:val="en-US" w:eastAsia="zh-CN"/>
        </w:rPr>
        <w:t>施工准备、施工方法、施工监测以及设备的组成、调试及维护等各施工流程的质量控制要点。</w:t>
      </w:r>
    </w:p>
    <w:p w14:paraId="171505E5">
      <w:pPr>
        <w:ind w:firstLine="600"/>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6）劳动安全与环境保护</w:t>
      </w:r>
    </w:p>
    <w:p w14:paraId="2114BFA8">
      <w:pPr>
        <w:ind w:firstLine="600"/>
        <w:rPr>
          <w:rFonts w:hint="eastAsia" w:ascii="宋体" w:hAnsi="宋体" w:eastAsia="宋体" w:cs="宋体"/>
          <w:highlight w:val="none"/>
        </w:rPr>
      </w:pPr>
      <w:r>
        <w:rPr>
          <w:rFonts w:hint="eastAsia" w:ascii="宋体" w:hAnsi="宋体" w:eastAsia="宋体" w:cs="宋体"/>
          <w:highlight w:val="none"/>
        </w:rPr>
        <w:t>本章节主要规定了劳动安全与职业卫生、</w:t>
      </w:r>
      <w:r>
        <w:rPr>
          <w:rFonts w:hint="eastAsia" w:ascii="宋体" w:hAnsi="宋体" w:eastAsia="宋体" w:cs="宋体"/>
          <w:highlight w:val="none"/>
          <w:lang w:val="en-US" w:eastAsia="zh-CN"/>
        </w:rPr>
        <w:t>环境保护</w:t>
      </w:r>
      <w:r>
        <w:rPr>
          <w:rFonts w:hint="eastAsia" w:ascii="宋体" w:hAnsi="宋体" w:eastAsia="宋体" w:cs="宋体"/>
          <w:highlight w:val="none"/>
        </w:rPr>
        <w:t>要求的</w:t>
      </w:r>
      <w:r>
        <w:rPr>
          <w:rFonts w:hint="eastAsia" w:ascii="宋体" w:hAnsi="宋体" w:eastAsia="宋体" w:cs="宋体"/>
          <w:highlight w:val="none"/>
          <w:lang w:val="en-US" w:eastAsia="zh-CN"/>
        </w:rPr>
        <w:t>相关规定和</w:t>
      </w:r>
      <w:r>
        <w:rPr>
          <w:rFonts w:hint="eastAsia" w:ascii="宋体" w:hAnsi="宋体" w:eastAsia="宋体" w:cs="宋体"/>
          <w:highlight w:val="none"/>
        </w:rPr>
        <w:t>管理措施。</w:t>
      </w:r>
    </w:p>
    <w:p w14:paraId="603554E8">
      <w:pPr>
        <w:ind w:firstLine="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（7）修复效果验收</w:t>
      </w:r>
    </w:p>
    <w:p w14:paraId="6B4602C4">
      <w:pPr>
        <w:ind w:firstLine="600"/>
        <w:rPr>
          <w:rFonts w:hint="eastAsia" w:ascii="宋体" w:hAnsi="宋体" w:eastAsia="宋体" w:cs="宋体"/>
          <w:highlight w:val="none"/>
        </w:rPr>
      </w:pPr>
      <w:r>
        <w:rPr>
          <w:rFonts w:hint="eastAsia" w:ascii="宋体" w:hAnsi="宋体" w:eastAsia="宋体" w:cs="宋体"/>
          <w:highlight w:val="none"/>
        </w:rPr>
        <w:t>本章节主要规定了高压旋喷</w:t>
      </w:r>
      <w:r>
        <w:rPr>
          <w:rFonts w:hint="eastAsia" w:ascii="宋体" w:hAnsi="宋体" w:eastAsia="宋体" w:cs="宋体"/>
          <w:highlight w:val="none"/>
          <w:lang w:val="en-US" w:eastAsia="zh-CN"/>
        </w:rPr>
        <w:t>注药</w:t>
      </w:r>
      <w:r>
        <w:rPr>
          <w:rFonts w:hint="eastAsia" w:ascii="宋体" w:hAnsi="宋体" w:eastAsia="宋体" w:cs="宋体"/>
          <w:highlight w:val="none"/>
        </w:rPr>
        <w:t>修复技术施工竣工后的</w:t>
      </w:r>
      <w:r>
        <w:rPr>
          <w:rFonts w:hint="eastAsia" w:ascii="宋体" w:hAnsi="宋体" w:eastAsia="宋体" w:cs="宋体"/>
          <w:highlight w:val="none"/>
          <w:lang w:val="en-US" w:eastAsia="zh-CN"/>
        </w:rPr>
        <w:t>修复效果监测和验收</w:t>
      </w:r>
      <w:r>
        <w:rPr>
          <w:rFonts w:hint="eastAsia" w:ascii="宋体" w:hAnsi="宋体" w:eastAsia="宋体" w:cs="宋体"/>
          <w:highlight w:val="none"/>
        </w:rPr>
        <w:t>工作。</w:t>
      </w:r>
    </w:p>
    <w:p w14:paraId="6D00C18B">
      <w:pPr>
        <w:pStyle w:val="2"/>
        <w:ind w:firstLine="640"/>
        <w:rPr>
          <w:rFonts w:hint="eastAsia" w:ascii="宋体" w:hAnsi="宋体" w:eastAsia="宋体" w:cs="宋体"/>
          <w:highlight w:val="none"/>
        </w:rPr>
      </w:pPr>
      <w:bookmarkStart w:id="38" w:name="_Toc413447024"/>
      <w:bookmarkStart w:id="39" w:name="_Toc1107271278"/>
      <w:bookmarkStart w:id="40" w:name="_Toc18638"/>
      <w:r>
        <w:rPr>
          <w:rFonts w:hint="eastAsia" w:ascii="宋体" w:hAnsi="宋体" w:eastAsia="宋体" w:cs="宋体"/>
          <w:highlight w:val="none"/>
        </w:rPr>
        <w:t>实施本标准的成本-效益分析</w:t>
      </w:r>
      <w:bookmarkEnd w:id="38"/>
      <w:bookmarkEnd w:id="39"/>
      <w:bookmarkEnd w:id="40"/>
    </w:p>
    <w:p w14:paraId="685E4222">
      <w:pPr>
        <w:ind w:firstLine="600"/>
        <w:rPr>
          <w:rFonts w:hint="eastAsia" w:ascii="宋体" w:hAnsi="宋体" w:eastAsia="宋体" w:cs="宋体"/>
          <w:highlight w:val="none"/>
        </w:rPr>
      </w:pPr>
      <w:r>
        <w:rPr>
          <w:rFonts w:hint="eastAsia" w:ascii="宋体" w:hAnsi="宋体" w:eastAsia="宋体" w:cs="宋体"/>
          <w:highlight w:val="none"/>
        </w:rPr>
        <w:t>本标准力求具有科学性、普遍性、先进性和指导性</w:t>
      </w:r>
      <w:r>
        <w:rPr>
          <w:rFonts w:hint="eastAsia" w:ascii="宋体" w:hAnsi="宋体" w:eastAsia="宋体" w:cs="宋体"/>
          <w:highlight w:val="none"/>
          <w:lang w:eastAsia="zh-CN"/>
        </w:rPr>
        <w:t>，</w:t>
      </w:r>
      <w:r>
        <w:rPr>
          <w:rFonts w:hint="eastAsia" w:ascii="宋体" w:hAnsi="宋体" w:eastAsia="宋体" w:cs="宋体"/>
          <w:highlight w:val="none"/>
        </w:rPr>
        <w:t>将为污染场地高压旋喷注药修复施工</w:t>
      </w:r>
      <w:r>
        <w:rPr>
          <w:rFonts w:hint="eastAsia" w:ascii="宋体" w:hAnsi="宋体" w:eastAsia="宋体" w:cs="宋体"/>
          <w:highlight w:val="none"/>
          <w:lang w:val="en-US" w:eastAsia="zh-CN"/>
        </w:rPr>
        <w:t>工艺</w:t>
      </w:r>
      <w:r>
        <w:rPr>
          <w:rFonts w:hint="eastAsia" w:ascii="宋体" w:hAnsi="宋体" w:eastAsia="宋体" w:cs="宋体"/>
          <w:highlight w:val="none"/>
        </w:rPr>
        <w:t>设计、</w:t>
      </w:r>
      <w:r>
        <w:rPr>
          <w:rFonts w:hint="eastAsia" w:ascii="宋体" w:hAnsi="宋体" w:eastAsia="宋体" w:cs="宋体"/>
          <w:highlight w:val="none"/>
          <w:lang w:val="en-US" w:eastAsia="zh-CN"/>
        </w:rPr>
        <w:t>施工</w:t>
      </w:r>
      <w:r>
        <w:rPr>
          <w:rFonts w:hint="eastAsia" w:ascii="宋体" w:hAnsi="宋体" w:eastAsia="宋体" w:cs="宋体"/>
          <w:highlight w:val="none"/>
        </w:rPr>
        <w:t>供技术支持。</w:t>
      </w:r>
    </w:p>
    <w:p w14:paraId="21541633">
      <w:pPr>
        <w:ind w:firstLine="600"/>
        <w:rPr>
          <w:rFonts w:hint="eastAsia" w:ascii="宋体" w:hAnsi="宋体" w:eastAsia="宋体" w:cs="宋体"/>
          <w:highlight w:val="none"/>
        </w:rPr>
      </w:pPr>
      <w:r>
        <w:rPr>
          <w:rFonts w:hint="eastAsia" w:ascii="宋体" w:hAnsi="宋体" w:eastAsia="宋体" w:cs="宋体"/>
          <w:highlight w:val="none"/>
        </w:rPr>
        <w:t>本标准实施有利于推动</w:t>
      </w:r>
      <w:r>
        <w:rPr>
          <w:rFonts w:hint="eastAsia" w:ascii="宋体" w:hAnsi="宋体" w:eastAsia="宋体" w:cs="宋体"/>
          <w:highlight w:val="none"/>
          <w:lang w:val="en-US" w:eastAsia="zh-CN"/>
        </w:rPr>
        <w:t>规范施工</w:t>
      </w:r>
      <w:r>
        <w:rPr>
          <w:rFonts w:hint="eastAsia" w:ascii="宋体" w:hAnsi="宋体" w:eastAsia="宋体" w:cs="宋体"/>
          <w:highlight w:val="none"/>
        </w:rPr>
        <w:t>、产业化应用、促进装置的正规化、标准化，提升管理人员相关技术水平，</w:t>
      </w:r>
      <w:r>
        <w:rPr>
          <w:rFonts w:hint="eastAsia" w:ascii="宋体" w:hAnsi="宋体" w:eastAsia="宋体" w:cs="宋体"/>
          <w:highlight w:val="none"/>
          <w:lang w:val="en-US" w:eastAsia="zh-CN"/>
        </w:rPr>
        <w:t>提高修复效率，</w:t>
      </w:r>
      <w:r>
        <w:rPr>
          <w:rFonts w:hint="eastAsia" w:ascii="宋体" w:hAnsi="宋体" w:eastAsia="宋体" w:cs="宋体"/>
          <w:highlight w:val="none"/>
        </w:rPr>
        <w:t>避免施工过程中因不规范造成的不必要的经济损失与质量缺陷，为我国污染场地土壤及地下水原位修复问题解决提供工程示范借鉴，具有广阔的应用前景和工程借</w:t>
      </w:r>
      <w:bookmarkStart w:id="41" w:name="_GoBack"/>
      <w:bookmarkEnd w:id="41"/>
      <w:r>
        <w:rPr>
          <w:rFonts w:hint="eastAsia" w:ascii="宋体" w:hAnsi="宋体" w:eastAsia="宋体" w:cs="宋体"/>
          <w:highlight w:val="none"/>
        </w:rPr>
        <w:t>鉴价值。</w:t>
      </w:r>
    </w:p>
    <w:p w14:paraId="0DA30A56">
      <w:pPr>
        <w:rPr>
          <w:highlight w:val="none"/>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Heiti SC Medium">
    <w:altName w:val="宋体"/>
    <w:panose1 w:val="02000000000000000000"/>
    <w:charset w:val="86"/>
    <w:family w:val="auto"/>
    <w:pitch w:val="default"/>
    <w:sig w:usb0="00000000" w:usb1="00000000" w:usb2="00000000" w:usb3="00000000" w:csb0="203E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97F5">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D39F2">
                          <w:pPr>
                            <w:pStyle w:val="11"/>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CCD39F2">
                    <w:pPr>
                      <w:pStyle w:val="11"/>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67FF">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5C479">
                          <w:pPr>
                            <w:pStyle w:val="11"/>
                            <w:ind w:firstLine="36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15C479">
                    <w:pPr>
                      <w:pStyle w:val="11"/>
                      <w:ind w:firstLine="36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B9033"/>
    <w:multiLevelType w:val="multilevel"/>
    <w:tmpl w:val="FFBB9033"/>
    <w:lvl w:ilvl="0" w:tentative="0">
      <w:start w:val="1"/>
      <w:numFmt w:val="decimal"/>
      <w:pStyle w:val="2"/>
      <w:lvlText w:val="%1."/>
      <w:lvlJc w:val="left"/>
      <w:pPr>
        <w:ind w:left="0" w:firstLine="0"/>
      </w:pPr>
      <w:rPr>
        <w:rFonts w:hint="default" w:ascii="宋体" w:hAnsi="宋体" w:eastAsia="宋体" w:cs="宋体"/>
      </w:rPr>
    </w:lvl>
    <w:lvl w:ilvl="1" w:tentative="0">
      <w:start w:val="1"/>
      <w:numFmt w:val="decimal"/>
      <w:pStyle w:val="3"/>
      <w:lvlText w:val="%1.%2"/>
      <w:lvlJc w:val="left"/>
      <w:pPr>
        <w:ind w:left="0" w:firstLine="0"/>
      </w:pPr>
      <w:rPr>
        <w:rFonts w:hint="default" w:ascii="宋体" w:hAnsi="宋体" w:eastAsia="宋体" w:cs="宋体"/>
      </w:rPr>
    </w:lvl>
    <w:lvl w:ilvl="2" w:tentative="0">
      <w:start w:val="1"/>
      <w:numFmt w:val="decimal"/>
      <w:pStyle w:val="4"/>
      <w:lvlText w:val="%1.%2.%3"/>
      <w:lvlJc w:val="left"/>
      <w:pPr>
        <w:ind w:left="0" w:firstLine="0"/>
      </w:pPr>
      <w:rPr>
        <w:rFonts w:hint="default" w:ascii="宋体" w:hAnsi="宋体" w:eastAsia="宋体" w:cs="宋体"/>
      </w:rPr>
    </w:lvl>
    <w:lvl w:ilvl="3" w:tentative="0">
      <w:start w:val="1"/>
      <w:numFmt w:val="decimal"/>
      <w:pStyle w:val="5"/>
      <w:lvlText w:val="%1.%2.%3.%4"/>
      <w:lvlJc w:val="left"/>
      <w:pPr>
        <w:ind w:left="0" w:firstLine="0"/>
      </w:pPr>
      <w:rPr>
        <w:rFonts w:hint="default" w:ascii="宋体" w:hAnsi="宋体" w:eastAsia="宋体" w:cs="宋体"/>
      </w:rPr>
    </w:lvl>
    <w:lvl w:ilvl="4" w:tentative="0">
      <w:start w:val="1"/>
      <w:numFmt w:val="decimal"/>
      <w:pStyle w:val="6"/>
      <w:lvlText w:val="%1.%2.%3.%4.%5"/>
      <w:lvlJc w:val="left"/>
      <w:pPr>
        <w:ind w:left="0" w:firstLine="0"/>
      </w:pPr>
      <w:rPr>
        <w:rFonts w:hint="default" w:ascii="宋体" w:hAnsi="宋体" w:eastAsia="宋体" w:cs="宋体"/>
      </w:rPr>
    </w:lvl>
    <w:lvl w:ilvl="5" w:tentative="0">
      <w:start w:val="1"/>
      <w:numFmt w:val="decimal"/>
      <w:pStyle w:val="7"/>
      <w:lvlText w:val="%1.%2.%3.%4.%5.%6."/>
      <w:lvlJc w:val="left"/>
      <w:pPr>
        <w:ind w:left="0" w:firstLine="0"/>
      </w:pPr>
      <w:rPr>
        <w:rFonts w:hint="default" w:ascii="宋体" w:hAnsi="宋体" w:eastAsia="宋体" w:cs="Helvetica Neue"/>
      </w:rPr>
    </w:lvl>
    <w:lvl w:ilvl="6" w:tentative="0">
      <w:start w:val="1"/>
      <w:numFmt w:val="decimal"/>
      <w:lvlText w:val="%1.%2.%3.%4.%5.%6.%7."/>
      <w:lvlJc w:val="left"/>
      <w:pPr>
        <w:ind w:left="0" w:firstLine="0"/>
      </w:pPr>
      <w:rPr>
        <w:rFonts w:hint="default" w:ascii="宋体" w:hAnsi="宋体" w:eastAsia="宋体" w:cs="Helvetica Neue"/>
      </w:r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GJmMmVmOWZmMjQ1OTVhZTQ2N2M4YWYyYjQ4NmUifQ=="/>
  </w:docVars>
  <w:rsids>
    <w:rsidRoot w:val="7BFF2744"/>
    <w:rsid w:val="004E5B32"/>
    <w:rsid w:val="005304F0"/>
    <w:rsid w:val="006973C9"/>
    <w:rsid w:val="0082521A"/>
    <w:rsid w:val="009F1CA9"/>
    <w:rsid w:val="00B75939"/>
    <w:rsid w:val="00D05931"/>
    <w:rsid w:val="00F302F8"/>
    <w:rsid w:val="00F36C0A"/>
    <w:rsid w:val="00FC4437"/>
    <w:rsid w:val="0B2ECED1"/>
    <w:rsid w:val="0F8D6ADA"/>
    <w:rsid w:val="0F955B67"/>
    <w:rsid w:val="101750D6"/>
    <w:rsid w:val="11FFDAF9"/>
    <w:rsid w:val="1AAA694D"/>
    <w:rsid w:val="1C4C433C"/>
    <w:rsid w:val="1D798230"/>
    <w:rsid w:val="1DB9ABB9"/>
    <w:rsid w:val="1EEF114E"/>
    <w:rsid w:val="1FED1670"/>
    <w:rsid w:val="1FFF06DF"/>
    <w:rsid w:val="2644429A"/>
    <w:rsid w:val="2EEFF306"/>
    <w:rsid w:val="32FA759F"/>
    <w:rsid w:val="33EFA8F3"/>
    <w:rsid w:val="33F5698E"/>
    <w:rsid w:val="35DFA649"/>
    <w:rsid w:val="35FF9FD4"/>
    <w:rsid w:val="36F7CF2F"/>
    <w:rsid w:val="373F4A2A"/>
    <w:rsid w:val="37DFACB3"/>
    <w:rsid w:val="3B5EF252"/>
    <w:rsid w:val="3CFD950B"/>
    <w:rsid w:val="3CFE194D"/>
    <w:rsid w:val="3DDFBF0A"/>
    <w:rsid w:val="3FD6FD61"/>
    <w:rsid w:val="3FF131C3"/>
    <w:rsid w:val="3FFB4072"/>
    <w:rsid w:val="3FFB50CE"/>
    <w:rsid w:val="444F4AB8"/>
    <w:rsid w:val="446E7C5F"/>
    <w:rsid w:val="47BD958F"/>
    <w:rsid w:val="497F8ABC"/>
    <w:rsid w:val="4ADB79C2"/>
    <w:rsid w:val="4BFFD151"/>
    <w:rsid w:val="4E7937FC"/>
    <w:rsid w:val="4F102A1D"/>
    <w:rsid w:val="4F97B992"/>
    <w:rsid w:val="4FFFE418"/>
    <w:rsid w:val="57390153"/>
    <w:rsid w:val="57391259"/>
    <w:rsid w:val="59F7D5DA"/>
    <w:rsid w:val="5C5B1DE7"/>
    <w:rsid w:val="5CFD6349"/>
    <w:rsid w:val="5D7F32C9"/>
    <w:rsid w:val="5DF7302B"/>
    <w:rsid w:val="5E7CAF70"/>
    <w:rsid w:val="5F1A3B12"/>
    <w:rsid w:val="5F2F186B"/>
    <w:rsid w:val="5F4F7C79"/>
    <w:rsid w:val="5F5F36E6"/>
    <w:rsid w:val="5F5FCAFB"/>
    <w:rsid w:val="5FA600A8"/>
    <w:rsid w:val="5FAD0925"/>
    <w:rsid w:val="5FCFDF36"/>
    <w:rsid w:val="5FE68A8D"/>
    <w:rsid w:val="5FEBAF1F"/>
    <w:rsid w:val="61CD1D10"/>
    <w:rsid w:val="62586279"/>
    <w:rsid w:val="632D9E5E"/>
    <w:rsid w:val="64F7C355"/>
    <w:rsid w:val="67777280"/>
    <w:rsid w:val="67BA634C"/>
    <w:rsid w:val="67EF497F"/>
    <w:rsid w:val="68E79C76"/>
    <w:rsid w:val="6A699187"/>
    <w:rsid w:val="6A776FFE"/>
    <w:rsid w:val="6BAFD88E"/>
    <w:rsid w:val="6C7B9803"/>
    <w:rsid w:val="6DAFD3A5"/>
    <w:rsid w:val="6DFF744D"/>
    <w:rsid w:val="6F58308C"/>
    <w:rsid w:val="6F7D0095"/>
    <w:rsid w:val="6FD6E6A1"/>
    <w:rsid w:val="6FF88FB3"/>
    <w:rsid w:val="70D50A94"/>
    <w:rsid w:val="70E16C82"/>
    <w:rsid w:val="70ED3743"/>
    <w:rsid w:val="72AE7D4E"/>
    <w:rsid w:val="737DBA9C"/>
    <w:rsid w:val="737F1FF6"/>
    <w:rsid w:val="73FE96A4"/>
    <w:rsid w:val="74DF3B0A"/>
    <w:rsid w:val="76D73781"/>
    <w:rsid w:val="76F52218"/>
    <w:rsid w:val="771E6083"/>
    <w:rsid w:val="773B8335"/>
    <w:rsid w:val="79FB46D1"/>
    <w:rsid w:val="7AF5ADFF"/>
    <w:rsid w:val="7B39A264"/>
    <w:rsid w:val="7B671F3A"/>
    <w:rsid w:val="7B7FCB1D"/>
    <w:rsid w:val="7BBB27A3"/>
    <w:rsid w:val="7BDF90C1"/>
    <w:rsid w:val="7BF6E698"/>
    <w:rsid w:val="7BFF2744"/>
    <w:rsid w:val="7BFFB458"/>
    <w:rsid w:val="7C6FC157"/>
    <w:rsid w:val="7CFD950B"/>
    <w:rsid w:val="7DCF7D96"/>
    <w:rsid w:val="7DFD2053"/>
    <w:rsid w:val="7EC7F3EF"/>
    <w:rsid w:val="7EDDAB29"/>
    <w:rsid w:val="7EFF5486"/>
    <w:rsid w:val="7EFF6BDB"/>
    <w:rsid w:val="7F6950B7"/>
    <w:rsid w:val="7F774534"/>
    <w:rsid w:val="7F7BF2E4"/>
    <w:rsid w:val="7FAE2253"/>
    <w:rsid w:val="7FBFB011"/>
    <w:rsid w:val="7FDB47A7"/>
    <w:rsid w:val="7FE17508"/>
    <w:rsid w:val="7FEDF14E"/>
    <w:rsid w:val="7FFB26F0"/>
    <w:rsid w:val="7FFD1974"/>
    <w:rsid w:val="7FFE7242"/>
    <w:rsid w:val="7FFF31FD"/>
    <w:rsid w:val="7FFF59A1"/>
    <w:rsid w:val="7FFFBFB2"/>
    <w:rsid w:val="879BAD8B"/>
    <w:rsid w:val="87D777AF"/>
    <w:rsid w:val="9BDC8880"/>
    <w:rsid w:val="9DFC2892"/>
    <w:rsid w:val="9FAFD166"/>
    <w:rsid w:val="9FD7E6C1"/>
    <w:rsid w:val="9FFA301C"/>
    <w:rsid w:val="A8DFF199"/>
    <w:rsid w:val="AEFB9ABC"/>
    <w:rsid w:val="AFF7B08F"/>
    <w:rsid w:val="AFFFE358"/>
    <w:rsid w:val="B4ED7941"/>
    <w:rsid w:val="B5FC9B73"/>
    <w:rsid w:val="B7BB89B0"/>
    <w:rsid w:val="BA0FF4C1"/>
    <w:rsid w:val="BBBFA0A1"/>
    <w:rsid w:val="BD7FF6C0"/>
    <w:rsid w:val="BEEB96C6"/>
    <w:rsid w:val="BFAF859B"/>
    <w:rsid w:val="BFD32B9A"/>
    <w:rsid w:val="BFF74908"/>
    <w:rsid w:val="BFFF2D37"/>
    <w:rsid w:val="C6AF9BC1"/>
    <w:rsid w:val="CBDB2EE9"/>
    <w:rsid w:val="CEC450E4"/>
    <w:rsid w:val="CEDD2576"/>
    <w:rsid w:val="CEF76CBB"/>
    <w:rsid w:val="CF769BA5"/>
    <w:rsid w:val="CFDF4B49"/>
    <w:rsid w:val="D24F0F61"/>
    <w:rsid w:val="D3FE5A98"/>
    <w:rsid w:val="D5B6681F"/>
    <w:rsid w:val="D7DFE242"/>
    <w:rsid w:val="D8772968"/>
    <w:rsid w:val="D9DF7988"/>
    <w:rsid w:val="DB3F9BD0"/>
    <w:rsid w:val="DC8A55CC"/>
    <w:rsid w:val="DCF56CA1"/>
    <w:rsid w:val="DDEE6056"/>
    <w:rsid w:val="DF7D8814"/>
    <w:rsid w:val="DF7F3B5F"/>
    <w:rsid w:val="DFAF369A"/>
    <w:rsid w:val="DFEF09F1"/>
    <w:rsid w:val="DFF410C8"/>
    <w:rsid w:val="E7EEEE30"/>
    <w:rsid w:val="E8FEEED9"/>
    <w:rsid w:val="E9FB6CD8"/>
    <w:rsid w:val="EAE10BF7"/>
    <w:rsid w:val="EB19B501"/>
    <w:rsid w:val="EF9F52DC"/>
    <w:rsid w:val="EFEF1808"/>
    <w:rsid w:val="F273F6CA"/>
    <w:rsid w:val="F3DF5C0D"/>
    <w:rsid w:val="F5EF925C"/>
    <w:rsid w:val="F76ECE4A"/>
    <w:rsid w:val="F77F5F51"/>
    <w:rsid w:val="F7BEEA10"/>
    <w:rsid w:val="F7D5593A"/>
    <w:rsid w:val="F7EE1298"/>
    <w:rsid w:val="F7FE6BDE"/>
    <w:rsid w:val="F86A0A47"/>
    <w:rsid w:val="F97206AA"/>
    <w:rsid w:val="FA1F0FA0"/>
    <w:rsid w:val="FA7E4C14"/>
    <w:rsid w:val="FAEDA5FA"/>
    <w:rsid w:val="FAF7BCD6"/>
    <w:rsid w:val="FAFDEF80"/>
    <w:rsid w:val="FBED7CFC"/>
    <w:rsid w:val="FBF6242C"/>
    <w:rsid w:val="FBFE0C87"/>
    <w:rsid w:val="FBFF25B4"/>
    <w:rsid w:val="FCF668E2"/>
    <w:rsid w:val="FCFFB420"/>
    <w:rsid w:val="FD6FEDC7"/>
    <w:rsid w:val="FDB7580D"/>
    <w:rsid w:val="FDBAFB27"/>
    <w:rsid w:val="FDEDB94A"/>
    <w:rsid w:val="FDFAF6B0"/>
    <w:rsid w:val="FDFF90F1"/>
    <w:rsid w:val="FDFFE4CF"/>
    <w:rsid w:val="FE6F073B"/>
    <w:rsid w:val="FEFEF5BF"/>
    <w:rsid w:val="FF6A2CF1"/>
    <w:rsid w:val="FF7D24DE"/>
    <w:rsid w:val="FF7DE5E4"/>
    <w:rsid w:val="FF9FBACB"/>
    <w:rsid w:val="FFBBFF67"/>
    <w:rsid w:val="FFBF5F26"/>
    <w:rsid w:val="FFDF97F7"/>
    <w:rsid w:val="FFEF4F82"/>
    <w:rsid w:val="FFFB93A7"/>
    <w:rsid w:val="FFFF4F9C"/>
    <w:rsid w:val="FFFFC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36" w:firstLineChars="200"/>
      <w:jc w:val="both"/>
    </w:pPr>
    <w:rPr>
      <w:rFonts w:ascii="Times New Roman" w:hAnsi="Times New Roman" w:eastAsia="方正仿宋简体" w:cstheme="minorBidi"/>
      <w:kern w:val="2"/>
      <w:sz w:val="30"/>
      <w:szCs w:val="24"/>
      <w:lang w:val="en-US" w:eastAsia="zh-CN" w:bidi="ar-SA"/>
    </w:rPr>
  </w:style>
  <w:style w:type="paragraph" w:styleId="2">
    <w:name w:val="heading 1"/>
    <w:basedOn w:val="1"/>
    <w:next w:val="1"/>
    <w:link w:val="20"/>
    <w:qFormat/>
    <w:uiPriority w:val="0"/>
    <w:pPr>
      <w:keepNext/>
      <w:keepLines/>
      <w:numPr>
        <w:ilvl w:val="0"/>
        <w:numId w:val="1"/>
      </w:numPr>
      <w:adjustRightInd w:val="0"/>
      <w:snapToGrid w:val="0"/>
      <w:spacing w:before="120" w:after="120" w:line="360" w:lineRule="auto"/>
      <w:outlineLvl w:val="0"/>
    </w:pPr>
    <w:rPr>
      <w:rFonts w:eastAsia="Heiti SC Medium" w:cs="Times New Roman"/>
      <w:b/>
      <w:bCs/>
      <w:kern w:val="44"/>
      <w:sz w:val="32"/>
      <w:szCs w:val="44"/>
    </w:rPr>
  </w:style>
  <w:style w:type="paragraph" w:styleId="3">
    <w:name w:val="heading 2"/>
    <w:basedOn w:val="1"/>
    <w:next w:val="1"/>
    <w:unhideWhenUsed/>
    <w:qFormat/>
    <w:uiPriority w:val="0"/>
    <w:pPr>
      <w:keepNext/>
      <w:keepLines/>
      <w:numPr>
        <w:ilvl w:val="1"/>
        <w:numId w:val="1"/>
      </w:numPr>
      <w:adjustRightInd w:val="0"/>
      <w:snapToGrid w:val="0"/>
      <w:spacing w:before="120" w:after="120" w:line="360" w:lineRule="auto"/>
      <w:ind w:firstLineChars="0"/>
      <w:outlineLvl w:val="1"/>
    </w:pPr>
    <w:rPr>
      <w:rFonts w:ascii="Arial" w:hAnsi="Arial" w:eastAsia="Heiti SC Medium"/>
      <w:b/>
    </w:rPr>
  </w:style>
  <w:style w:type="paragraph" w:styleId="4">
    <w:name w:val="heading 3"/>
    <w:basedOn w:val="1"/>
    <w:next w:val="1"/>
    <w:unhideWhenUsed/>
    <w:qFormat/>
    <w:uiPriority w:val="0"/>
    <w:pPr>
      <w:keepNext/>
      <w:keepLines/>
      <w:numPr>
        <w:ilvl w:val="2"/>
        <w:numId w:val="1"/>
      </w:numPr>
      <w:adjustRightInd w:val="0"/>
      <w:snapToGrid w:val="0"/>
      <w:spacing w:before="120" w:after="120" w:line="360" w:lineRule="auto"/>
      <w:ind w:firstLineChars="0"/>
      <w:outlineLvl w:val="2"/>
    </w:pPr>
    <w:rPr>
      <w:rFonts w:eastAsia="Heiti SC Medium"/>
      <w:b/>
    </w:rPr>
  </w:style>
  <w:style w:type="paragraph" w:styleId="5">
    <w:name w:val="heading 4"/>
    <w:basedOn w:val="1"/>
    <w:next w:val="1"/>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7"/>
    <w:qFormat/>
    <w:uiPriority w:val="0"/>
    <w:pPr>
      <w:jc w:val="left"/>
    </w:pPr>
  </w:style>
  <w:style w:type="paragraph" w:styleId="9">
    <w:name w:val="toc 3"/>
    <w:basedOn w:val="1"/>
    <w:next w:val="1"/>
    <w:uiPriority w:val="0"/>
    <w:pPr>
      <w:ind w:left="840" w:leftChars="400"/>
    </w:pPr>
  </w:style>
  <w:style w:type="paragraph" w:styleId="10">
    <w:name w:val="Balloon Text"/>
    <w:basedOn w:val="1"/>
    <w:link w:val="26"/>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8"/>
    <w:next w:val="8"/>
    <w:link w:val="28"/>
    <w:qFormat/>
    <w:uiPriority w:val="0"/>
    <w:rPr>
      <w:b/>
      <w:bCs/>
    </w:rPr>
  </w:style>
  <w:style w:type="character" w:styleId="19">
    <w:name w:val="annotation reference"/>
    <w:basedOn w:val="18"/>
    <w:qFormat/>
    <w:uiPriority w:val="0"/>
    <w:rPr>
      <w:sz w:val="21"/>
      <w:szCs w:val="21"/>
    </w:rPr>
  </w:style>
  <w:style w:type="character" w:customStyle="1" w:styleId="20">
    <w:name w:val="标题 1 Char"/>
    <w:basedOn w:val="18"/>
    <w:link w:val="2"/>
    <w:qFormat/>
    <w:uiPriority w:val="9"/>
    <w:rPr>
      <w:rFonts w:ascii="Times New Roman" w:hAnsi="Times New Roman" w:eastAsia="Heiti SC Medium" w:cs="Times New Roman"/>
      <w:b/>
      <w:bCs/>
      <w:kern w:val="44"/>
      <w:sz w:val="32"/>
      <w:szCs w:val="44"/>
    </w:rPr>
  </w:style>
  <w:style w:type="paragraph" w:customStyle="1" w:styleId="21">
    <w:name w:val="Table Text"/>
    <w:basedOn w:val="1"/>
    <w:semiHidden/>
    <w:qFormat/>
    <w:uiPriority w:val="0"/>
    <w:pPr>
      <w:adjustRightInd w:val="0"/>
      <w:snapToGrid w:val="0"/>
      <w:ind w:firstLine="0" w:firstLineChars="0"/>
    </w:pPr>
    <w:rPr>
      <w:rFonts w:ascii="微软雅黑" w:hAnsi="微软雅黑" w:eastAsia="微软雅黑" w:cs="微软雅黑"/>
      <w:sz w:val="20"/>
      <w:szCs w:val="20"/>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WPSOffice手动目录 1"/>
    <w:qFormat/>
    <w:uiPriority w:val="0"/>
    <w:rPr>
      <w:rFonts w:ascii="Times New Roman" w:hAnsi="Times New Roman" w:eastAsia="方正仿宋简体" w:cs="Times New Roman"/>
      <w:b/>
      <w:sz w:val="30"/>
      <w:lang w:val="en-US" w:eastAsia="zh-CN" w:bidi="ar-SA"/>
    </w:rPr>
  </w:style>
  <w:style w:type="paragraph" w:customStyle="1" w:styleId="24">
    <w:name w:val="WPSOffice手动目录 2"/>
    <w:qFormat/>
    <w:uiPriority w:val="0"/>
    <w:pPr>
      <w:ind w:left="200" w:leftChars="200"/>
    </w:pPr>
    <w:rPr>
      <w:rFonts w:ascii="Times New Roman" w:hAnsi="Times New Roman" w:eastAsia="方正仿宋简体" w:cs="Times New Roman"/>
      <w:sz w:val="30"/>
      <w:lang w:val="en-US" w:eastAsia="zh-CN" w:bidi="ar-SA"/>
    </w:rPr>
  </w:style>
  <w:style w:type="paragraph" w:customStyle="1" w:styleId="25">
    <w:name w:val="WPSOffice手动目录 3"/>
    <w:qFormat/>
    <w:uiPriority w:val="0"/>
    <w:pPr>
      <w:ind w:left="400" w:leftChars="400"/>
    </w:pPr>
    <w:rPr>
      <w:rFonts w:ascii="Times New Roman" w:hAnsi="Times New Roman" w:eastAsia="方正仿宋简体" w:cs="Times New Roman"/>
      <w:sz w:val="30"/>
      <w:lang w:val="en-US" w:eastAsia="zh-CN" w:bidi="ar-SA"/>
    </w:rPr>
  </w:style>
  <w:style w:type="character" w:customStyle="1" w:styleId="26">
    <w:name w:val="批注框文本 Char"/>
    <w:basedOn w:val="18"/>
    <w:link w:val="10"/>
    <w:qFormat/>
    <w:uiPriority w:val="0"/>
    <w:rPr>
      <w:rFonts w:eastAsia="方正仿宋简体" w:cstheme="minorBidi"/>
      <w:kern w:val="2"/>
      <w:sz w:val="18"/>
      <w:szCs w:val="18"/>
    </w:rPr>
  </w:style>
  <w:style w:type="character" w:customStyle="1" w:styleId="27">
    <w:name w:val="批注文字 Char"/>
    <w:basedOn w:val="18"/>
    <w:link w:val="8"/>
    <w:qFormat/>
    <w:uiPriority w:val="0"/>
    <w:rPr>
      <w:rFonts w:eastAsia="方正仿宋简体" w:cstheme="minorBidi"/>
      <w:kern w:val="2"/>
      <w:sz w:val="30"/>
      <w:szCs w:val="24"/>
    </w:rPr>
  </w:style>
  <w:style w:type="character" w:customStyle="1" w:styleId="28">
    <w:name w:val="批注主题 Char"/>
    <w:basedOn w:val="27"/>
    <w:link w:val="16"/>
    <w:qFormat/>
    <w:uiPriority w:val="0"/>
    <w:rPr>
      <w:rFonts w:eastAsia="方正仿宋简体" w:cstheme="minorBidi"/>
      <w:b/>
      <w:bCs/>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3663</Words>
  <Characters>3919</Characters>
  <Lines>23</Lines>
  <Paragraphs>18</Paragraphs>
  <TotalTime>0</TotalTime>
  <ScaleCrop>false</ScaleCrop>
  <LinksUpToDate>false</LinksUpToDate>
  <CharactersWithSpaces>4166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2024-06-01T00:57:00Z</dcterms:created>
  <dc:creator>yangx</dc:creator>
  <cp:lastModifiedBy>牧羊人</cp:lastModifiedBy>
  <dcterms:modified xsi:type="dcterms:W3CDTF">2025-10-23T01:54:33Z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56494ED9A8084B558BBB666EA7210E06_13</vt:lpwstr>
  </property>
  <property fmtid="{D5CDD505-2E9C-101B-9397-08002B2CF9AE}" pid="4" name="KSOTemplateDocerSaveRecord">
    <vt:lpwstr>eyJoZGlkIjoiMjhmMjQwY2YxOGVmNmIxNTgwYTgwODNiNDUyZmFjMzEiLCJ1c2VySWQiOiIyOTUwMzA0MTYifQ==</vt:lpwstr>
  </property>
</Properties>
</file>