
<file path=[Content_Types].xml><?xml version="1.0" encoding="utf-8"?>
<Types xmlns="http://schemas.openxmlformats.org/package/2006/content-types">
  <Default Extension="bin" ContentType="application/vnd.openxmlformats-officedocument.oleObject"/>
  <Default Extension="wmf" ContentType="image/x-wmf"/>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61D2D0">
      <w:pPr>
        <w:jc w:val="left"/>
        <w:rPr>
          <w:rFonts w:ascii="宋体" w:hAnsi="宋体"/>
          <w:bCs/>
          <w:sz w:val="32"/>
          <w:szCs w:val="32"/>
        </w:rPr>
      </w:pPr>
      <w:r>
        <w:rPr>
          <w:rFonts w:hint="eastAsia" w:ascii="仿宋" w:hAnsi="仿宋" w:eastAsia="仿宋"/>
          <w:bCs/>
          <w:sz w:val="32"/>
          <w:szCs w:val="32"/>
        </w:rPr>
        <w:t>附件2</w:t>
      </w:r>
      <w:r>
        <w:rPr>
          <w:rFonts w:hint="eastAsia" w:ascii="宋体" w:hAnsi="宋体"/>
          <w:bCs/>
          <w:sz w:val="32"/>
          <w:szCs w:val="32"/>
        </w:rPr>
        <w:t>：</w:t>
      </w:r>
    </w:p>
    <w:p w14:paraId="69E228A9">
      <w:pPr>
        <w:jc w:val="center"/>
        <w:rPr>
          <w:rFonts w:ascii="Times New Roman" w:hAnsi="Times New Roman" w:eastAsia="黑体" w:cs="Times New Roman"/>
          <w:b/>
          <w:sz w:val="28"/>
          <w:szCs w:val="28"/>
        </w:rPr>
      </w:pPr>
      <w:r>
        <w:rPr>
          <w:rFonts w:hint="eastAsia" w:ascii="Times New Roman" w:hAnsi="Times New Roman" w:eastAsia="黑体" w:cs="Times New Roman"/>
          <w:b/>
          <w:sz w:val="28"/>
          <w:szCs w:val="28"/>
          <w:lang w:val="en-US" w:eastAsia="zh-CN"/>
        </w:rPr>
        <w:t>《贵州茶叶产地气候评价技术规范》编制说明</w:t>
      </w:r>
    </w:p>
    <w:p w14:paraId="23285F37">
      <w:pPr>
        <w:spacing w:line="360" w:lineRule="auto"/>
        <w:ind w:firstLine="422" w:firstLineChars="200"/>
        <w:jc w:val="left"/>
        <w:rPr>
          <w:rFonts w:hint="eastAsia" w:ascii="Times New Roman" w:hAnsi="Times New Roman" w:cs="Times New Roman" w:eastAsiaTheme="minorEastAsia"/>
          <w:b/>
          <w:color w:val="auto"/>
          <w:kern w:val="0"/>
          <w:szCs w:val="21"/>
        </w:rPr>
      </w:pPr>
      <w:r>
        <w:rPr>
          <w:rFonts w:hint="eastAsia" w:ascii="Times New Roman" w:hAnsi="Times New Roman" w:cs="Times New Roman" w:eastAsiaTheme="minorEastAsia"/>
          <w:b/>
          <w:color w:val="auto"/>
          <w:kern w:val="0"/>
          <w:szCs w:val="21"/>
          <w:lang w:val="en-US" w:eastAsia="zh-CN"/>
        </w:rPr>
        <w:t>一、</w:t>
      </w:r>
      <w:r>
        <w:rPr>
          <w:rFonts w:hint="eastAsia" w:ascii="Times New Roman" w:hAnsi="Times New Roman" w:cs="Times New Roman" w:eastAsiaTheme="minorEastAsia"/>
          <w:b/>
          <w:color w:val="auto"/>
          <w:kern w:val="0"/>
          <w:szCs w:val="21"/>
        </w:rPr>
        <w:t>项目背景</w:t>
      </w:r>
    </w:p>
    <w:p w14:paraId="6A2852F5">
      <w:pPr>
        <w:spacing w:line="360" w:lineRule="auto"/>
        <w:ind w:firstLine="420" w:firstLineChars="200"/>
        <w:jc w:val="left"/>
        <w:rPr>
          <w:rFonts w:hint="eastAsia" w:ascii="Times New Roman" w:hAnsi="Times New Roman" w:cs="Times New Roman" w:eastAsiaTheme="minorEastAsia"/>
          <w:b w:val="0"/>
          <w:bCs/>
          <w:color w:val="auto"/>
          <w:kern w:val="0"/>
          <w:szCs w:val="21"/>
          <w:lang w:val="en-US" w:eastAsia="zh-CN"/>
        </w:rPr>
      </w:pPr>
      <w:r>
        <w:rPr>
          <w:rFonts w:hint="eastAsia" w:ascii="Times New Roman" w:hAnsi="Times New Roman" w:cs="Times New Roman" w:eastAsiaTheme="minorEastAsia"/>
          <w:b w:val="0"/>
          <w:bCs/>
          <w:color w:val="auto"/>
          <w:kern w:val="0"/>
          <w:szCs w:val="21"/>
          <w:lang w:val="en-US" w:eastAsia="zh-CN"/>
        </w:rPr>
        <w:t>贵州，作为中国茶叶的原产地之一，凭借其独特的自然地理环境，已发展成为全国面积、质量优异的茶叶大省。在省委、省政府的高度重视与强力推动下，茶产业已成为贵州省巩固脱贫攻坚成果、全面推进乡村振兴的支柱产业，也是践行“绿水青山就是金山银山”理念的优势产业。然而，在从“茶叶大省”向“茶叶强省”跨越的关键时期，产业面临着如何将无形的生态优势转化为有形的市场价值、如何进一步提升品牌核心竞争力等深层次问题。</w:t>
      </w:r>
      <w:r>
        <w:rPr>
          <w:rFonts w:hint="eastAsia" w:cs="Times New Roman" w:eastAsiaTheme="minorEastAsia"/>
          <w:b w:val="0"/>
          <w:bCs/>
          <w:color w:val="auto"/>
          <w:kern w:val="0"/>
          <w:szCs w:val="21"/>
          <w:lang w:val="en-US" w:eastAsia="zh-CN"/>
        </w:rPr>
        <w:t>因此</w:t>
      </w:r>
      <w:r>
        <w:rPr>
          <w:rFonts w:hint="eastAsia" w:ascii="Times New Roman" w:hAnsi="Times New Roman" w:cs="Times New Roman" w:eastAsiaTheme="minorEastAsia"/>
          <w:b w:val="0"/>
          <w:bCs/>
          <w:color w:val="auto"/>
          <w:kern w:val="0"/>
          <w:szCs w:val="21"/>
          <w:lang w:val="en-US" w:eastAsia="zh-CN"/>
        </w:rPr>
        <w:t>，编制《贵州茶叶产地气候评价技术规范》这一团体标准，是立足于国家战略指引、产业禀赋优势、品牌升级需求和技术空白填补等多维度的</w:t>
      </w:r>
      <w:r>
        <w:rPr>
          <w:rFonts w:hint="eastAsia" w:cs="Times New Roman" w:eastAsiaTheme="minorEastAsia"/>
          <w:b w:val="0"/>
          <w:bCs/>
          <w:color w:val="auto"/>
          <w:kern w:val="0"/>
          <w:szCs w:val="21"/>
          <w:lang w:val="en-US" w:eastAsia="zh-CN"/>
        </w:rPr>
        <w:t>共同需求</w:t>
      </w:r>
      <w:r>
        <w:rPr>
          <w:rFonts w:hint="eastAsia" w:ascii="Times New Roman" w:hAnsi="Times New Roman" w:cs="Times New Roman" w:eastAsiaTheme="minorEastAsia"/>
          <w:b w:val="0"/>
          <w:bCs/>
          <w:color w:val="auto"/>
          <w:kern w:val="0"/>
          <w:szCs w:val="21"/>
          <w:lang w:val="en-US" w:eastAsia="zh-CN"/>
        </w:rPr>
        <w:t>。其必要性与紧迫性主要体现在以下四个方面：</w:t>
      </w:r>
    </w:p>
    <w:p w14:paraId="0ED5D472">
      <w:pPr>
        <w:numPr>
          <w:ilvl w:val="0"/>
          <w:numId w:val="2"/>
        </w:numPr>
        <w:spacing w:line="360" w:lineRule="auto"/>
        <w:ind w:firstLine="422" w:firstLineChars="200"/>
        <w:jc w:val="left"/>
        <w:rPr>
          <w:rFonts w:hint="eastAsia" w:ascii="Times New Roman" w:hAnsi="Times New Roman" w:cs="Times New Roman" w:eastAsiaTheme="minorEastAsia"/>
          <w:b/>
          <w:bCs w:val="0"/>
          <w:color w:val="auto"/>
          <w:kern w:val="0"/>
          <w:szCs w:val="21"/>
          <w:lang w:val="en-US" w:eastAsia="zh-CN"/>
        </w:rPr>
      </w:pPr>
      <w:r>
        <w:rPr>
          <w:rFonts w:hint="eastAsia" w:ascii="Times New Roman" w:hAnsi="Times New Roman" w:cs="Times New Roman" w:eastAsiaTheme="minorEastAsia"/>
          <w:b/>
          <w:bCs w:val="0"/>
          <w:color w:val="auto"/>
          <w:kern w:val="0"/>
          <w:szCs w:val="21"/>
          <w:lang w:val="en-US" w:eastAsia="zh-CN"/>
        </w:rPr>
        <w:t>深入贯彻落实习近平总书记考察贵州重要指示精神的具体实践</w:t>
      </w:r>
    </w:p>
    <w:p w14:paraId="12D896F8">
      <w:pPr>
        <w:numPr>
          <w:ilvl w:val="0"/>
          <w:numId w:val="0"/>
        </w:numPr>
        <w:spacing w:line="360" w:lineRule="auto"/>
        <w:ind w:firstLine="420" w:firstLineChars="200"/>
        <w:jc w:val="left"/>
        <w:rPr>
          <w:rFonts w:hint="eastAsia" w:ascii="Times New Roman" w:hAnsi="Times New Roman" w:cs="Times New Roman" w:eastAsiaTheme="minorEastAsia"/>
          <w:b w:val="0"/>
          <w:bCs/>
          <w:color w:val="auto"/>
          <w:kern w:val="0"/>
          <w:szCs w:val="21"/>
          <w:lang w:val="en-US" w:eastAsia="zh-CN"/>
        </w:rPr>
      </w:pPr>
      <w:r>
        <w:rPr>
          <w:rFonts w:hint="eastAsia" w:ascii="Times New Roman" w:hAnsi="Times New Roman" w:cs="Times New Roman" w:eastAsiaTheme="minorEastAsia"/>
          <w:b w:val="0"/>
          <w:bCs/>
          <w:color w:val="auto"/>
          <w:kern w:val="0"/>
          <w:szCs w:val="21"/>
          <w:lang w:val="en-US" w:eastAsia="zh-CN"/>
        </w:rPr>
        <w:t>习近平总书记考察贵州时，明确要求“要保护好生态环境，努力把生态优势转化为发展优势”。这一指示为贵州的发展指明了根本方向。贵州茶产业的核心竞争力正根植于其优异的生态环境，而气候</w:t>
      </w:r>
      <w:r>
        <w:rPr>
          <w:rFonts w:hint="eastAsia" w:cs="Times New Roman" w:eastAsiaTheme="minorEastAsia"/>
          <w:b w:val="0"/>
          <w:bCs/>
          <w:color w:val="auto"/>
          <w:kern w:val="0"/>
          <w:szCs w:val="21"/>
          <w:lang w:val="en-US" w:eastAsia="zh-CN"/>
        </w:rPr>
        <w:t>因素</w:t>
      </w:r>
      <w:r>
        <w:rPr>
          <w:rFonts w:hint="eastAsia" w:ascii="Times New Roman" w:hAnsi="Times New Roman" w:cs="Times New Roman" w:eastAsiaTheme="minorEastAsia"/>
          <w:b w:val="0"/>
          <w:bCs/>
          <w:color w:val="auto"/>
          <w:kern w:val="0"/>
          <w:szCs w:val="21"/>
          <w:lang w:val="en-US" w:eastAsia="zh-CN"/>
        </w:rPr>
        <w:t>是其中最关键、最</w:t>
      </w:r>
      <w:r>
        <w:rPr>
          <w:rFonts w:hint="eastAsia" w:cs="Times New Roman" w:eastAsiaTheme="minorEastAsia"/>
          <w:b w:val="0"/>
          <w:bCs/>
          <w:color w:val="auto"/>
          <w:kern w:val="0"/>
          <w:szCs w:val="21"/>
          <w:lang w:val="en-US" w:eastAsia="zh-CN"/>
        </w:rPr>
        <w:t>核心</w:t>
      </w:r>
      <w:r>
        <w:rPr>
          <w:rFonts w:hint="eastAsia" w:ascii="Times New Roman" w:hAnsi="Times New Roman" w:cs="Times New Roman" w:eastAsiaTheme="minorEastAsia"/>
          <w:b w:val="0"/>
          <w:bCs/>
          <w:color w:val="auto"/>
          <w:kern w:val="0"/>
          <w:szCs w:val="21"/>
          <w:lang w:val="en-US" w:eastAsia="zh-CN"/>
        </w:rPr>
        <w:t>的</w:t>
      </w:r>
      <w:r>
        <w:rPr>
          <w:rFonts w:hint="eastAsia" w:cs="Times New Roman" w:eastAsiaTheme="minorEastAsia"/>
          <w:b w:val="0"/>
          <w:bCs/>
          <w:color w:val="auto"/>
          <w:kern w:val="0"/>
          <w:szCs w:val="21"/>
          <w:lang w:val="en-US" w:eastAsia="zh-CN"/>
        </w:rPr>
        <w:t>决定性</w:t>
      </w:r>
      <w:r>
        <w:rPr>
          <w:rFonts w:hint="eastAsia" w:ascii="Times New Roman" w:hAnsi="Times New Roman" w:cs="Times New Roman" w:eastAsiaTheme="minorEastAsia"/>
          <w:b w:val="0"/>
          <w:bCs/>
          <w:color w:val="auto"/>
          <w:kern w:val="0"/>
          <w:szCs w:val="21"/>
          <w:lang w:val="en-US" w:eastAsia="zh-CN"/>
        </w:rPr>
        <w:t>要素</w:t>
      </w:r>
      <w:r>
        <w:rPr>
          <w:rFonts w:hint="eastAsia" w:cs="Times New Roman" w:eastAsiaTheme="minorEastAsia"/>
          <w:b w:val="0"/>
          <w:bCs/>
          <w:color w:val="auto"/>
          <w:kern w:val="0"/>
          <w:szCs w:val="21"/>
          <w:lang w:val="en-US" w:eastAsia="zh-CN"/>
        </w:rPr>
        <w:t>之一</w:t>
      </w:r>
      <w:r>
        <w:rPr>
          <w:rFonts w:hint="eastAsia" w:ascii="Times New Roman" w:hAnsi="Times New Roman" w:cs="Times New Roman" w:eastAsiaTheme="minorEastAsia"/>
          <w:b w:val="0"/>
          <w:bCs/>
          <w:color w:val="auto"/>
          <w:kern w:val="0"/>
          <w:szCs w:val="21"/>
          <w:lang w:val="en-US" w:eastAsia="zh-CN"/>
        </w:rPr>
        <w:t>。通过制定技术规范，对茶叶产地的气候禀赋进行量化评估与价值认证，正是将“生态优势”进行标准化、资产化，进而转化为“发展优势”的创新实践，是贵州茶产业落实国家战略的必然选择。</w:t>
      </w:r>
    </w:p>
    <w:p w14:paraId="29338634">
      <w:pPr>
        <w:spacing w:line="360" w:lineRule="auto"/>
        <w:ind w:firstLine="422" w:firstLineChars="200"/>
        <w:jc w:val="left"/>
        <w:rPr>
          <w:rFonts w:hint="eastAsia" w:ascii="Times New Roman" w:hAnsi="Times New Roman" w:cs="Times New Roman" w:eastAsiaTheme="minorEastAsia"/>
          <w:b/>
          <w:bCs w:val="0"/>
          <w:color w:val="auto"/>
          <w:kern w:val="0"/>
          <w:szCs w:val="21"/>
          <w:lang w:val="en-US" w:eastAsia="zh-CN"/>
        </w:rPr>
      </w:pPr>
      <w:r>
        <w:rPr>
          <w:rFonts w:hint="eastAsia" w:cs="Times New Roman" w:eastAsiaTheme="minorEastAsia"/>
          <w:b/>
          <w:bCs w:val="0"/>
          <w:color w:val="auto"/>
          <w:kern w:val="0"/>
          <w:szCs w:val="21"/>
          <w:lang w:val="en-US" w:eastAsia="zh-CN"/>
        </w:rPr>
        <w:t>（二）宣传</w:t>
      </w:r>
      <w:r>
        <w:rPr>
          <w:rFonts w:hint="eastAsia" w:ascii="Times New Roman" w:hAnsi="Times New Roman" w:cs="Times New Roman" w:eastAsiaTheme="minorEastAsia"/>
          <w:b/>
          <w:bCs w:val="0"/>
          <w:color w:val="auto"/>
          <w:kern w:val="0"/>
          <w:szCs w:val="21"/>
          <w:lang w:val="en-US" w:eastAsia="zh-CN"/>
        </w:rPr>
        <w:t>彰显贵州茶独特品质的科学需求</w:t>
      </w:r>
    </w:p>
    <w:p w14:paraId="1A754F06">
      <w:pPr>
        <w:spacing w:line="360" w:lineRule="auto"/>
        <w:ind w:firstLine="420" w:firstLineChars="200"/>
        <w:jc w:val="left"/>
        <w:rPr>
          <w:rFonts w:hint="eastAsia" w:ascii="Times New Roman" w:hAnsi="Times New Roman" w:cs="Times New Roman" w:eastAsiaTheme="minorEastAsia"/>
          <w:b w:val="0"/>
          <w:bCs/>
          <w:color w:val="auto"/>
          <w:kern w:val="0"/>
          <w:szCs w:val="21"/>
          <w:lang w:val="en-US" w:eastAsia="zh-CN"/>
        </w:rPr>
      </w:pPr>
      <w:r>
        <w:rPr>
          <w:rFonts w:hint="eastAsia" w:ascii="Times New Roman" w:hAnsi="Times New Roman" w:cs="Times New Roman" w:eastAsiaTheme="minorEastAsia"/>
          <w:b w:val="0"/>
          <w:bCs/>
          <w:color w:val="auto"/>
          <w:kern w:val="0"/>
          <w:szCs w:val="21"/>
          <w:lang w:val="en-US" w:eastAsia="zh-CN"/>
        </w:rPr>
        <w:t>“低纬度、高海拔、多云雾、寡日照”——概括了贵州茶叶产区的独特气候禀赋。它塑造了贵州茶叶“生态、优质、稀缺”的内核：低纬度确保热量充足，高海拔导致昼夜温差大，利于干物质积累；多云雾形成漫射光，促进氨基酸生成，茶味更鲜爽；寡日照则减缓生长，令芽叶持嫩性更好。然而，长期以来，这一优势多停留于定性描述和口碑传播，缺乏一套统一、科学的量化指标体系来精准刻画和有力证明。因此，系统性地开展</w:t>
      </w:r>
      <w:r>
        <w:rPr>
          <w:rFonts w:hint="eastAsia" w:cs="Times New Roman" w:eastAsiaTheme="minorEastAsia"/>
          <w:b w:val="0"/>
          <w:bCs/>
          <w:color w:val="auto"/>
          <w:kern w:val="0"/>
          <w:szCs w:val="21"/>
          <w:lang w:val="en-US" w:eastAsia="zh-CN"/>
        </w:rPr>
        <w:t>气候优质产地的量化</w:t>
      </w:r>
      <w:r>
        <w:rPr>
          <w:rFonts w:hint="eastAsia" w:ascii="Times New Roman" w:hAnsi="Times New Roman" w:cs="Times New Roman" w:eastAsiaTheme="minorEastAsia"/>
          <w:b w:val="0"/>
          <w:bCs/>
          <w:color w:val="auto"/>
          <w:kern w:val="0"/>
          <w:szCs w:val="21"/>
          <w:lang w:val="en-US" w:eastAsia="zh-CN"/>
        </w:rPr>
        <w:t>评价，</w:t>
      </w:r>
      <w:r>
        <w:rPr>
          <w:rFonts w:hint="eastAsia" w:cs="Times New Roman" w:eastAsiaTheme="minorEastAsia"/>
          <w:b w:val="0"/>
          <w:bCs/>
          <w:color w:val="auto"/>
          <w:kern w:val="0"/>
          <w:szCs w:val="21"/>
          <w:lang w:val="en-US" w:eastAsia="zh-CN"/>
        </w:rPr>
        <w:t>可以</w:t>
      </w:r>
      <w:r>
        <w:rPr>
          <w:rFonts w:hint="eastAsia" w:ascii="Times New Roman" w:hAnsi="Times New Roman" w:cs="Times New Roman" w:eastAsiaTheme="minorEastAsia"/>
          <w:b w:val="0"/>
          <w:bCs/>
          <w:color w:val="auto"/>
          <w:kern w:val="0"/>
          <w:szCs w:val="21"/>
          <w:lang w:val="en-US" w:eastAsia="zh-CN"/>
        </w:rPr>
        <w:t>为“贵州出好茶”提供坚实的数据支撑和科学解释，</w:t>
      </w:r>
      <w:r>
        <w:rPr>
          <w:rFonts w:hint="eastAsia" w:cs="Times New Roman" w:eastAsiaTheme="minorEastAsia"/>
          <w:b w:val="0"/>
          <w:bCs/>
          <w:color w:val="auto"/>
          <w:kern w:val="0"/>
          <w:szCs w:val="21"/>
          <w:lang w:val="en-US" w:eastAsia="zh-CN"/>
        </w:rPr>
        <w:t>是</w:t>
      </w:r>
      <w:r>
        <w:rPr>
          <w:rFonts w:hint="eastAsia" w:ascii="Times New Roman" w:hAnsi="Times New Roman" w:cs="Times New Roman" w:eastAsiaTheme="minorEastAsia"/>
          <w:b w:val="0"/>
          <w:bCs/>
          <w:color w:val="auto"/>
          <w:kern w:val="0"/>
          <w:szCs w:val="21"/>
          <w:lang w:val="en-US" w:eastAsia="zh-CN"/>
        </w:rPr>
        <w:t>产业发展的内在需求。</w:t>
      </w:r>
    </w:p>
    <w:p w14:paraId="67B9B9AE">
      <w:pPr>
        <w:spacing w:line="360" w:lineRule="auto"/>
        <w:ind w:firstLine="422" w:firstLineChars="200"/>
        <w:jc w:val="left"/>
        <w:rPr>
          <w:rFonts w:hint="eastAsia" w:ascii="Times New Roman" w:hAnsi="Times New Roman" w:cs="Times New Roman" w:eastAsiaTheme="minorEastAsia"/>
          <w:b/>
          <w:bCs w:val="0"/>
          <w:color w:val="auto"/>
          <w:kern w:val="0"/>
          <w:szCs w:val="21"/>
          <w:lang w:val="en-US" w:eastAsia="zh-CN"/>
        </w:rPr>
      </w:pPr>
      <w:r>
        <w:rPr>
          <w:rFonts w:hint="eastAsia" w:cs="Times New Roman" w:eastAsiaTheme="minorEastAsia"/>
          <w:b/>
          <w:bCs w:val="0"/>
          <w:color w:val="auto"/>
          <w:kern w:val="0"/>
          <w:szCs w:val="21"/>
          <w:lang w:val="en-US" w:eastAsia="zh-CN"/>
        </w:rPr>
        <w:t>（三）</w:t>
      </w:r>
      <w:r>
        <w:rPr>
          <w:rFonts w:hint="eastAsia" w:ascii="Times New Roman" w:hAnsi="Times New Roman" w:cs="Times New Roman" w:eastAsiaTheme="minorEastAsia"/>
          <w:b/>
          <w:bCs w:val="0"/>
          <w:color w:val="auto"/>
          <w:kern w:val="0"/>
          <w:szCs w:val="21"/>
          <w:lang w:val="en-US" w:eastAsia="zh-CN"/>
        </w:rPr>
        <w:t>品牌化竞争中实现价值突破的迫切要求</w:t>
      </w:r>
    </w:p>
    <w:p w14:paraId="4C7AD791">
      <w:pPr>
        <w:spacing w:line="360" w:lineRule="auto"/>
        <w:ind w:firstLine="420" w:firstLineChars="200"/>
        <w:jc w:val="left"/>
        <w:rPr>
          <w:rFonts w:hint="eastAsia" w:ascii="Times New Roman" w:hAnsi="Times New Roman" w:cs="Times New Roman" w:eastAsiaTheme="minorEastAsia"/>
          <w:b w:val="0"/>
          <w:bCs/>
          <w:color w:val="auto"/>
          <w:kern w:val="0"/>
          <w:szCs w:val="21"/>
          <w:lang w:val="en-US" w:eastAsia="zh-CN"/>
        </w:rPr>
      </w:pPr>
      <w:r>
        <w:rPr>
          <w:rFonts w:hint="eastAsia" w:ascii="Times New Roman" w:hAnsi="Times New Roman" w:cs="Times New Roman" w:eastAsiaTheme="minorEastAsia"/>
          <w:b w:val="0"/>
          <w:bCs/>
          <w:color w:val="auto"/>
          <w:kern w:val="0"/>
          <w:szCs w:val="21"/>
          <w:lang w:val="en-US" w:eastAsia="zh-CN"/>
        </w:rPr>
        <w:t>随着我国茶叶市场竞争进入白热化的品牌竞争阶段，“气象赋能”已成为特色农业品牌提升的新引擎。</w:t>
      </w:r>
      <w:r>
        <w:rPr>
          <w:rFonts w:hint="eastAsia" w:cs="Times New Roman" w:eastAsiaTheme="minorEastAsia"/>
          <w:b w:val="0"/>
          <w:bCs/>
          <w:color w:val="auto"/>
          <w:kern w:val="0"/>
          <w:szCs w:val="21"/>
          <w:lang w:val="en-US" w:eastAsia="zh-CN"/>
        </w:rPr>
        <w:t>从</w:t>
      </w:r>
      <w:r>
        <w:rPr>
          <w:rFonts w:hint="eastAsia" w:ascii="Times New Roman" w:hAnsi="Times New Roman" w:cs="Times New Roman" w:eastAsiaTheme="minorEastAsia"/>
          <w:b w:val="0"/>
          <w:bCs/>
          <w:color w:val="auto"/>
          <w:kern w:val="0"/>
          <w:szCs w:val="21"/>
          <w:lang w:val="en-US" w:eastAsia="zh-CN"/>
        </w:rPr>
        <w:t>消费者</w:t>
      </w:r>
      <w:r>
        <w:rPr>
          <w:rFonts w:hint="eastAsia" w:cs="Times New Roman" w:eastAsiaTheme="minorEastAsia"/>
          <w:b w:val="0"/>
          <w:bCs/>
          <w:color w:val="auto"/>
          <w:kern w:val="0"/>
          <w:szCs w:val="21"/>
          <w:lang w:val="en-US" w:eastAsia="zh-CN"/>
        </w:rPr>
        <w:t>角度来说，消费者愈加</w:t>
      </w:r>
      <w:r>
        <w:rPr>
          <w:rFonts w:hint="eastAsia" w:ascii="Times New Roman" w:hAnsi="Times New Roman" w:cs="Times New Roman" w:eastAsiaTheme="minorEastAsia"/>
          <w:b w:val="0"/>
          <w:bCs/>
          <w:color w:val="auto"/>
          <w:kern w:val="0"/>
          <w:szCs w:val="21"/>
          <w:lang w:val="en-US" w:eastAsia="zh-CN"/>
        </w:rPr>
        <w:t>关注农产品背后的产地故事与生态环境。“贵州绿茶”作为</w:t>
      </w:r>
      <w:r>
        <w:rPr>
          <w:rFonts w:hint="eastAsia" w:cs="Times New Roman" w:eastAsiaTheme="minorEastAsia"/>
          <w:b w:val="0"/>
          <w:bCs/>
          <w:color w:val="auto"/>
          <w:kern w:val="0"/>
          <w:szCs w:val="21"/>
          <w:lang w:val="en-US" w:eastAsia="zh-CN"/>
        </w:rPr>
        <w:t>驰名国内外的</w:t>
      </w:r>
      <w:r>
        <w:rPr>
          <w:rFonts w:hint="eastAsia" w:ascii="Times New Roman" w:hAnsi="Times New Roman" w:cs="Times New Roman" w:eastAsiaTheme="minorEastAsia"/>
          <w:b w:val="0"/>
          <w:bCs/>
          <w:color w:val="auto"/>
          <w:kern w:val="0"/>
          <w:szCs w:val="21"/>
          <w:lang w:val="en-US" w:eastAsia="zh-CN"/>
        </w:rPr>
        <w:t>标志</w:t>
      </w:r>
      <w:r>
        <w:rPr>
          <w:rFonts w:hint="eastAsia" w:cs="Times New Roman" w:eastAsiaTheme="minorEastAsia"/>
          <w:b w:val="0"/>
          <w:bCs/>
          <w:color w:val="auto"/>
          <w:kern w:val="0"/>
          <w:szCs w:val="21"/>
          <w:lang w:val="en-US" w:eastAsia="zh-CN"/>
        </w:rPr>
        <w:t>性特色</w:t>
      </w:r>
      <w:r>
        <w:rPr>
          <w:rFonts w:hint="eastAsia" w:ascii="Times New Roman" w:hAnsi="Times New Roman" w:cs="Times New Roman" w:eastAsiaTheme="minorEastAsia"/>
          <w:b w:val="0"/>
          <w:bCs/>
          <w:color w:val="auto"/>
          <w:kern w:val="0"/>
          <w:szCs w:val="21"/>
          <w:lang w:val="en-US" w:eastAsia="zh-CN"/>
        </w:rPr>
        <w:t>产品</w:t>
      </w:r>
      <w:r>
        <w:rPr>
          <w:rFonts w:hint="eastAsia" w:cs="Times New Roman" w:eastAsiaTheme="minorEastAsia"/>
          <w:b w:val="0"/>
          <w:bCs/>
          <w:color w:val="auto"/>
          <w:kern w:val="0"/>
          <w:szCs w:val="21"/>
          <w:lang w:val="en-US" w:eastAsia="zh-CN"/>
        </w:rPr>
        <w:t>，</w:t>
      </w:r>
      <w:r>
        <w:rPr>
          <w:rFonts w:hint="eastAsia" w:ascii="Times New Roman" w:hAnsi="Times New Roman" w:cs="Times New Roman" w:eastAsiaTheme="minorEastAsia"/>
          <w:b w:val="0"/>
          <w:bCs/>
          <w:color w:val="auto"/>
          <w:kern w:val="0"/>
          <w:szCs w:val="21"/>
          <w:lang w:val="en-US" w:eastAsia="zh-CN"/>
        </w:rPr>
        <w:t>充分挖掘贵州独特的气候优势，将其转化为品牌叙事的核心要素和品质背书的硬核技术，是助力“贵州绿茶”品牌突围、实现价值跃升的迫切需求</w:t>
      </w:r>
      <w:r>
        <w:rPr>
          <w:rFonts w:hint="eastAsia" w:cs="Times New Roman" w:eastAsiaTheme="minorEastAsia"/>
          <w:b w:val="0"/>
          <w:bCs/>
          <w:color w:val="auto"/>
          <w:kern w:val="0"/>
          <w:szCs w:val="21"/>
          <w:lang w:val="en-US" w:eastAsia="zh-CN"/>
        </w:rPr>
        <w:t>，从市场角度而言，</w:t>
      </w:r>
      <w:r>
        <w:rPr>
          <w:rFonts w:hint="eastAsia" w:ascii="Times New Roman" w:hAnsi="Times New Roman" w:cs="Times New Roman" w:eastAsiaTheme="minorEastAsia"/>
          <w:b w:val="0"/>
          <w:bCs/>
          <w:color w:val="auto"/>
          <w:kern w:val="0"/>
          <w:szCs w:val="21"/>
          <w:lang w:val="en-US" w:eastAsia="zh-CN"/>
        </w:rPr>
        <w:t>市场</w:t>
      </w:r>
      <w:r>
        <w:rPr>
          <w:rFonts w:hint="eastAsia" w:cs="Times New Roman" w:eastAsiaTheme="minorEastAsia"/>
          <w:b w:val="0"/>
          <w:bCs/>
          <w:color w:val="auto"/>
          <w:kern w:val="0"/>
          <w:szCs w:val="21"/>
          <w:lang w:val="en-US" w:eastAsia="zh-CN"/>
        </w:rPr>
        <w:t>和企业也需要</w:t>
      </w:r>
      <w:r>
        <w:rPr>
          <w:rFonts w:hint="eastAsia" w:ascii="Times New Roman" w:hAnsi="Times New Roman" w:cs="Times New Roman" w:eastAsiaTheme="minorEastAsia"/>
          <w:b w:val="0"/>
          <w:bCs/>
          <w:color w:val="auto"/>
          <w:kern w:val="0"/>
          <w:szCs w:val="21"/>
          <w:lang w:val="en-US" w:eastAsia="zh-CN"/>
        </w:rPr>
        <w:t>一个权威的评价体系，能够为优质的贵州茶叶颁发一张具有公信力的“气候身份证”，让消费者看得见、听得懂、信得过贵州茶的生态价值。</w:t>
      </w:r>
    </w:p>
    <w:p w14:paraId="13505FF4">
      <w:pPr>
        <w:spacing w:line="360" w:lineRule="auto"/>
        <w:ind w:firstLine="422" w:firstLineChars="200"/>
        <w:jc w:val="left"/>
        <w:rPr>
          <w:rFonts w:hint="eastAsia" w:ascii="Times New Roman" w:hAnsi="Times New Roman" w:cs="Times New Roman" w:eastAsiaTheme="minorEastAsia"/>
          <w:b/>
          <w:bCs w:val="0"/>
          <w:color w:val="auto"/>
          <w:kern w:val="0"/>
          <w:szCs w:val="21"/>
          <w:lang w:val="en-US" w:eastAsia="zh-CN"/>
        </w:rPr>
      </w:pPr>
      <w:r>
        <w:rPr>
          <w:rFonts w:hint="eastAsia" w:cs="Times New Roman" w:eastAsiaTheme="minorEastAsia"/>
          <w:b/>
          <w:bCs w:val="0"/>
          <w:color w:val="auto"/>
          <w:kern w:val="0"/>
          <w:szCs w:val="21"/>
          <w:lang w:val="en-US" w:eastAsia="zh-CN"/>
        </w:rPr>
        <w:t>（四）</w:t>
      </w:r>
      <w:r>
        <w:rPr>
          <w:rFonts w:hint="eastAsia" w:ascii="Times New Roman" w:hAnsi="Times New Roman" w:cs="Times New Roman" w:eastAsiaTheme="minorEastAsia"/>
          <w:b/>
          <w:bCs w:val="0"/>
          <w:color w:val="auto"/>
          <w:kern w:val="0"/>
          <w:szCs w:val="21"/>
          <w:lang w:val="en-US" w:eastAsia="zh-CN"/>
        </w:rPr>
        <w:t>规范与引领行业健康发展的现实瓶颈</w:t>
      </w:r>
    </w:p>
    <w:p w14:paraId="145383FE">
      <w:pPr>
        <w:spacing w:line="360" w:lineRule="auto"/>
        <w:ind w:firstLine="420" w:firstLineChars="200"/>
        <w:jc w:val="left"/>
        <w:rPr>
          <w:rFonts w:hint="eastAsia" w:ascii="Times New Roman" w:hAnsi="Times New Roman" w:cs="Times New Roman" w:eastAsiaTheme="minorEastAsia"/>
          <w:b w:val="0"/>
          <w:bCs/>
          <w:color w:val="auto"/>
          <w:kern w:val="0"/>
          <w:szCs w:val="21"/>
          <w:lang w:val="en-US" w:eastAsia="zh-CN"/>
        </w:rPr>
      </w:pPr>
      <w:r>
        <w:rPr>
          <w:rFonts w:hint="eastAsia" w:ascii="Times New Roman" w:hAnsi="Times New Roman" w:eastAsia="宋体" w:cs="Times New Roman"/>
          <w:color w:val="auto"/>
          <w:szCs w:val="21"/>
          <w:lang w:val="en-US" w:eastAsia="zh-CN"/>
        </w:rPr>
        <w:t>目前，</w:t>
      </w:r>
      <w:r>
        <w:rPr>
          <w:rFonts w:hint="eastAsia" w:ascii="Times New Roman" w:hAnsi="Times New Roman" w:cs="Times New Roman"/>
          <w:color w:val="auto"/>
          <w:szCs w:val="21"/>
          <w:lang w:val="en-US" w:eastAsia="zh-CN"/>
        </w:rPr>
        <w:t>中国气象局在2017年、2019年和2024年分别颁布实施了</w:t>
      </w:r>
      <w:r>
        <w:rPr>
          <w:rFonts w:hint="eastAsia" w:ascii="Times New Roman" w:hAnsi="Times New Roman" w:eastAsia="宋体" w:cs="Times New Roman"/>
          <w:color w:val="auto"/>
          <w:szCs w:val="21"/>
          <w:lang w:val="en-US" w:eastAsia="zh-CN"/>
        </w:rPr>
        <w:t>《茶叶气候品质评价》（QX/T/411-2017）、《农产品气候品质评价技术规范》（QX/T/486-2019）</w:t>
      </w:r>
      <w:r>
        <w:rPr>
          <w:rFonts w:hint="eastAsia" w:ascii="Times New Roman" w:hAnsi="Times New Roman" w:cs="Times New Roman"/>
          <w:color w:val="auto"/>
          <w:szCs w:val="21"/>
          <w:lang w:val="en-US" w:eastAsia="zh-CN"/>
        </w:rPr>
        <w:t>和</w:t>
      </w:r>
      <w:r>
        <w:rPr>
          <w:rFonts w:hint="eastAsia" w:ascii="Times New Roman" w:hAnsi="Times New Roman" w:eastAsia="宋体" w:cs="Times New Roman"/>
          <w:color w:val="auto"/>
          <w:szCs w:val="21"/>
          <w:lang w:val="en-US" w:eastAsia="zh-CN"/>
        </w:rPr>
        <w:t>《气候特色农产品评价方法》（QX/T/719-2024）</w:t>
      </w:r>
      <w:r>
        <w:rPr>
          <w:rFonts w:hint="eastAsia" w:ascii="Times New Roman" w:hAnsi="Times New Roman" w:cs="Times New Roman"/>
          <w:color w:val="auto"/>
          <w:szCs w:val="21"/>
          <w:lang w:val="en-US" w:eastAsia="zh-CN"/>
        </w:rPr>
        <w:t>等行业标准，为各省份开展茶叶气候品质评价工作提供一定的指导。</w:t>
      </w:r>
      <w:r>
        <w:rPr>
          <w:rFonts w:hint="eastAsia" w:ascii="Times New Roman" w:hAnsi="Times New Roman" w:cs="Times New Roman" w:eastAsiaTheme="minorEastAsia"/>
          <w:b w:val="0"/>
          <w:bCs/>
          <w:color w:val="auto"/>
          <w:kern w:val="0"/>
          <w:szCs w:val="21"/>
          <w:lang w:val="en-US" w:eastAsia="zh-CN"/>
        </w:rPr>
        <w:t>但</w:t>
      </w:r>
      <w:r>
        <w:rPr>
          <w:rFonts w:hint="eastAsia" w:cs="Times New Roman" w:eastAsiaTheme="minorEastAsia"/>
          <w:b w:val="0"/>
          <w:bCs/>
          <w:color w:val="auto"/>
          <w:kern w:val="0"/>
          <w:szCs w:val="21"/>
          <w:lang w:val="en-US" w:eastAsia="zh-CN"/>
        </w:rPr>
        <w:t>基于贵州独特的气候而言，</w:t>
      </w:r>
      <w:r>
        <w:rPr>
          <w:rFonts w:hint="eastAsia" w:ascii="Times New Roman" w:hAnsi="Times New Roman" w:cs="Times New Roman" w:eastAsiaTheme="minorEastAsia"/>
          <w:b w:val="0"/>
          <w:bCs/>
          <w:color w:val="auto"/>
          <w:kern w:val="0"/>
          <w:szCs w:val="21"/>
          <w:lang w:val="en-US" w:eastAsia="zh-CN"/>
        </w:rPr>
        <w:t>适用于本地特色、且得到广泛认可的评价指标、技术方法和等级体系均未建立，贵州省在茶产业气候品质评价领域的技术标准与规范尚属空白。这种标准的缺失导致了诸多问题：气象部门的海量数据无法有效转化为产业语言；各地、各企业的自我宣传口径不一，难以形成合力；市场监督与品质认证缺乏统一依据。这一技术空白，严重制约了气象科技与茶产业的深度融合，成为阻碍贵州茶产业标准化、品牌化、高端化发展的一个关键技术瓶颈。</w:t>
      </w:r>
    </w:p>
    <w:p w14:paraId="7B88722A">
      <w:pPr>
        <w:spacing w:line="360" w:lineRule="auto"/>
        <w:ind w:firstLine="422" w:firstLineChars="200"/>
        <w:jc w:val="left"/>
        <w:rPr>
          <w:rFonts w:hint="eastAsia" w:ascii="Times New Roman" w:hAnsi="Times New Roman" w:cs="Times New Roman" w:eastAsiaTheme="minorEastAsia"/>
          <w:b/>
          <w:color w:val="000000"/>
          <w:kern w:val="0"/>
          <w:szCs w:val="21"/>
        </w:rPr>
      </w:pPr>
      <w:r>
        <w:rPr>
          <w:rFonts w:hint="eastAsia" w:cs="Times New Roman" w:eastAsiaTheme="minorEastAsia"/>
          <w:b/>
          <w:color w:val="000000"/>
          <w:kern w:val="0"/>
          <w:szCs w:val="21"/>
          <w:lang w:val="en-US" w:eastAsia="zh-CN"/>
        </w:rPr>
        <w:t>二、</w:t>
      </w:r>
      <w:r>
        <w:rPr>
          <w:rFonts w:hint="eastAsia" w:ascii="Times New Roman" w:hAnsi="Times New Roman" w:cs="Times New Roman" w:eastAsiaTheme="minorEastAsia"/>
          <w:b/>
          <w:color w:val="000000"/>
          <w:kern w:val="0"/>
          <w:szCs w:val="21"/>
        </w:rPr>
        <w:t>工作简况</w:t>
      </w:r>
    </w:p>
    <w:p w14:paraId="0F5A07C9">
      <w:pPr>
        <w:spacing w:line="360" w:lineRule="auto"/>
        <w:ind w:firstLine="211" w:firstLineChars="100"/>
        <w:jc w:val="left"/>
        <w:rPr>
          <w:rFonts w:hint="eastAsia" w:ascii="Times New Roman" w:hAnsi="Times New Roman" w:cs="Times New Roman" w:eastAsiaTheme="minorEastAsia"/>
          <w:b/>
          <w:color w:val="000000"/>
          <w:kern w:val="0"/>
          <w:szCs w:val="21"/>
          <w:lang w:val="en-US" w:eastAsia="zh-CN"/>
        </w:rPr>
      </w:pPr>
      <w:r>
        <w:rPr>
          <w:rFonts w:hint="eastAsia" w:ascii="Times New Roman" w:hAnsi="Times New Roman" w:cs="Times New Roman" w:eastAsiaTheme="minorEastAsia"/>
          <w:b/>
          <w:color w:val="000000"/>
          <w:kern w:val="0"/>
          <w:szCs w:val="21"/>
          <w:lang w:val="en-US" w:eastAsia="zh-CN"/>
        </w:rPr>
        <w:t xml:space="preserve"> （一）任务来源</w:t>
      </w:r>
    </w:p>
    <w:p w14:paraId="00309F94">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bookmarkStart w:id="0" w:name="OLE_LINK9"/>
      <w:bookmarkStart w:id="1" w:name="OLE_LINK10"/>
      <w:r>
        <w:rPr>
          <w:rFonts w:hint="eastAsia" w:cs="Times New Roman"/>
          <w:szCs w:val="21"/>
          <w:lang w:val="en-US" w:eastAsia="zh-CN"/>
        </w:rPr>
        <w:t>根据</w:t>
      </w:r>
      <w:r>
        <w:rPr>
          <w:rFonts w:hint="eastAsia" w:ascii="Times New Roman" w:hAnsi="Times New Roman" w:eastAsia="宋体" w:cs="Times New Roman"/>
          <w:szCs w:val="21"/>
          <w:lang w:val="en-US" w:eastAsia="zh-CN"/>
        </w:rPr>
        <w:t>《贵州省气象学会团体标准管理办法》（试行）</w:t>
      </w:r>
      <w:r>
        <w:rPr>
          <w:rFonts w:hint="eastAsia" w:cs="Times New Roman"/>
          <w:szCs w:val="21"/>
          <w:lang w:val="en-US" w:eastAsia="zh-CN"/>
        </w:rPr>
        <w:t>要求，结合</w:t>
      </w:r>
      <w:r>
        <w:rPr>
          <w:rFonts w:hint="eastAsia" w:ascii="Times New Roman" w:hAnsi="Times New Roman" w:eastAsia="宋体" w:cs="Times New Roman"/>
          <w:szCs w:val="21"/>
          <w:lang w:val="en-US" w:eastAsia="zh-CN"/>
        </w:rPr>
        <w:t>相关农业产业协会</w:t>
      </w:r>
      <w:r>
        <w:rPr>
          <w:rFonts w:hint="eastAsia" w:cs="Times New Roman"/>
          <w:szCs w:val="21"/>
          <w:lang w:val="en-US" w:eastAsia="zh-CN"/>
        </w:rPr>
        <w:t>、</w:t>
      </w:r>
      <w:r>
        <w:rPr>
          <w:rFonts w:hint="eastAsia" w:ascii="Times New Roman" w:hAnsi="Times New Roman" w:eastAsia="宋体" w:cs="Times New Roman"/>
          <w:szCs w:val="21"/>
          <w:lang w:val="en-US" w:eastAsia="zh-CN"/>
        </w:rPr>
        <w:t>企业需求</w:t>
      </w:r>
      <w:bookmarkEnd w:id="0"/>
      <w:r>
        <w:rPr>
          <w:rFonts w:hint="eastAsia" w:cs="Times New Roman"/>
          <w:szCs w:val="21"/>
          <w:lang w:val="en-US" w:eastAsia="zh-CN"/>
        </w:rPr>
        <w:t>和中心业务工作需要</w:t>
      </w:r>
      <w:bookmarkEnd w:id="1"/>
      <w:r>
        <w:rPr>
          <w:rFonts w:hint="eastAsia" w:ascii="Times New Roman" w:hAnsi="Times New Roman" w:eastAsia="宋体" w:cs="Times New Roman"/>
          <w:szCs w:val="21"/>
          <w:lang w:val="en-US" w:eastAsia="zh-CN"/>
        </w:rPr>
        <w:t>，制定《贵州茶叶产地气候评价技术规范》草案，由贵州省</w:t>
      </w:r>
      <w:r>
        <w:rPr>
          <w:rFonts w:hint="eastAsia" w:cs="Times New Roman"/>
          <w:szCs w:val="21"/>
          <w:lang w:val="en-US" w:eastAsia="zh-CN"/>
        </w:rPr>
        <w:t>生态与农业气象中心、</w:t>
      </w:r>
      <w:r>
        <w:rPr>
          <w:rFonts w:hint="eastAsia"/>
          <w:lang w:val="en-US" w:eastAsia="zh-CN"/>
        </w:rPr>
        <w:t>贵州省绿茶品牌发展促进会</w:t>
      </w:r>
      <w:r>
        <w:rPr>
          <w:rFonts w:hint="eastAsia" w:ascii="Times New Roman" w:hAnsi="Times New Roman" w:eastAsia="宋体" w:cs="Times New Roman"/>
          <w:szCs w:val="21"/>
          <w:lang w:val="en-US" w:eastAsia="zh-CN"/>
        </w:rPr>
        <w:t>提出，由贵州省</w:t>
      </w:r>
      <w:r>
        <w:rPr>
          <w:rFonts w:hint="eastAsia" w:cs="Times New Roman"/>
          <w:szCs w:val="21"/>
          <w:lang w:val="en-US" w:eastAsia="zh-CN"/>
        </w:rPr>
        <w:t>生态与农业气象中心、</w:t>
      </w:r>
      <w:r>
        <w:rPr>
          <w:rFonts w:hint="eastAsia"/>
          <w:lang w:val="en-US" w:eastAsia="zh-CN"/>
        </w:rPr>
        <w:t>贵州省绿茶品牌发展促进会</w:t>
      </w:r>
      <w:r>
        <w:rPr>
          <w:rFonts w:hint="eastAsia" w:ascii="Times New Roman" w:hAnsi="Times New Roman" w:eastAsia="宋体" w:cs="Times New Roman"/>
          <w:szCs w:val="21"/>
          <w:lang w:val="en-US" w:eastAsia="zh-CN"/>
        </w:rPr>
        <w:t>起草完成</w:t>
      </w:r>
      <w:r>
        <w:rPr>
          <w:rFonts w:hint="eastAsia" w:cs="Times New Roman"/>
          <w:szCs w:val="21"/>
          <w:lang w:val="en-US" w:eastAsia="zh-CN"/>
        </w:rPr>
        <w:t>，由贵州省气象学会归口</w:t>
      </w:r>
      <w:r>
        <w:rPr>
          <w:rFonts w:hint="eastAsia" w:ascii="Times New Roman" w:hAnsi="Times New Roman" w:eastAsia="宋体" w:cs="Times New Roman"/>
          <w:szCs w:val="21"/>
          <w:lang w:val="en-US" w:eastAsia="zh-CN"/>
        </w:rPr>
        <w:t>。</w:t>
      </w:r>
    </w:p>
    <w:p w14:paraId="2B3C0CAC">
      <w:pPr>
        <w:spacing w:line="360" w:lineRule="auto"/>
        <w:ind w:firstLine="422" w:firstLineChars="200"/>
        <w:jc w:val="left"/>
        <w:rPr>
          <w:rFonts w:hint="eastAsia" w:ascii="Times New Roman" w:hAnsi="Times New Roman" w:cs="Times New Roman" w:eastAsiaTheme="minorEastAsia"/>
          <w:b/>
          <w:color w:val="000000"/>
          <w:kern w:val="0"/>
          <w:szCs w:val="21"/>
          <w:lang w:val="en-US" w:eastAsia="zh-CN"/>
        </w:rPr>
      </w:pPr>
      <w:r>
        <w:rPr>
          <w:rFonts w:hint="eastAsia" w:ascii="Times New Roman" w:hAnsi="Times New Roman" w:cs="Times New Roman" w:eastAsiaTheme="minorEastAsia"/>
          <w:b/>
          <w:color w:val="000000"/>
          <w:kern w:val="0"/>
          <w:szCs w:val="21"/>
          <w:lang w:val="en-US" w:eastAsia="zh-CN"/>
        </w:rPr>
        <w:t>（二）协作单位</w:t>
      </w:r>
    </w:p>
    <w:p w14:paraId="67787A05">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贵州省山地气象科</w:t>
      </w:r>
      <w:r>
        <w:rPr>
          <w:rFonts w:hint="eastAsia" w:cs="Times New Roman"/>
          <w:szCs w:val="21"/>
          <w:lang w:val="en-US" w:eastAsia="zh-CN"/>
        </w:rPr>
        <w:t>学</w:t>
      </w:r>
      <w:r>
        <w:rPr>
          <w:rFonts w:hint="eastAsia" w:ascii="Times New Roman" w:hAnsi="Times New Roman" w:eastAsia="宋体" w:cs="Times New Roman"/>
          <w:szCs w:val="21"/>
          <w:lang w:val="en-US" w:eastAsia="zh-CN"/>
        </w:rPr>
        <w:t>研</w:t>
      </w:r>
      <w:r>
        <w:rPr>
          <w:rFonts w:hint="eastAsia" w:cs="Times New Roman"/>
          <w:szCs w:val="21"/>
          <w:lang w:val="en-US" w:eastAsia="zh-CN"/>
        </w:rPr>
        <w:t>究</w:t>
      </w:r>
      <w:r>
        <w:rPr>
          <w:rFonts w:hint="eastAsia" w:ascii="Times New Roman" w:hAnsi="Times New Roman" w:eastAsia="宋体" w:cs="Times New Roman"/>
          <w:szCs w:val="21"/>
          <w:lang w:val="en-US" w:eastAsia="zh-CN"/>
        </w:rPr>
        <w:t>所。</w:t>
      </w:r>
    </w:p>
    <w:p w14:paraId="4A0A0AD4">
      <w:pPr>
        <w:spacing w:line="360" w:lineRule="auto"/>
        <w:ind w:firstLine="422" w:firstLineChars="200"/>
        <w:jc w:val="left"/>
        <w:rPr>
          <w:rFonts w:hint="default" w:ascii="Times New Roman" w:hAnsi="Times New Roman" w:cs="Times New Roman" w:eastAsiaTheme="minorEastAsia"/>
          <w:b/>
          <w:color w:val="000000"/>
          <w:kern w:val="0"/>
          <w:szCs w:val="21"/>
          <w:lang w:val="en-US" w:eastAsia="zh-CN"/>
        </w:rPr>
      </w:pPr>
      <w:r>
        <w:rPr>
          <w:rFonts w:hint="eastAsia" w:ascii="Times New Roman" w:hAnsi="Times New Roman" w:cs="Times New Roman" w:eastAsiaTheme="minorEastAsia"/>
          <w:b/>
          <w:color w:val="000000"/>
          <w:kern w:val="0"/>
          <w:szCs w:val="21"/>
          <w:lang w:val="en-US" w:eastAsia="zh-CN"/>
        </w:rPr>
        <w:t>（三）主要工作过程</w:t>
      </w:r>
    </w:p>
    <w:p w14:paraId="4EA22C40">
      <w:pPr>
        <w:autoSpaceDE w:val="0"/>
        <w:autoSpaceDN w:val="0"/>
        <w:adjustRightInd w:val="0"/>
        <w:spacing w:line="360" w:lineRule="auto"/>
        <w:ind w:firstLine="422" w:firstLineChars="200"/>
        <w:jc w:val="left"/>
        <w:rPr>
          <w:rFonts w:hint="default" w:ascii="Times New Roman" w:hAnsi="Times New Roman" w:eastAsia="宋体" w:cs="Times New Roman"/>
          <w:color w:val="0000FF"/>
          <w:szCs w:val="21"/>
          <w:lang w:val="en-US" w:eastAsia="zh-CN"/>
        </w:rPr>
      </w:pPr>
      <w:r>
        <w:rPr>
          <w:rFonts w:hint="eastAsia" w:ascii="Times New Roman" w:hAnsi="Times New Roman" w:eastAsia="宋体" w:cs="Times New Roman"/>
          <w:b/>
          <w:bCs/>
          <w:szCs w:val="21"/>
          <w:lang w:val="en-US" w:eastAsia="zh-CN"/>
        </w:rPr>
        <w:t>2024年10月-12月：</w:t>
      </w:r>
      <w:r>
        <w:rPr>
          <w:rFonts w:hint="eastAsia" w:ascii="Times New Roman" w:hAnsi="Times New Roman" w:eastAsia="宋体" w:cs="Times New Roman"/>
          <w:szCs w:val="21"/>
          <w:lang w:val="en-US" w:eastAsia="zh-CN"/>
        </w:rPr>
        <w:t>编写小组确定农产品气候品质评价编制技术方案；并</w:t>
      </w:r>
      <w:r>
        <w:rPr>
          <w:rFonts w:hint="eastAsia" w:cs="Times New Roman"/>
          <w:szCs w:val="21"/>
          <w:lang w:val="en-US" w:eastAsia="zh-CN"/>
        </w:rPr>
        <w:t>开展都匀毛尖、湄潭茶叶、梵净抹茶和七星关太古茶4个国家级茶叶气候品质评价工作</w:t>
      </w:r>
      <w:r>
        <w:rPr>
          <w:rFonts w:hint="eastAsia" w:ascii="Times New Roman" w:hAnsi="Times New Roman" w:eastAsia="宋体" w:cs="Times New Roman"/>
          <w:color w:val="0000FF"/>
          <w:szCs w:val="21"/>
          <w:lang w:val="en-US" w:eastAsia="zh-CN"/>
        </w:rPr>
        <w:t>。</w:t>
      </w:r>
    </w:p>
    <w:p w14:paraId="76F8D030">
      <w:pPr>
        <w:autoSpaceDE w:val="0"/>
        <w:autoSpaceDN w:val="0"/>
        <w:adjustRightInd w:val="0"/>
        <w:spacing w:line="360" w:lineRule="auto"/>
        <w:ind w:firstLine="422"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b/>
          <w:bCs/>
          <w:szCs w:val="21"/>
          <w:lang w:val="en-US" w:eastAsia="zh-CN"/>
        </w:rPr>
        <w:t>2024年12月-2025年4月：</w:t>
      </w:r>
      <w:r>
        <w:rPr>
          <w:rFonts w:hint="eastAsia" w:ascii="Times New Roman" w:hAnsi="Times New Roman" w:eastAsia="宋体" w:cs="Times New Roman"/>
          <w:szCs w:val="21"/>
          <w:lang w:val="en-US" w:eastAsia="zh-CN"/>
        </w:rPr>
        <w:t>多次与贵州省品牌建设促进会进行对接，就如何深入挖掘贵州气候优势和特色优质产品品质特色进行研讨</w:t>
      </w:r>
      <w:r>
        <w:rPr>
          <w:rFonts w:hint="eastAsia" w:cs="Times New Roman"/>
          <w:szCs w:val="21"/>
          <w:lang w:val="en-US" w:eastAsia="zh-CN"/>
        </w:rPr>
        <w:t>。</w:t>
      </w:r>
    </w:p>
    <w:p w14:paraId="6860520F">
      <w:pPr>
        <w:autoSpaceDE w:val="0"/>
        <w:autoSpaceDN w:val="0"/>
        <w:adjustRightInd w:val="0"/>
        <w:spacing w:line="360" w:lineRule="auto"/>
        <w:ind w:firstLine="422" w:firstLineChars="200"/>
        <w:jc w:val="left"/>
        <w:rPr>
          <w:rFonts w:hint="default" w:cs="Times New Roman"/>
          <w:szCs w:val="21"/>
          <w:lang w:val="en-US" w:eastAsia="zh-CN"/>
        </w:rPr>
      </w:pPr>
      <w:r>
        <w:rPr>
          <w:rFonts w:hint="eastAsia" w:ascii="Times New Roman" w:hAnsi="Times New Roman" w:eastAsia="宋体" w:cs="Times New Roman"/>
          <w:b/>
          <w:bCs/>
          <w:szCs w:val="21"/>
          <w:lang w:val="en-US" w:eastAsia="zh-CN"/>
        </w:rPr>
        <w:t>2025年3月-4月：</w:t>
      </w:r>
      <w:r>
        <w:rPr>
          <w:rFonts w:hint="eastAsia" w:cs="Times New Roman"/>
          <w:szCs w:val="21"/>
          <w:lang w:val="en-US" w:eastAsia="zh-CN"/>
        </w:rPr>
        <w:t>开展春茶采摘天气预报等气象服务，并首次开展茶叶收获上市前的气候品质预测工作，相关报告在贵州绿茶上市前在“贵州茶香”公众号发布，探索深入挖掘贵州特色农产品品质优势，助推实现增值畅销。</w:t>
      </w:r>
    </w:p>
    <w:p w14:paraId="4171FD44">
      <w:pPr>
        <w:autoSpaceDE w:val="0"/>
        <w:autoSpaceDN w:val="0"/>
        <w:adjustRightInd w:val="0"/>
        <w:spacing w:line="360" w:lineRule="auto"/>
        <w:ind w:firstLine="422" w:firstLineChars="200"/>
        <w:jc w:val="left"/>
        <w:rPr>
          <w:rFonts w:hint="default" w:ascii="Times New Roman" w:hAnsi="Times New Roman" w:eastAsia="宋体" w:cs="Times New Roman"/>
          <w:szCs w:val="21"/>
          <w:lang w:val="en-US" w:eastAsia="zh-CN"/>
        </w:rPr>
      </w:pPr>
      <w:r>
        <w:rPr>
          <w:rFonts w:hint="eastAsia" w:cs="Times New Roman"/>
          <w:b/>
          <w:bCs/>
          <w:szCs w:val="21"/>
          <w:lang w:val="en-US" w:eastAsia="zh-CN"/>
        </w:rPr>
        <w:t>2025年5月至8月：</w:t>
      </w:r>
      <w:r>
        <w:rPr>
          <w:rFonts w:hint="eastAsia" w:cs="Times New Roman"/>
          <w:szCs w:val="21"/>
          <w:lang w:val="en-US" w:eastAsia="zh-CN"/>
        </w:rPr>
        <w:t>与贵州省绿茶品牌发展促进会、</w:t>
      </w:r>
      <w:r>
        <w:rPr>
          <w:rFonts w:hint="eastAsia" w:ascii="Times New Roman" w:hAnsi="Times New Roman" w:eastAsia="宋体" w:cs="Times New Roman"/>
          <w:szCs w:val="21"/>
          <w:lang w:val="en-US" w:eastAsia="zh-CN"/>
        </w:rPr>
        <w:t>多家</w:t>
      </w:r>
      <w:r>
        <w:rPr>
          <w:rFonts w:hint="eastAsia" w:cs="Times New Roman"/>
          <w:szCs w:val="21"/>
          <w:lang w:val="en-US" w:eastAsia="zh-CN"/>
        </w:rPr>
        <w:t>茶叶</w:t>
      </w:r>
      <w:r>
        <w:rPr>
          <w:rFonts w:hint="eastAsia" w:ascii="Times New Roman" w:hAnsi="Times New Roman" w:eastAsia="宋体" w:cs="Times New Roman"/>
          <w:szCs w:val="21"/>
          <w:lang w:val="en-US" w:eastAsia="zh-CN"/>
        </w:rPr>
        <w:t>企业</w:t>
      </w:r>
      <w:r>
        <w:rPr>
          <w:rFonts w:hint="eastAsia" w:cs="Times New Roman"/>
          <w:szCs w:val="21"/>
          <w:lang w:val="en-US" w:eastAsia="zh-CN"/>
        </w:rPr>
        <w:t>进行座谈交流，并赴都匀螺蛳壳茶</w:t>
      </w:r>
      <w:r>
        <w:rPr>
          <w:rFonts w:hint="eastAsia" w:cs="Times New Roman"/>
          <w:szCs w:val="21"/>
          <w:highlight w:val="none"/>
          <w:lang w:val="en-US" w:eastAsia="zh-CN"/>
        </w:rPr>
        <w:t>园、六盘水等茶企</w:t>
      </w:r>
      <w:r>
        <w:rPr>
          <w:rFonts w:hint="eastAsia" w:ascii="Times New Roman" w:hAnsi="Times New Roman" w:eastAsia="宋体" w:cs="Times New Roman"/>
          <w:szCs w:val="21"/>
          <w:highlight w:val="none"/>
          <w:lang w:val="en-US" w:eastAsia="zh-CN"/>
        </w:rPr>
        <w:t>开展调研，了解气候品质评价工作对</w:t>
      </w:r>
      <w:r>
        <w:rPr>
          <w:rFonts w:hint="eastAsia" w:cs="Times New Roman"/>
          <w:szCs w:val="21"/>
          <w:highlight w:val="none"/>
          <w:lang w:val="en-US" w:eastAsia="zh-CN"/>
        </w:rPr>
        <w:t>茶叶</w:t>
      </w:r>
      <w:r>
        <w:rPr>
          <w:rFonts w:hint="eastAsia" w:ascii="Times New Roman" w:hAnsi="Times New Roman" w:eastAsia="宋体" w:cs="Times New Roman"/>
          <w:szCs w:val="21"/>
          <w:highlight w:val="none"/>
          <w:lang w:val="en-US" w:eastAsia="zh-CN"/>
        </w:rPr>
        <w:t>品牌增值的作用，明确</w:t>
      </w:r>
      <w:r>
        <w:rPr>
          <w:rFonts w:hint="eastAsia" w:cs="Times New Roman"/>
          <w:szCs w:val="21"/>
          <w:highlight w:val="none"/>
          <w:lang w:val="en-US" w:eastAsia="zh-CN"/>
        </w:rPr>
        <w:t>茶产地</w:t>
      </w:r>
      <w:r>
        <w:rPr>
          <w:rFonts w:hint="eastAsia" w:ascii="Times New Roman" w:hAnsi="Times New Roman" w:eastAsia="宋体" w:cs="Times New Roman"/>
          <w:szCs w:val="21"/>
          <w:highlight w:val="none"/>
          <w:lang w:val="en-US" w:eastAsia="zh-CN"/>
        </w:rPr>
        <w:t>气候评价的侧重方向。</w:t>
      </w:r>
    </w:p>
    <w:p w14:paraId="2E68A979">
      <w:pPr>
        <w:autoSpaceDE w:val="0"/>
        <w:autoSpaceDN w:val="0"/>
        <w:adjustRightInd w:val="0"/>
        <w:spacing w:line="360" w:lineRule="auto"/>
        <w:ind w:firstLine="422" w:firstLineChars="200"/>
        <w:jc w:val="left"/>
        <w:rPr>
          <w:rFonts w:hint="eastAsia" w:ascii="Times New Roman" w:hAnsi="Times New Roman" w:eastAsia="宋体" w:cs="Times New Roman"/>
          <w:szCs w:val="21"/>
          <w:lang w:val="en-US" w:eastAsia="zh-CN"/>
        </w:rPr>
      </w:pPr>
      <w:r>
        <w:rPr>
          <w:rFonts w:hint="eastAsia" w:cs="Times New Roman"/>
          <w:b/>
          <w:bCs/>
          <w:szCs w:val="21"/>
          <w:lang w:val="en-US" w:eastAsia="zh-CN"/>
        </w:rPr>
        <w:t>2025年9月-10月：</w:t>
      </w:r>
      <w:r>
        <w:rPr>
          <w:rFonts w:hint="eastAsia" w:ascii="Times New Roman" w:hAnsi="Times New Roman" w:eastAsia="宋体" w:cs="Times New Roman"/>
          <w:szCs w:val="21"/>
          <w:lang w:val="en-US" w:eastAsia="zh-CN"/>
        </w:rPr>
        <w:t>根据需求完成了《贵州茶叶产地气候评价技术规范》（草案）编制计划及编制大纲</w:t>
      </w:r>
      <w:r>
        <w:rPr>
          <w:rFonts w:hint="eastAsia" w:cs="Times New Roman"/>
          <w:szCs w:val="21"/>
          <w:lang w:val="en-US" w:eastAsia="zh-CN"/>
        </w:rPr>
        <w:t>，</w:t>
      </w:r>
      <w:r>
        <w:rPr>
          <w:rFonts w:hint="eastAsia" w:ascii="Times New Roman" w:hAnsi="Times New Roman" w:eastAsia="宋体" w:cs="Times New Roman"/>
          <w:szCs w:val="21"/>
          <w:lang w:val="en-US" w:eastAsia="zh-CN"/>
        </w:rPr>
        <w:t>完成</w:t>
      </w:r>
      <w:r>
        <w:rPr>
          <w:rFonts w:hint="eastAsia" w:cs="Times New Roman"/>
          <w:szCs w:val="21"/>
          <w:lang w:val="en-US" w:eastAsia="zh-CN"/>
        </w:rPr>
        <w:t>“规范”</w:t>
      </w:r>
      <w:r>
        <w:rPr>
          <w:rFonts w:hint="eastAsia" w:ascii="Times New Roman" w:hAnsi="Times New Roman" w:eastAsia="宋体" w:cs="Times New Roman"/>
          <w:szCs w:val="21"/>
          <w:lang w:val="en-US" w:eastAsia="zh-CN"/>
        </w:rPr>
        <w:t>修订初稿，并多次修改。</w:t>
      </w:r>
    </w:p>
    <w:p w14:paraId="08DA5C19">
      <w:pPr>
        <w:autoSpaceDE w:val="0"/>
        <w:autoSpaceDN w:val="0"/>
        <w:adjustRightInd w:val="0"/>
        <w:spacing w:line="360" w:lineRule="auto"/>
        <w:ind w:firstLine="422" w:firstLineChars="200"/>
        <w:jc w:val="left"/>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
          <w:bCs/>
          <w:szCs w:val="21"/>
          <w:highlight w:val="none"/>
          <w:lang w:val="en-US" w:eastAsia="zh-CN"/>
        </w:rPr>
        <w:t>2025年</w:t>
      </w:r>
      <w:r>
        <w:rPr>
          <w:rFonts w:hint="eastAsia" w:cs="Times New Roman"/>
          <w:b/>
          <w:bCs/>
          <w:szCs w:val="21"/>
          <w:highlight w:val="none"/>
          <w:lang w:val="en-US" w:eastAsia="zh-CN"/>
        </w:rPr>
        <w:t>10</w:t>
      </w:r>
      <w:r>
        <w:rPr>
          <w:rFonts w:hint="eastAsia" w:ascii="Times New Roman" w:hAnsi="Times New Roman" w:eastAsia="宋体" w:cs="Times New Roman"/>
          <w:b/>
          <w:bCs/>
          <w:szCs w:val="21"/>
          <w:highlight w:val="none"/>
          <w:lang w:val="en-US" w:eastAsia="zh-CN"/>
        </w:rPr>
        <w:t>月</w:t>
      </w:r>
      <w:r>
        <w:rPr>
          <w:rFonts w:hint="eastAsia" w:cs="Times New Roman"/>
          <w:b/>
          <w:bCs/>
          <w:szCs w:val="21"/>
          <w:highlight w:val="none"/>
          <w:lang w:val="en-US" w:eastAsia="zh-CN"/>
        </w:rPr>
        <w:t>17</w:t>
      </w:r>
      <w:r>
        <w:rPr>
          <w:rFonts w:hint="eastAsia" w:ascii="Times New Roman" w:hAnsi="Times New Roman" w:eastAsia="宋体" w:cs="Times New Roman"/>
          <w:b/>
          <w:bCs/>
          <w:szCs w:val="21"/>
          <w:highlight w:val="none"/>
          <w:lang w:val="en-US" w:eastAsia="zh-CN"/>
        </w:rPr>
        <w:t>日：</w:t>
      </w:r>
      <w:r>
        <w:rPr>
          <w:rFonts w:hint="eastAsia" w:ascii="Times New Roman" w:hAnsi="Times New Roman" w:eastAsia="宋体" w:cs="Times New Roman"/>
          <w:szCs w:val="21"/>
          <w:highlight w:val="none"/>
          <w:lang w:val="en-US" w:eastAsia="zh-CN"/>
        </w:rPr>
        <w:t>组织专家对标准进行初审</w:t>
      </w:r>
      <w:r>
        <w:rPr>
          <w:rFonts w:hint="eastAsia" w:cs="Times New Roman"/>
          <w:szCs w:val="21"/>
          <w:highlight w:val="none"/>
          <w:lang w:val="en-US" w:eastAsia="zh-CN"/>
        </w:rPr>
        <w:t>，并根据专家意见和建议进行修改</w:t>
      </w:r>
      <w:r>
        <w:rPr>
          <w:rFonts w:hint="eastAsia" w:ascii="Times New Roman" w:hAnsi="Times New Roman" w:eastAsia="宋体" w:cs="Times New Roman"/>
          <w:szCs w:val="21"/>
          <w:highlight w:val="none"/>
          <w:lang w:val="en-US" w:eastAsia="zh-CN"/>
        </w:rPr>
        <w:t>。</w:t>
      </w:r>
    </w:p>
    <w:p w14:paraId="02ACD274">
      <w:pPr>
        <w:spacing w:line="360" w:lineRule="auto"/>
        <w:ind w:firstLine="422" w:firstLineChars="200"/>
        <w:jc w:val="left"/>
        <w:rPr>
          <w:rFonts w:hint="eastAsia" w:ascii="Times New Roman" w:hAnsi="Times New Roman"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（四）</w:t>
      </w:r>
      <w:r>
        <w:rPr>
          <w:rFonts w:hint="eastAsia" w:ascii="Times New Roman" w:hAnsi="Times New Roman" w:cs="Times New Roman" w:eastAsiaTheme="minorEastAsia"/>
          <w:b/>
          <w:color w:val="000000"/>
          <w:kern w:val="0"/>
          <w:szCs w:val="21"/>
          <w:lang w:val="en-US" w:eastAsia="zh-CN"/>
        </w:rPr>
        <w:t>标准主要起草人及其所做的工作</w:t>
      </w:r>
    </w:p>
    <w:tbl>
      <w:tblPr>
        <w:tblStyle w:val="8"/>
        <w:tblW w:w="0" w:type="auto"/>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42"/>
        <w:gridCol w:w="3075"/>
        <w:gridCol w:w="1287"/>
        <w:gridCol w:w="2726"/>
      </w:tblGrid>
      <w:tr w14:paraId="4B86DC20">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PrEx>
        <w:tc>
          <w:tcPr>
            <w:tcW w:w="1242" w:type="dxa"/>
            <w:tcBorders>
              <w:bottom w:val="single" w:color="008000" w:sz="6" w:space="0"/>
            </w:tcBorders>
            <w:shd w:val="clear" w:color="auto" w:fill="auto"/>
          </w:tcPr>
          <w:p w14:paraId="5A6ACC18">
            <w:pPr>
              <w:spacing w:line="276" w:lineRule="auto"/>
              <w:jc w:val="center"/>
              <w:rPr>
                <w:rFonts w:ascii="Times New Roman" w:hAnsi="Times New Roman" w:cs="Times New Roman"/>
                <w:szCs w:val="21"/>
              </w:rPr>
            </w:pPr>
            <w:r>
              <w:rPr>
                <w:rFonts w:ascii="Times New Roman" w:hAnsi="Times New Roman" w:cs="Times New Roman"/>
                <w:szCs w:val="21"/>
              </w:rPr>
              <w:t>姓名</w:t>
            </w:r>
          </w:p>
        </w:tc>
        <w:tc>
          <w:tcPr>
            <w:tcW w:w="3075" w:type="dxa"/>
            <w:tcBorders>
              <w:bottom w:val="single" w:color="008000" w:sz="6" w:space="0"/>
            </w:tcBorders>
            <w:shd w:val="clear" w:color="auto" w:fill="auto"/>
          </w:tcPr>
          <w:p w14:paraId="0022D4A6">
            <w:pPr>
              <w:spacing w:line="276" w:lineRule="auto"/>
              <w:jc w:val="center"/>
              <w:rPr>
                <w:rFonts w:ascii="Times New Roman" w:hAnsi="Times New Roman" w:cs="Times New Roman"/>
                <w:szCs w:val="21"/>
              </w:rPr>
            </w:pPr>
            <w:r>
              <w:rPr>
                <w:rFonts w:ascii="Times New Roman" w:hAnsi="Times New Roman" w:cs="Times New Roman"/>
                <w:szCs w:val="21"/>
              </w:rPr>
              <w:t>工作单位</w:t>
            </w:r>
          </w:p>
        </w:tc>
        <w:tc>
          <w:tcPr>
            <w:tcW w:w="1287" w:type="dxa"/>
            <w:tcBorders>
              <w:bottom w:val="single" w:color="008000" w:sz="6" w:space="0"/>
            </w:tcBorders>
            <w:shd w:val="clear" w:color="auto" w:fill="auto"/>
          </w:tcPr>
          <w:p w14:paraId="25401F29">
            <w:pPr>
              <w:spacing w:line="276" w:lineRule="auto"/>
              <w:jc w:val="center"/>
              <w:rPr>
                <w:rFonts w:ascii="Times New Roman" w:hAnsi="Times New Roman" w:cs="Times New Roman"/>
                <w:szCs w:val="21"/>
              </w:rPr>
            </w:pPr>
            <w:r>
              <w:rPr>
                <w:rFonts w:ascii="Times New Roman" w:hAnsi="Times New Roman" w:cs="Times New Roman"/>
                <w:szCs w:val="21"/>
              </w:rPr>
              <w:t>职称</w:t>
            </w:r>
          </w:p>
        </w:tc>
        <w:tc>
          <w:tcPr>
            <w:tcW w:w="2726" w:type="dxa"/>
            <w:tcBorders>
              <w:bottom w:val="single" w:color="008000" w:sz="6" w:space="0"/>
            </w:tcBorders>
            <w:shd w:val="clear" w:color="auto" w:fill="auto"/>
          </w:tcPr>
          <w:p w14:paraId="445F87D9">
            <w:pPr>
              <w:spacing w:line="276" w:lineRule="auto"/>
              <w:jc w:val="center"/>
              <w:rPr>
                <w:rFonts w:ascii="Times New Roman" w:hAnsi="Times New Roman" w:cs="Times New Roman"/>
                <w:szCs w:val="21"/>
              </w:rPr>
            </w:pPr>
            <w:r>
              <w:rPr>
                <w:rFonts w:ascii="Times New Roman" w:hAnsi="Times New Roman" w:cs="Times New Roman"/>
                <w:szCs w:val="21"/>
              </w:rPr>
              <w:t>所做工作</w:t>
            </w:r>
          </w:p>
        </w:tc>
      </w:tr>
      <w:tr w14:paraId="175B6913">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1242" w:type="dxa"/>
            <w:shd w:val="clear" w:color="auto" w:fill="auto"/>
            <w:vAlign w:val="center"/>
          </w:tcPr>
          <w:p w14:paraId="3ADFCAE8">
            <w:pPr>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rPr>
              <w:t>古书鸿</w:t>
            </w:r>
          </w:p>
        </w:tc>
        <w:tc>
          <w:tcPr>
            <w:tcW w:w="3075" w:type="dxa"/>
            <w:shd w:val="clear" w:color="auto" w:fill="auto"/>
            <w:vAlign w:val="center"/>
          </w:tcPr>
          <w:p w14:paraId="389D5F43">
            <w:pPr>
              <w:spacing w:line="276" w:lineRule="auto"/>
              <w:jc w:val="center"/>
              <w:rPr>
                <w:rFonts w:hint="default" w:ascii="Times New Roman" w:hAnsi="Times New Roman" w:eastAsia="宋体" w:cs="Times New Roman"/>
                <w:szCs w:val="21"/>
                <w:lang w:val="en-US" w:eastAsia="zh-CN"/>
              </w:rPr>
            </w:pPr>
            <w:r>
              <w:rPr>
                <w:rFonts w:hint="eastAsia" w:cs="Times New Roman"/>
                <w:szCs w:val="21"/>
                <w:lang w:val="en-US" w:eastAsia="zh-CN"/>
              </w:rPr>
              <w:t>贵州省生态与农业气象中心</w:t>
            </w:r>
          </w:p>
        </w:tc>
        <w:tc>
          <w:tcPr>
            <w:tcW w:w="1287" w:type="dxa"/>
            <w:shd w:val="clear" w:color="auto" w:fill="auto"/>
            <w:vAlign w:val="center"/>
          </w:tcPr>
          <w:p w14:paraId="60A7C7BD">
            <w:pPr>
              <w:spacing w:line="276" w:lineRule="auto"/>
              <w:jc w:val="center"/>
              <w:rPr>
                <w:rFonts w:hint="eastAsia" w:ascii="Times New Roman" w:hAnsi="Times New Roman" w:eastAsia="宋体" w:cs="Times New Roman"/>
                <w:szCs w:val="21"/>
                <w:lang w:val="en-US" w:eastAsia="zh-CN"/>
              </w:rPr>
            </w:pPr>
            <w:r>
              <w:rPr>
                <w:rFonts w:hint="eastAsia" w:cs="Times New Roman"/>
                <w:szCs w:val="21"/>
                <w:lang w:val="en-US" w:eastAsia="zh-CN"/>
              </w:rPr>
              <w:t>正高</w:t>
            </w:r>
          </w:p>
        </w:tc>
        <w:tc>
          <w:tcPr>
            <w:tcW w:w="2726" w:type="dxa"/>
            <w:shd w:val="clear" w:color="auto" w:fill="auto"/>
            <w:vAlign w:val="center"/>
          </w:tcPr>
          <w:p w14:paraId="2581E3F2">
            <w:pPr>
              <w:spacing w:line="276" w:lineRule="auto"/>
              <w:jc w:val="center"/>
              <w:rPr>
                <w:rFonts w:ascii="Times New Roman" w:hAnsi="Times New Roman" w:cs="Times New Roman"/>
                <w:szCs w:val="21"/>
              </w:rPr>
            </w:pPr>
            <w:r>
              <w:rPr>
                <w:rFonts w:ascii="Times New Roman" w:hAnsi="Times New Roman" w:cs="Times New Roman"/>
                <w:szCs w:val="21"/>
              </w:rPr>
              <w:t>主持、审核修订</w:t>
            </w:r>
            <w:r>
              <w:rPr>
                <w:rFonts w:hint="eastAsia" w:cs="Times New Roman"/>
                <w:szCs w:val="21"/>
                <w:lang w:eastAsia="zh-CN"/>
              </w:rPr>
              <w:t>、</w:t>
            </w:r>
            <w:r>
              <w:rPr>
                <w:rFonts w:ascii="Times New Roman" w:hAnsi="Times New Roman" w:cs="Times New Roman"/>
                <w:szCs w:val="21"/>
              </w:rPr>
              <w:t>模型</w:t>
            </w:r>
            <w:r>
              <w:rPr>
                <w:rFonts w:hint="eastAsia" w:ascii="Times New Roman" w:hAnsi="Times New Roman" w:cs="Times New Roman"/>
                <w:szCs w:val="21"/>
                <w:lang w:val="en-US" w:eastAsia="zh-CN"/>
              </w:rPr>
              <w:t>构建</w:t>
            </w:r>
          </w:p>
        </w:tc>
      </w:tr>
      <w:tr w14:paraId="3E5A67C4">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1242" w:type="dxa"/>
            <w:shd w:val="clear" w:color="auto" w:fill="auto"/>
            <w:vAlign w:val="center"/>
          </w:tcPr>
          <w:p w14:paraId="3C9277A6">
            <w:pPr>
              <w:spacing w:line="276" w:lineRule="auto"/>
              <w:jc w:val="center"/>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崔蕾</w:t>
            </w:r>
          </w:p>
        </w:tc>
        <w:tc>
          <w:tcPr>
            <w:tcW w:w="3075" w:type="dxa"/>
            <w:shd w:val="clear" w:color="auto" w:fill="auto"/>
            <w:vAlign w:val="center"/>
          </w:tcPr>
          <w:p w14:paraId="4221AFCD">
            <w:pPr>
              <w:spacing w:line="276" w:lineRule="auto"/>
              <w:jc w:val="center"/>
              <w:rPr>
                <w:rFonts w:hint="default" w:ascii="Times New Roman" w:hAnsi="Times New Roman" w:eastAsia="宋体" w:cs="Times New Roman"/>
                <w:kern w:val="2"/>
                <w:sz w:val="21"/>
                <w:szCs w:val="21"/>
                <w:lang w:val="en-US" w:eastAsia="zh-CN" w:bidi="ar-SA"/>
              </w:rPr>
            </w:pPr>
            <w:r>
              <w:rPr>
                <w:rFonts w:hint="eastAsia" w:cs="Times New Roman"/>
                <w:szCs w:val="21"/>
                <w:lang w:val="en-US" w:eastAsia="zh-CN"/>
              </w:rPr>
              <w:t>贵州省生态与农业气象中心</w:t>
            </w:r>
          </w:p>
        </w:tc>
        <w:tc>
          <w:tcPr>
            <w:tcW w:w="1287" w:type="dxa"/>
            <w:shd w:val="clear" w:color="auto" w:fill="auto"/>
            <w:vAlign w:val="center"/>
          </w:tcPr>
          <w:p w14:paraId="4678ECF5">
            <w:pPr>
              <w:spacing w:line="276" w:lineRule="auto"/>
              <w:jc w:val="center"/>
              <w:rPr>
                <w:rFonts w:hint="default" w:ascii="Times New Roman" w:hAnsi="Times New Roman" w:eastAsia="宋体" w:cs="Times New Roman"/>
                <w:kern w:val="2"/>
                <w:sz w:val="21"/>
                <w:szCs w:val="21"/>
                <w:lang w:val="en-US" w:eastAsia="zh-CN" w:bidi="ar-SA"/>
              </w:rPr>
            </w:pPr>
            <w:r>
              <w:rPr>
                <w:rFonts w:hint="eastAsia" w:cs="Times New Roman"/>
                <w:szCs w:val="21"/>
                <w:lang w:val="en-US" w:eastAsia="zh-CN"/>
              </w:rPr>
              <w:t>工程师</w:t>
            </w:r>
          </w:p>
        </w:tc>
        <w:tc>
          <w:tcPr>
            <w:tcW w:w="2726" w:type="dxa"/>
            <w:shd w:val="clear" w:color="auto" w:fill="auto"/>
            <w:vAlign w:val="center"/>
          </w:tcPr>
          <w:p w14:paraId="23F3DB81">
            <w:pPr>
              <w:spacing w:line="276"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指标模型验证</w:t>
            </w:r>
          </w:p>
        </w:tc>
      </w:tr>
      <w:tr w14:paraId="5CC6B1F6">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1242" w:type="dxa"/>
            <w:shd w:val="clear" w:color="auto" w:fill="auto"/>
            <w:vAlign w:val="center"/>
          </w:tcPr>
          <w:p w14:paraId="0B31CCF8">
            <w:pPr>
              <w:spacing w:line="276" w:lineRule="auto"/>
              <w:jc w:val="center"/>
              <w:rPr>
                <w:rFonts w:hint="eastAsia" w:ascii="Times New Roman" w:hAnsi="Times New Roman" w:eastAsia="宋体" w:cs="Times New Roman"/>
                <w:kern w:val="2"/>
                <w:sz w:val="21"/>
                <w:szCs w:val="21"/>
                <w:highlight w:val="none"/>
                <w:lang w:val="en-US" w:eastAsia="zh-CN" w:bidi="ar-SA"/>
              </w:rPr>
            </w:pPr>
            <w:r>
              <w:rPr>
                <w:rFonts w:hint="eastAsia"/>
                <w:highlight w:val="none"/>
                <w:lang w:val="en-US" w:eastAsia="zh-CN"/>
              </w:rPr>
              <w:t>徐嘉民</w:t>
            </w:r>
          </w:p>
        </w:tc>
        <w:tc>
          <w:tcPr>
            <w:tcW w:w="3075" w:type="dxa"/>
            <w:shd w:val="clear" w:color="auto" w:fill="auto"/>
            <w:vAlign w:val="center"/>
          </w:tcPr>
          <w:p w14:paraId="6E3D9ADB">
            <w:pPr>
              <w:spacing w:line="276"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贵州省绿茶品牌发展促进会</w:t>
            </w:r>
          </w:p>
        </w:tc>
        <w:tc>
          <w:tcPr>
            <w:tcW w:w="1287" w:type="dxa"/>
            <w:shd w:val="clear" w:color="auto" w:fill="auto"/>
            <w:vAlign w:val="center"/>
          </w:tcPr>
          <w:p w14:paraId="4C7150B2">
            <w:pPr>
              <w:spacing w:line="276" w:lineRule="auto"/>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副会长兼秘书长</w:t>
            </w:r>
          </w:p>
        </w:tc>
        <w:tc>
          <w:tcPr>
            <w:tcW w:w="2726" w:type="dxa"/>
            <w:shd w:val="clear" w:color="auto" w:fill="auto"/>
            <w:vAlign w:val="center"/>
          </w:tcPr>
          <w:p w14:paraId="25C63E2E">
            <w:pPr>
              <w:spacing w:line="276" w:lineRule="auto"/>
              <w:jc w:val="center"/>
              <w:rPr>
                <w:rFonts w:hint="eastAsia" w:ascii="Times New Roman" w:hAnsi="Times New Roman" w:eastAsia="宋体" w:cs="Times New Roman"/>
                <w:kern w:val="2"/>
                <w:sz w:val="21"/>
                <w:szCs w:val="21"/>
                <w:highlight w:val="none"/>
                <w:lang w:val="en-US" w:eastAsia="zh-CN" w:bidi="ar-SA"/>
              </w:rPr>
            </w:pPr>
            <w:r>
              <w:rPr>
                <w:rFonts w:ascii="Times New Roman" w:hAnsi="Times New Roman" w:cs="Times New Roman"/>
                <w:szCs w:val="21"/>
                <w:highlight w:val="none"/>
              </w:rPr>
              <w:t>审核修订</w:t>
            </w:r>
            <w:r>
              <w:rPr>
                <w:rFonts w:hint="eastAsia" w:cs="Times New Roman"/>
                <w:szCs w:val="21"/>
                <w:highlight w:val="none"/>
                <w:lang w:eastAsia="zh-CN"/>
              </w:rPr>
              <w:t>、</w:t>
            </w:r>
            <w:r>
              <w:rPr>
                <w:rFonts w:ascii="Times New Roman" w:hAnsi="Times New Roman" w:cs="Times New Roman"/>
                <w:szCs w:val="21"/>
                <w:highlight w:val="none"/>
              </w:rPr>
              <w:t>模型</w:t>
            </w:r>
            <w:r>
              <w:rPr>
                <w:rFonts w:hint="eastAsia" w:cs="Times New Roman"/>
                <w:szCs w:val="21"/>
                <w:highlight w:val="none"/>
                <w:lang w:val="en-US" w:eastAsia="zh-CN"/>
              </w:rPr>
              <w:t>检验</w:t>
            </w:r>
          </w:p>
        </w:tc>
      </w:tr>
      <w:tr w14:paraId="46C01C13">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1242" w:type="dxa"/>
            <w:shd w:val="clear" w:color="auto" w:fill="auto"/>
            <w:vAlign w:val="center"/>
          </w:tcPr>
          <w:p w14:paraId="6A866ED7">
            <w:pPr>
              <w:spacing w:line="276" w:lineRule="auto"/>
              <w:jc w:val="center"/>
              <w:rPr>
                <w:rFonts w:hint="default"/>
                <w:highlight w:val="none"/>
                <w:lang w:val="en-US" w:eastAsia="zh-CN"/>
              </w:rPr>
            </w:pPr>
            <w:r>
              <w:rPr>
                <w:rFonts w:hint="eastAsia"/>
                <w:highlight w:val="none"/>
                <w:lang w:val="en-US" w:eastAsia="zh-CN"/>
              </w:rPr>
              <w:t>左晋</w:t>
            </w:r>
          </w:p>
        </w:tc>
        <w:tc>
          <w:tcPr>
            <w:tcW w:w="3075" w:type="dxa"/>
            <w:shd w:val="clear" w:color="auto" w:fill="auto"/>
            <w:vAlign w:val="center"/>
          </w:tcPr>
          <w:p w14:paraId="0B809D61">
            <w:pPr>
              <w:spacing w:line="276" w:lineRule="auto"/>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贵州省生态与农业气象中心</w:t>
            </w:r>
          </w:p>
        </w:tc>
        <w:tc>
          <w:tcPr>
            <w:tcW w:w="1287" w:type="dxa"/>
            <w:shd w:val="clear" w:color="auto" w:fill="auto"/>
            <w:vAlign w:val="center"/>
          </w:tcPr>
          <w:p w14:paraId="1E7D87F9">
            <w:pPr>
              <w:spacing w:line="276" w:lineRule="auto"/>
              <w:jc w:val="center"/>
              <w:rPr>
                <w:rFonts w:hint="default" w:cs="Times New Roman"/>
                <w:szCs w:val="21"/>
                <w:highlight w:val="none"/>
                <w:lang w:val="en-US" w:eastAsia="zh-CN"/>
              </w:rPr>
            </w:pPr>
            <w:r>
              <w:rPr>
                <w:rFonts w:hint="eastAsia" w:cs="Times New Roman"/>
                <w:szCs w:val="21"/>
                <w:highlight w:val="none"/>
                <w:lang w:val="en-US" w:eastAsia="zh-CN"/>
              </w:rPr>
              <w:t>副高</w:t>
            </w:r>
          </w:p>
        </w:tc>
        <w:tc>
          <w:tcPr>
            <w:tcW w:w="2726" w:type="dxa"/>
            <w:shd w:val="clear" w:color="auto" w:fill="auto"/>
            <w:vAlign w:val="center"/>
          </w:tcPr>
          <w:p w14:paraId="17A0AD7A">
            <w:pPr>
              <w:spacing w:line="276" w:lineRule="auto"/>
              <w:jc w:val="center"/>
              <w:rPr>
                <w:rFonts w:ascii="Times New Roman" w:hAnsi="Times New Roman" w:cs="Times New Roman"/>
                <w:szCs w:val="21"/>
                <w:highlight w:val="none"/>
              </w:rPr>
            </w:pPr>
            <w:r>
              <w:rPr>
                <w:rFonts w:ascii="Times New Roman" w:hAnsi="Times New Roman" w:cs="Times New Roman"/>
                <w:szCs w:val="21"/>
                <w:highlight w:val="none"/>
              </w:rPr>
              <w:t>模型</w:t>
            </w:r>
            <w:r>
              <w:rPr>
                <w:rFonts w:hint="eastAsia" w:cs="Times New Roman"/>
                <w:szCs w:val="21"/>
                <w:highlight w:val="none"/>
                <w:lang w:val="en-US" w:eastAsia="zh-CN"/>
              </w:rPr>
              <w:t>检验</w:t>
            </w:r>
          </w:p>
        </w:tc>
      </w:tr>
      <w:tr w14:paraId="6AA775EC">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4D688992">
            <w:pPr>
              <w:spacing w:line="276" w:lineRule="auto"/>
              <w:jc w:val="center"/>
              <w:rPr>
                <w:rFonts w:hint="eastAsia" w:cs="Times New Roman"/>
                <w:szCs w:val="21"/>
                <w:highlight w:val="none"/>
                <w:lang w:val="en-US" w:eastAsia="zh-CN"/>
              </w:rPr>
            </w:pPr>
            <w:r>
              <w:rPr>
                <w:rFonts w:hint="eastAsia"/>
                <w:highlight w:val="none"/>
                <w:lang w:val="en-US" w:eastAsia="zh-CN"/>
              </w:rPr>
              <w:t>杨士进</w:t>
            </w:r>
          </w:p>
        </w:tc>
        <w:tc>
          <w:tcPr>
            <w:tcW w:w="3075" w:type="dxa"/>
            <w:shd w:val="clear" w:color="auto" w:fill="auto"/>
            <w:vAlign w:val="center"/>
          </w:tcPr>
          <w:p w14:paraId="0250763E">
            <w:pPr>
              <w:spacing w:line="276"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贵州省生态与农业气象中心</w:t>
            </w:r>
          </w:p>
        </w:tc>
        <w:tc>
          <w:tcPr>
            <w:tcW w:w="1287" w:type="dxa"/>
            <w:shd w:val="clear" w:color="auto" w:fill="auto"/>
            <w:vAlign w:val="center"/>
          </w:tcPr>
          <w:p w14:paraId="4A6347AE">
            <w:pPr>
              <w:spacing w:line="276" w:lineRule="auto"/>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工程师</w:t>
            </w:r>
          </w:p>
        </w:tc>
        <w:tc>
          <w:tcPr>
            <w:tcW w:w="2726" w:type="dxa"/>
            <w:shd w:val="clear" w:color="auto" w:fill="auto"/>
            <w:vAlign w:val="center"/>
          </w:tcPr>
          <w:p w14:paraId="379B1B82">
            <w:pPr>
              <w:spacing w:line="276"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相关指标调研收集</w:t>
            </w:r>
          </w:p>
        </w:tc>
      </w:tr>
      <w:tr w14:paraId="41D35790">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0E2D0B06">
            <w:pPr>
              <w:spacing w:line="276" w:lineRule="auto"/>
              <w:jc w:val="center"/>
              <w:rPr>
                <w:rFonts w:hint="eastAsia"/>
                <w:highlight w:val="none"/>
                <w:lang w:val="en-US" w:eastAsia="zh-CN"/>
              </w:rPr>
            </w:pPr>
            <w:r>
              <w:rPr>
                <w:rFonts w:hint="eastAsia"/>
                <w:highlight w:val="none"/>
                <w:lang w:val="en-US" w:eastAsia="zh-CN"/>
              </w:rPr>
              <w:t>刘勇志</w:t>
            </w:r>
          </w:p>
        </w:tc>
        <w:tc>
          <w:tcPr>
            <w:tcW w:w="3075" w:type="dxa"/>
            <w:shd w:val="clear" w:color="auto" w:fill="auto"/>
            <w:vAlign w:val="center"/>
          </w:tcPr>
          <w:p w14:paraId="3A48D8D2">
            <w:pPr>
              <w:spacing w:line="276"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贵州省绿茶品牌发展促进会</w:t>
            </w:r>
          </w:p>
        </w:tc>
        <w:tc>
          <w:tcPr>
            <w:tcW w:w="1287" w:type="dxa"/>
            <w:shd w:val="clear" w:color="auto" w:fill="auto"/>
            <w:vAlign w:val="center"/>
          </w:tcPr>
          <w:p w14:paraId="06FE4CCA">
            <w:pPr>
              <w:spacing w:line="276" w:lineRule="auto"/>
              <w:jc w:val="center"/>
              <w:rPr>
                <w:rFonts w:hint="default" w:cs="Times New Roman"/>
                <w:szCs w:val="21"/>
                <w:highlight w:val="none"/>
                <w:lang w:val="en-US" w:eastAsia="zh-CN"/>
              </w:rPr>
            </w:pPr>
            <w:r>
              <w:rPr>
                <w:rFonts w:hint="eastAsia" w:cs="Times New Roman"/>
                <w:szCs w:val="21"/>
                <w:highlight w:val="none"/>
                <w:lang w:val="en-US" w:eastAsia="zh-CN"/>
              </w:rPr>
              <w:t>常务副秘书长</w:t>
            </w:r>
          </w:p>
        </w:tc>
        <w:tc>
          <w:tcPr>
            <w:tcW w:w="2726" w:type="dxa"/>
            <w:shd w:val="clear" w:color="auto" w:fill="auto"/>
            <w:vAlign w:val="center"/>
          </w:tcPr>
          <w:p w14:paraId="7CA2543F">
            <w:pPr>
              <w:spacing w:line="276"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指标校验</w:t>
            </w:r>
          </w:p>
        </w:tc>
      </w:tr>
      <w:tr w14:paraId="4B47CCE8">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7C69E6ED">
            <w:pPr>
              <w:spacing w:line="276" w:lineRule="auto"/>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曾晓珊</w:t>
            </w:r>
          </w:p>
        </w:tc>
        <w:tc>
          <w:tcPr>
            <w:tcW w:w="3075" w:type="dxa"/>
            <w:shd w:val="clear" w:color="auto" w:fill="auto"/>
            <w:vAlign w:val="center"/>
          </w:tcPr>
          <w:p w14:paraId="5F445154">
            <w:pPr>
              <w:spacing w:line="276" w:lineRule="auto"/>
              <w:jc w:val="center"/>
              <w:rPr>
                <w:rFonts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贵州省生态与农业气象中心</w:t>
            </w:r>
          </w:p>
        </w:tc>
        <w:tc>
          <w:tcPr>
            <w:tcW w:w="1287" w:type="dxa"/>
            <w:shd w:val="clear" w:color="auto" w:fill="auto"/>
            <w:vAlign w:val="center"/>
          </w:tcPr>
          <w:p w14:paraId="10780770">
            <w:pPr>
              <w:spacing w:line="276" w:lineRule="auto"/>
              <w:jc w:val="center"/>
              <w:rPr>
                <w:rFonts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工程师</w:t>
            </w:r>
          </w:p>
        </w:tc>
        <w:tc>
          <w:tcPr>
            <w:tcW w:w="2726" w:type="dxa"/>
            <w:shd w:val="clear" w:color="auto" w:fill="auto"/>
            <w:vAlign w:val="center"/>
          </w:tcPr>
          <w:p w14:paraId="78EC6FFF">
            <w:pPr>
              <w:spacing w:line="276" w:lineRule="auto"/>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指标校验</w:t>
            </w:r>
          </w:p>
        </w:tc>
      </w:tr>
      <w:tr w14:paraId="22FD1D3D">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2EE99642">
            <w:pPr>
              <w:spacing w:line="276" w:lineRule="auto"/>
              <w:jc w:val="center"/>
              <w:rPr>
                <w:rFonts w:hint="eastAsia" w:ascii="Times New Roman" w:hAnsi="Times New Roman" w:eastAsia="宋体" w:cs="Times New Roman"/>
                <w:kern w:val="2"/>
                <w:sz w:val="21"/>
                <w:szCs w:val="21"/>
                <w:highlight w:val="none"/>
                <w:lang w:val="en-US" w:eastAsia="zh-CN" w:bidi="ar-SA"/>
              </w:rPr>
            </w:pPr>
            <w:r>
              <w:rPr>
                <w:rFonts w:hint="eastAsia"/>
                <w:highlight w:val="none"/>
                <w:lang w:val="en-US" w:eastAsia="zh-CN"/>
              </w:rPr>
              <w:t>王方芳</w:t>
            </w:r>
          </w:p>
        </w:tc>
        <w:tc>
          <w:tcPr>
            <w:tcW w:w="3075" w:type="dxa"/>
            <w:shd w:val="clear" w:color="auto" w:fill="auto"/>
            <w:vAlign w:val="center"/>
          </w:tcPr>
          <w:p w14:paraId="6A7FF3D9">
            <w:pPr>
              <w:spacing w:line="276" w:lineRule="auto"/>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Cs w:val="21"/>
                <w:highlight w:val="none"/>
                <w:lang w:val="en-US" w:eastAsia="zh-CN"/>
              </w:rPr>
              <w:t>贵州省山地气象科</w:t>
            </w:r>
            <w:r>
              <w:rPr>
                <w:rFonts w:hint="eastAsia" w:cs="Times New Roman"/>
                <w:szCs w:val="21"/>
                <w:highlight w:val="none"/>
                <w:lang w:val="en-US" w:eastAsia="zh-CN"/>
              </w:rPr>
              <w:t>学</w:t>
            </w:r>
            <w:r>
              <w:rPr>
                <w:rFonts w:hint="eastAsia" w:ascii="Times New Roman" w:hAnsi="Times New Roman" w:eastAsia="宋体" w:cs="Times New Roman"/>
                <w:szCs w:val="21"/>
                <w:highlight w:val="none"/>
                <w:lang w:val="en-US" w:eastAsia="zh-CN"/>
              </w:rPr>
              <w:t>研</w:t>
            </w:r>
            <w:r>
              <w:rPr>
                <w:rFonts w:hint="eastAsia" w:cs="Times New Roman"/>
                <w:szCs w:val="21"/>
                <w:highlight w:val="none"/>
                <w:lang w:val="en-US" w:eastAsia="zh-CN"/>
              </w:rPr>
              <w:t>究</w:t>
            </w:r>
            <w:r>
              <w:rPr>
                <w:rFonts w:hint="eastAsia" w:ascii="Times New Roman" w:hAnsi="Times New Roman" w:eastAsia="宋体" w:cs="Times New Roman"/>
                <w:szCs w:val="21"/>
                <w:highlight w:val="none"/>
                <w:lang w:val="en-US" w:eastAsia="zh-CN"/>
              </w:rPr>
              <w:t>所</w:t>
            </w:r>
          </w:p>
        </w:tc>
        <w:tc>
          <w:tcPr>
            <w:tcW w:w="1287" w:type="dxa"/>
            <w:shd w:val="clear" w:color="auto" w:fill="auto"/>
            <w:vAlign w:val="center"/>
          </w:tcPr>
          <w:p w14:paraId="43EF172E">
            <w:pPr>
              <w:spacing w:line="276" w:lineRule="auto"/>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副高</w:t>
            </w:r>
          </w:p>
        </w:tc>
        <w:tc>
          <w:tcPr>
            <w:tcW w:w="2726" w:type="dxa"/>
            <w:shd w:val="clear" w:color="auto" w:fill="auto"/>
            <w:vAlign w:val="center"/>
          </w:tcPr>
          <w:p w14:paraId="6C7E33FB">
            <w:pPr>
              <w:spacing w:line="276" w:lineRule="auto"/>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审核修订</w:t>
            </w:r>
          </w:p>
        </w:tc>
      </w:tr>
      <w:tr w14:paraId="3676BF25">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5CA9D762">
            <w:pPr>
              <w:spacing w:line="276" w:lineRule="auto"/>
              <w:jc w:val="center"/>
              <w:rPr>
                <w:rFonts w:hint="eastAsia" w:ascii="Times New Roman" w:hAnsi="Times New Roman" w:eastAsia="宋体" w:cs="Times New Roman"/>
                <w:kern w:val="2"/>
                <w:sz w:val="21"/>
                <w:szCs w:val="21"/>
                <w:highlight w:val="none"/>
                <w:lang w:val="en-US" w:eastAsia="zh-CN" w:bidi="ar-SA"/>
              </w:rPr>
            </w:pPr>
            <w:r>
              <w:rPr>
                <w:rFonts w:hint="eastAsia"/>
                <w:highlight w:val="none"/>
                <w:lang w:val="en-US" w:eastAsia="zh-CN"/>
              </w:rPr>
              <w:t>徐永灵</w:t>
            </w:r>
          </w:p>
        </w:tc>
        <w:tc>
          <w:tcPr>
            <w:tcW w:w="3075" w:type="dxa"/>
            <w:shd w:val="clear" w:color="auto" w:fill="auto"/>
            <w:vAlign w:val="center"/>
          </w:tcPr>
          <w:p w14:paraId="46A66F48">
            <w:pPr>
              <w:spacing w:line="276" w:lineRule="auto"/>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Cs w:val="21"/>
                <w:highlight w:val="none"/>
                <w:lang w:val="en-US" w:eastAsia="zh-CN"/>
              </w:rPr>
              <w:t>贵州省山地气象科</w:t>
            </w:r>
            <w:r>
              <w:rPr>
                <w:rFonts w:hint="eastAsia" w:cs="Times New Roman"/>
                <w:szCs w:val="21"/>
                <w:highlight w:val="none"/>
                <w:lang w:val="en-US" w:eastAsia="zh-CN"/>
              </w:rPr>
              <w:t>学</w:t>
            </w:r>
            <w:r>
              <w:rPr>
                <w:rFonts w:hint="eastAsia" w:ascii="Times New Roman" w:hAnsi="Times New Roman" w:eastAsia="宋体" w:cs="Times New Roman"/>
                <w:szCs w:val="21"/>
                <w:highlight w:val="none"/>
                <w:lang w:val="en-US" w:eastAsia="zh-CN"/>
              </w:rPr>
              <w:t>研</w:t>
            </w:r>
            <w:r>
              <w:rPr>
                <w:rFonts w:hint="eastAsia" w:cs="Times New Roman"/>
                <w:szCs w:val="21"/>
                <w:highlight w:val="none"/>
                <w:lang w:val="en-US" w:eastAsia="zh-CN"/>
              </w:rPr>
              <w:t>究</w:t>
            </w:r>
            <w:r>
              <w:rPr>
                <w:rFonts w:hint="eastAsia" w:ascii="Times New Roman" w:hAnsi="Times New Roman" w:eastAsia="宋体" w:cs="Times New Roman"/>
                <w:szCs w:val="21"/>
                <w:highlight w:val="none"/>
                <w:lang w:val="en-US" w:eastAsia="zh-CN"/>
              </w:rPr>
              <w:t>所</w:t>
            </w:r>
          </w:p>
        </w:tc>
        <w:tc>
          <w:tcPr>
            <w:tcW w:w="1287" w:type="dxa"/>
            <w:shd w:val="clear" w:color="auto" w:fill="auto"/>
            <w:vAlign w:val="center"/>
          </w:tcPr>
          <w:p w14:paraId="3668AFB6">
            <w:pPr>
              <w:spacing w:line="276" w:lineRule="auto"/>
              <w:jc w:val="center"/>
              <w:rPr>
                <w:rFonts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副高</w:t>
            </w:r>
          </w:p>
        </w:tc>
        <w:tc>
          <w:tcPr>
            <w:tcW w:w="2726" w:type="dxa"/>
            <w:shd w:val="clear" w:color="auto" w:fill="auto"/>
            <w:vAlign w:val="center"/>
          </w:tcPr>
          <w:p w14:paraId="23A5CEE1">
            <w:pPr>
              <w:spacing w:line="276" w:lineRule="auto"/>
              <w:jc w:val="center"/>
              <w:rPr>
                <w:rFonts w:ascii="Times New Roman" w:hAnsi="Times New Roman" w:cs="Times New Roman"/>
                <w:szCs w:val="21"/>
                <w:highlight w:val="none"/>
              </w:rPr>
            </w:pPr>
            <w:r>
              <w:rPr>
                <w:rFonts w:ascii="Times New Roman" w:hAnsi="Times New Roman" w:cs="Times New Roman"/>
                <w:szCs w:val="21"/>
                <w:highlight w:val="none"/>
              </w:rPr>
              <w:t>模型</w:t>
            </w:r>
            <w:r>
              <w:rPr>
                <w:rFonts w:hint="eastAsia" w:cs="Times New Roman"/>
                <w:szCs w:val="21"/>
                <w:highlight w:val="none"/>
                <w:lang w:val="en-US" w:eastAsia="zh-CN"/>
              </w:rPr>
              <w:t>检验</w:t>
            </w:r>
          </w:p>
        </w:tc>
      </w:tr>
      <w:tr w14:paraId="2D23D1C0">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1A338FC6">
            <w:pPr>
              <w:spacing w:line="276" w:lineRule="auto"/>
              <w:jc w:val="center"/>
              <w:rPr>
                <w:rFonts w:hint="eastAsia" w:ascii="Times New Roman" w:hAnsi="Times New Roman" w:eastAsia="宋体" w:cs="Times New Roman"/>
                <w:kern w:val="2"/>
                <w:sz w:val="21"/>
                <w:szCs w:val="21"/>
                <w:highlight w:val="none"/>
                <w:lang w:val="en-US" w:eastAsia="zh-CN" w:bidi="ar-SA"/>
              </w:rPr>
            </w:pPr>
            <w:r>
              <w:rPr>
                <w:rFonts w:hint="eastAsia"/>
                <w:highlight w:val="none"/>
                <w:lang w:val="en-US" w:eastAsia="zh-CN"/>
              </w:rPr>
              <w:t>张波</w:t>
            </w:r>
          </w:p>
        </w:tc>
        <w:tc>
          <w:tcPr>
            <w:tcW w:w="3075" w:type="dxa"/>
            <w:shd w:val="clear" w:color="auto" w:fill="auto"/>
            <w:vAlign w:val="center"/>
          </w:tcPr>
          <w:p w14:paraId="7D55DABE">
            <w:pPr>
              <w:spacing w:line="276" w:lineRule="auto"/>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Cs w:val="21"/>
                <w:highlight w:val="none"/>
                <w:lang w:val="en-US" w:eastAsia="zh-CN"/>
              </w:rPr>
              <w:t>贵州省山地气象科</w:t>
            </w:r>
            <w:r>
              <w:rPr>
                <w:rFonts w:hint="eastAsia" w:cs="Times New Roman"/>
                <w:szCs w:val="21"/>
                <w:highlight w:val="none"/>
                <w:lang w:val="en-US" w:eastAsia="zh-CN"/>
              </w:rPr>
              <w:t>学</w:t>
            </w:r>
            <w:r>
              <w:rPr>
                <w:rFonts w:hint="eastAsia" w:ascii="Times New Roman" w:hAnsi="Times New Roman" w:eastAsia="宋体" w:cs="Times New Roman"/>
                <w:szCs w:val="21"/>
                <w:highlight w:val="none"/>
                <w:lang w:val="en-US" w:eastAsia="zh-CN"/>
              </w:rPr>
              <w:t>研</w:t>
            </w:r>
            <w:r>
              <w:rPr>
                <w:rFonts w:hint="eastAsia" w:cs="Times New Roman"/>
                <w:szCs w:val="21"/>
                <w:highlight w:val="none"/>
                <w:lang w:val="en-US" w:eastAsia="zh-CN"/>
              </w:rPr>
              <w:t>究</w:t>
            </w:r>
            <w:r>
              <w:rPr>
                <w:rFonts w:hint="eastAsia" w:ascii="Times New Roman" w:hAnsi="Times New Roman" w:eastAsia="宋体" w:cs="Times New Roman"/>
                <w:szCs w:val="21"/>
                <w:highlight w:val="none"/>
                <w:lang w:val="en-US" w:eastAsia="zh-CN"/>
              </w:rPr>
              <w:t>所</w:t>
            </w:r>
          </w:p>
        </w:tc>
        <w:tc>
          <w:tcPr>
            <w:tcW w:w="1287" w:type="dxa"/>
            <w:shd w:val="clear" w:color="auto" w:fill="auto"/>
            <w:vAlign w:val="center"/>
          </w:tcPr>
          <w:p w14:paraId="5F29B702">
            <w:pPr>
              <w:spacing w:line="276" w:lineRule="auto"/>
              <w:jc w:val="center"/>
              <w:rPr>
                <w:rFonts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副高</w:t>
            </w:r>
          </w:p>
        </w:tc>
        <w:tc>
          <w:tcPr>
            <w:tcW w:w="2726" w:type="dxa"/>
            <w:shd w:val="clear" w:color="auto" w:fill="auto"/>
            <w:vAlign w:val="center"/>
          </w:tcPr>
          <w:p w14:paraId="7E40B3F8">
            <w:pPr>
              <w:spacing w:line="276" w:lineRule="auto"/>
              <w:jc w:val="center"/>
              <w:rPr>
                <w:rFonts w:ascii="Times New Roman" w:hAnsi="Times New Roman" w:cs="Times New Roman"/>
                <w:szCs w:val="21"/>
                <w:highlight w:val="none"/>
              </w:rPr>
            </w:pPr>
            <w:r>
              <w:rPr>
                <w:rFonts w:hint="eastAsia" w:cs="Times New Roman"/>
                <w:color w:val="auto"/>
                <w:szCs w:val="21"/>
                <w:highlight w:val="none"/>
                <w:lang w:val="en-US" w:eastAsia="zh-CN"/>
              </w:rPr>
              <w:t>指标校验</w:t>
            </w:r>
          </w:p>
        </w:tc>
      </w:tr>
      <w:tr w14:paraId="3669EB3C">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6A5BB23E">
            <w:pPr>
              <w:spacing w:line="276" w:lineRule="auto"/>
              <w:jc w:val="center"/>
              <w:rPr>
                <w:rFonts w:hint="eastAsia" w:ascii="Times New Roman" w:hAnsi="Times New Roman" w:eastAsia="宋体" w:cs="Times New Roman"/>
                <w:kern w:val="2"/>
                <w:sz w:val="21"/>
                <w:szCs w:val="21"/>
                <w:highlight w:val="none"/>
                <w:lang w:val="en-US" w:eastAsia="zh-CN" w:bidi="ar-SA"/>
              </w:rPr>
            </w:pPr>
            <w:r>
              <w:rPr>
                <w:rFonts w:hint="eastAsia"/>
                <w:highlight w:val="none"/>
                <w:lang w:val="en-US" w:eastAsia="zh-CN"/>
              </w:rPr>
              <w:t>申谋</w:t>
            </w:r>
          </w:p>
        </w:tc>
        <w:tc>
          <w:tcPr>
            <w:tcW w:w="3075" w:type="dxa"/>
            <w:shd w:val="clear" w:color="auto" w:fill="auto"/>
            <w:vAlign w:val="center"/>
          </w:tcPr>
          <w:p w14:paraId="1D8F1B22">
            <w:pPr>
              <w:spacing w:line="276" w:lineRule="auto"/>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Cs w:val="21"/>
                <w:highlight w:val="none"/>
                <w:lang w:val="en-US" w:eastAsia="zh-CN"/>
              </w:rPr>
              <w:t>贵州省山地气象科</w:t>
            </w:r>
            <w:r>
              <w:rPr>
                <w:rFonts w:hint="eastAsia" w:cs="Times New Roman"/>
                <w:szCs w:val="21"/>
                <w:highlight w:val="none"/>
                <w:lang w:val="en-US" w:eastAsia="zh-CN"/>
              </w:rPr>
              <w:t>学</w:t>
            </w:r>
            <w:r>
              <w:rPr>
                <w:rFonts w:hint="eastAsia" w:ascii="Times New Roman" w:hAnsi="Times New Roman" w:eastAsia="宋体" w:cs="Times New Roman"/>
                <w:szCs w:val="21"/>
                <w:highlight w:val="none"/>
                <w:lang w:val="en-US" w:eastAsia="zh-CN"/>
              </w:rPr>
              <w:t>研</w:t>
            </w:r>
            <w:r>
              <w:rPr>
                <w:rFonts w:hint="eastAsia" w:cs="Times New Roman"/>
                <w:szCs w:val="21"/>
                <w:highlight w:val="none"/>
                <w:lang w:val="en-US" w:eastAsia="zh-CN"/>
              </w:rPr>
              <w:t>究</w:t>
            </w:r>
            <w:r>
              <w:rPr>
                <w:rFonts w:hint="eastAsia" w:ascii="Times New Roman" w:hAnsi="Times New Roman" w:eastAsia="宋体" w:cs="Times New Roman"/>
                <w:szCs w:val="21"/>
                <w:highlight w:val="none"/>
                <w:lang w:val="en-US" w:eastAsia="zh-CN"/>
              </w:rPr>
              <w:t>所</w:t>
            </w:r>
          </w:p>
        </w:tc>
        <w:tc>
          <w:tcPr>
            <w:tcW w:w="1287" w:type="dxa"/>
            <w:shd w:val="clear" w:color="auto" w:fill="auto"/>
            <w:vAlign w:val="center"/>
          </w:tcPr>
          <w:p w14:paraId="0515F51A">
            <w:pPr>
              <w:spacing w:line="276" w:lineRule="auto"/>
              <w:jc w:val="center"/>
              <w:rPr>
                <w:rFonts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副高</w:t>
            </w:r>
          </w:p>
        </w:tc>
        <w:tc>
          <w:tcPr>
            <w:tcW w:w="2726" w:type="dxa"/>
            <w:shd w:val="clear" w:color="auto" w:fill="auto"/>
            <w:vAlign w:val="center"/>
          </w:tcPr>
          <w:p w14:paraId="6A0EBEB8">
            <w:pPr>
              <w:spacing w:line="276" w:lineRule="auto"/>
              <w:jc w:val="center"/>
              <w:rPr>
                <w:rFonts w:hint="eastAsia" w:ascii="Times New Roman" w:hAnsi="Times New Roman" w:eastAsia="宋体" w:cs="Times New Roman"/>
                <w:szCs w:val="21"/>
                <w:highlight w:val="none"/>
                <w:lang w:val="en-US" w:eastAsia="zh-CN"/>
              </w:rPr>
            </w:pPr>
            <w:r>
              <w:rPr>
                <w:rFonts w:hint="eastAsia" w:cs="Times New Roman"/>
                <w:color w:val="auto"/>
                <w:szCs w:val="21"/>
                <w:highlight w:val="none"/>
                <w:lang w:val="en-US" w:eastAsia="zh-CN"/>
              </w:rPr>
              <w:t>指标校验</w:t>
            </w:r>
          </w:p>
        </w:tc>
      </w:tr>
      <w:tr w14:paraId="0868218E">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706ECF6D">
            <w:pPr>
              <w:spacing w:line="276" w:lineRule="auto"/>
              <w:jc w:val="center"/>
              <w:rPr>
                <w:rFonts w:hint="eastAsia" w:ascii="Times New Roman" w:hAnsi="Times New Roman" w:eastAsia="宋体" w:cs="Times New Roman"/>
                <w:kern w:val="2"/>
                <w:sz w:val="21"/>
                <w:szCs w:val="21"/>
                <w:highlight w:val="none"/>
                <w:lang w:val="en-US" w:eastAsia="zh-CN" w:bidi="ar-SA"/>
              </w:rPr>
            </w:pPr>
            <w:r>
              <w:rPr>
                <w:rFonts w:hint="eastAsia"/>
                <w:highlight w:val="none"/>
                <w:lang w:val="en-US" w:eastAsia="zh-CN"/>
              </w:rPr>
              <w:t>代远富</w:t>
            </w:r>
          </w:p>
        </w:tc>
        <w:tc>
          <w:tcPr>
            <w:tcW w:w="3075" w:type="dxa"/>
            <w:shd w:val="clear" w:color="auto" w:fill="auto"/>
            <w:vAlign w:val="center"/>
          </w:tcPr>
          <w:p w14:paraId="3557E9E5">
            <w:pPr>
              <w:spacing w:line="276" w:lineRule="auto"/>
              <w:jc w:val="center"/>
              <w:rPr>
                <w:rFonts w:hint="eastAsia" w:ascii="Times New Roman" w:hAnsi="Times New Roman" w:eastAsia="宋体" w:cs="Times New Roman"/>
                <w:kern w:val="2"/>
                <w:sz w:val="21"/>
                <w:szCs w:val="21"/>
                <w:highlight w:val="none"/>
                <w:lang w:val="en-US" w:eastAsia="zh-CN" w:bidi="ar-SA"/>
              </w:rPr>
            </w:pPr>
            <w:r>
              <w:rPr>
                <w:rFonts w:hint="eastAsia" w:cs="Times New Roman"/>
                <w:color w:val="auto"/>
                <w:szCs w:val="21"/>
                <w:highlight w:val="none"/>
                <w:lang w:val="en-US" w:eastAsia="zh-CN"/>
              </w:rPr>
              <w:t>贵州省绿茶品牌发展促进会</w:t>
            </w:r>
          </w:p>
        </w:tc>
        <w:tc>
          <w:tcPr>
            <w:tcW w:w="1287" w:type="dxa"/>
            <w:shd w:val="clear" w:color="auto" w:fill="auto"/>
            <w:vAlign w:val="center"/>
          </w:tcPr>
          <w:p w14:paraId="7A562451">
            <w:pPr>
              <w:spacing w:line="276"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会员部主任</w:t>
            </w:r>
          </w:p>
        </w:tc>
        <w:tc>
          <w:tcPr>
            <w:tcW w:w="2726" w:type="dxa"/>
            <w:shd w:val="clear" w:color="auto" w:fill="auto"/>
            <w:vAlign w:val="center"/>
          </w:tcPr>
          <w:p w14:paraId="1B907E15">
            <w:pPr>
              <w:spacing w:line="276" w:lineRule="auto"/>
              <w:jc w:val="center"/>
              <w:rPr>
                <w:rFonts w:hint="eastAsia" w:ascii="Times New Roman" w:hAnsi="Times New Roman" w:eastAsia="宋体" w:cs="Times New Roman"/>
                <w:szCs w:val="21"/>
                <w:highlight w:val="none"/>
                <w:lang w:val="en-US" w:eastAsia="zh-CN"/>
              </w:rPr>
            </w:pPr>
            <w:r>
              <w:rPr>
                <w:rFonts w:hint="eastAsia" w:cs="Times New Roman"/>
                <w:color w:val="auto"/>
                <w:szCs w:val="21"/>
                <w:highlight w:val="none"/>
                <w:lang w:val="en-US" w:eastAsia="zh-CN"/>
              </w:rPr>
              <w:t>指标校验</w:t>
            </w:r>
          </w:p>
        </w:tc>
      </w:tr>
    </w:tbl>
    <w:p w14:paraId="37BACF71">
      <w:pPr>
        <w:spacing w:line="360" w:lineRule="auto"/>
        <w:ind w:firstLine="422" w:firstLineChars="200"/>
        <w:jc w:val="left"/>
        <w:rPr>
          <w:rFonts w:hint="eastAsia"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三、制定标准的原则和依据，与现行法律、法规、标准的关系，国内外现行相关法律、法规和标准情况；</w:t>
      </w:r>
    </w:p>
    <w:p w14:paraId="38AC3C44">
      <w:pPr>
        <w:spacing w:line="360" w:lineRule="auto"/>
        <w:ind w:firstLine="422" w:firstLineChars="200"/>
        <w:jc w:val="left"/>
        <w:rPr>
          <w:rFonts w:hint="eastAsia" w:ascii="Times New Roman" w:hAnsi="Times New Roman"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（一）</w:t>
      </w:r>
      <w:r>
        <w:rPr>
          <w:rFonts w:hint="eastAsia" w:ascii="Times New Roman" w:hAnsi="Times New Roman" w:cs="Times New Roman" w:eastAsiaTheme="minorEastAsia"/>
          <w:b/>
          <w:color w:val="000000"/>
          <w:kern w:val="0"/>
          <w:szCs w:val="21"/>
          <w:lang w:val="en-US" w:eastAsia="zh-CN"/>
        </w:rPr>
        <w:t xml:space="preserve">制定原则 </w:t>
      </w:r>
    </w:p>
    <w:p w14:paraId="218A27E8">
      <w:pPr>
        <w:autoSpaceDE w:val="0"/>
        <w:autoSpaceDN w:val="0"/>
        <w:adjustRightInd w:val="0"/>
        <w:spacing w:line="360" w:lineRule="auto"/>
        <w:ind w:firstLine="420" w:firstLineChars="200"/>
        <w:jc w:val="left"/>
      </w:pPr>
      <w:r>
        <w:rPr>
          <w:rFonts w:hint="eastAsia" w:ascii="Times New Roman" w:hAnsi="Times New Roman" w:eastAsia="宋体" w:cs="Times New Roman"/>
          <w:szCs w:val="21"/>
          <w:lang w:val="en-US" w:eastAsia="zh-CN"/>
        </w:rPr>
        <w:t>科学性原则： 标准条款的设定严格遵循农业气象学、</w:t>
      </w:r>
      <w:r>
        <w:rPr>
          <w:rFonts w:hint="eastAsia" w:cs="Times New Roman"/>
          <w:szCs w:val="21"/>
          <w:lang w:val="en-US" w:eastAsia="zh-CN"/>
        </w:rPr>
        <w:t>农学、</w:t>
      </w:r>
      <w:r>
        <w:rPr>
          <w:rFonts w:hint="eastAsia" w:ascii="Times New Roman" w:hAnsi="Times New Roman" w:eastAsia="宋体" w:cs="Times New Roman"/>
          <w:szCs w:val="21"/>
          <w:lang w:val="en-US" w:eastAsia="zh-CN"/>
        </w:rPr>
        <w:t>生态学的理论基础。所有气候评价指标、阈值和模型均基于对贵州主要茶区长期气象观测数据与茶叶品质、产量关联性的统计分析，确保评价结果的客观、准确和可验证。</w:t>
      </w:r>
    </w:p>
    <w:p w14:paraId="36944BA9">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地域性原则：</w:t>
      </w:r>
      <w:r>
        <w:rPr>
          <w:rFonts w:hint="default" w:ascii="Times New Roman" w:hAnsi="Times New Roman" w:eastAsia="宋体" w:cs="Times New Roman"/>
          <w:szCs w:val="21"/>
          <w:lang w:val="en-US" w:eastAsia="zh-CN"/>
        </w:rPr>
        <w:t> 标准紧密结合贵州省“高海拔、低纬度、寡日照、多云雾”的独特山地气候特征。重点考量春季气温回升速率、倒春寒发生规律、夏季高温干旱胁迫、昼夜温差、云雾日数及散射辐射比例等对贵州茶叶内含物质积累和独特</w:t>
      </w:r>
      <w:r>
        <w:rPr>
          <w:rFonts w:hint="eastAsia" w:cs="Times New Roman"/>
          <w:szCs w:val="21"/>
          <w:lang w:val="en-US" w:eastAsia="zh-CN"/>
        </w:rPr>
        <w:t>风味</w:t>
      </w:r>
      <w:r>
        <w:rPr>
          <w:rFonts w:hint="default" w:ascii="Times New Roman" w:hAnsi="Times New Roman" w:eastAsia="宋体" w:cs="Times New Roman"/>
          <w:szCs w:val="21"/>
          <w:lang w:val="en-US" w:eastAsia="zh-CN"/>
        </w:rPr>
        <w:t>形成具有决定性作用的气候因子，体现“贵州绿茶”等地理标志产品的气候禀赋。</w:t>
      </w:r>
    </w:p>
    <w:p w14:paraId="0726ECFF">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实用性原则： 标准注重可操作性和应用价值。评价方法力求简便易行，数据获取渠道明确（主要依托国家气象站和区域自动站网），评价流程清晰，评价结果以等级化形式输出，便于各级政府、茶叶企业、专业合作社及茶农在生产布局、基地规划、灾害防御和品牌建设中进行实际应用区域适用性原则：针对贵州省多山地、立体气候显著的特点，</w:t>
      </w:r>
      <w:r>
        <w:rPr>
          <w:rFonts w:hint="eastAsia" w:cs="Times New Roman"/>
          <w:szCs w:val="21"/>
          <w:lang w:val="en-US" w:eastAsia="zh-CN"/>
        </w:rPr>
        <w:t>细化贵州</w:t>
      </w:r>
      <w:r>
        <w:rPr>
          <w:rFonts w:hint="eastAsia" w:ascii="Times New Roman" w:hAnsi="Times New Roman" w:eastAsia="宋体" w:cs="Times New Roman"/>
          <w:szCs w:val="21"/>
          <w:lang w:val="en-US" w:eastAsia="zh-CN"/>
        </w:rPr>
        <w:t xml:space="preserve">的评价指标，体现地域特色。  </w:t>
      </w:r>
    </w:p>
    <w:p w14:paraId="63AF48D9">
      <w:pPr>
        <w:autoSpaceDE w:val="0"/>
        <w:autoSpaceDN w:val="0"/>
        <w:adjustRightInd w:val="0"/>
        <w:spacing w:line="360" w:lineRule="auto"/>
        <w:ind w:firstLine="420" w:firstLineChars="200"/>
        <w:jc w:val="left"/>
        <w:rPr>
          <w:rFonts w:hint="eastAsia" w:ascii="Times New Roman" w:hAnsi="Times New Roman" w:cs="Times New Roman" w:eastAsiaTheme="minorEastAsia"/>
          <w:b/>
          <w:color w:val="000000"/>
          <w:kern w:val="0"/>
          <w:szCs w:val="21"/>
          <w:lang w:val="en-US" w:eastAsia="zh-CN"/>
        </w:rPr>
      </w:pPr>
      <w:r>
        <w:rPr>
          <w:rFonts w:hint="eastAsia" w:ascii="Times New Roman" w:hAnsi="Times New Roman" w:eastAsia="宋体" w:cs="Times New Roman"/>
          <w:szCs w:val="21"/>
          <w:lang w:val="en-US" w:eastAsia="zh-CN"/>
        </w:rPr>
        <w:t xml:space="preserve"> </w:t>
      </w:r>
      <w:r>
        <w:rPr>
          <w:rFonts w:hint="eastAsia" w:cs="Times New Roman" w:eastAsiaTheme="minorEastAsia"/>
          <w:b/>
          <w:color w:val="000000"/>
          <w:kern w:val="0"/>
          <w:szCs w:val="21"/>
          <w:lang w:val="en-US" w:eastAsia="zh-CN"/>
        </w:rPr>
        <w:t>（二）</w:t>
      </w:r>
      <w:r>
        <w:rPr>
          <w:rFonts w:hint="eastAsia" w:ascii="Times New Roman" w:hAnsi="Times New Roman" w:cs="Times New Roman" w:eastAsiaTheme="minorEastAsia"/>
          <w:b/>
          <w:color w:val="000000"/>
          <w:kern w:val="0"/>
          <w:szCs w:val="21"/>
          <w:lang w:val="en-US" w:eastAsia="zh-CN"/>
        </w:rPr>
        <w:t>制定依据</w:t>
      </w:r>
    </w:p>
    <w:p w14:paraId="002D3082">
      <w:pPr>
        <w:spacing w:line="360" w:lineRule="auto"/>
        <w:ind w:firstLine="420" w:firstLineChars="20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本标准的制定主要基于以下依据：</w:t>
      </w:r>
    </w:p>
    <w:p w14:paraId="7152C2C6">
      <w:pPr>
        <w:spacing w:line="360" w:lineRule="auto"/>
        <w:ind w:firstLine="422" w:firstLineChars="20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bCs/>
          <w:color w:val="auto"/>
          <w:szCs w:val="21"/>
          <w:lang w:val="en-US" w:eastAsia="zh-CN"/>
        </w:rPr>
        <w:t>政策法规依据</w:t>
      </w:r>
      <w:r>
        <w:rPr>
          <w:rFonts w:hint="eastAsia" w:ascii="Times New Roman" w:hAnsi="Times New Roman" w:eastAsia="宋体" w:cs="Times New Roman"/>
          <w:color w:val="auto"/>
          <w:szCs w:val="21"/>
          <w:lang w:val="en-US" w:eastAsia="zh-CN"/>
        </w:rPr>
        <w:t>： 依据国家关于推动农业高质量发展、乡村振兴和生态文明建设的战略部署，符合贵州省关于“做强做优茶产业”等特色优势农业产业的发展规划与政策要求。</w:t>
      </w:r>
    </w:p>
    <w:p w14:paraId="3CF4458E">
      <w:pPr>
        <w:spacing w:line="360" w:lineRule="auto"/>
        <w:ind w:firstLine="422" w:firstLineChars="20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bCs/>
          <w:color w:val="auto"/>
          <w:szCs w:val="21"/>
          <w:lang w:val="en-US" w:eastAsia="zh-CN"/>
        </w:rPr>
        <w:t>理论与技术依据：</w:t>
      </w:r>
      <w:r>
        <w:rPr>
          <w:rFonts w:hint="eastAsia" w:ascii="Times New Roman" w:hAnsi="Times New Roman" w:eastAsia="宋体" w:cs="Times New Roman"/>
          <w:color w:val="auto"/>
          <w:szCs w:val="21"/>
          <w:lang w:val="en-US" w:eastAsia="zh-CN"/>
        </w:rPr>
        <w:t>以茶树气候生态适应性理论为核心，分析温度、水分、光照等气象条件对茶树生长发育、产量形成和品质构成的影响机理。依据茶树（尤其是贵州主栽的中小叶种）的生物学特性，确定其生长发育各阶段（如萌发期、采摘期）对气象条件的需求与耐受阈值。充分</w:t>
      </w:r>
      <w:r>
        <w:rPr>
          <w:rFonts w:hint="eastAsia" w:cs="Times New Roman"/>
          <w:color w:val="auto"/>
          <w:szCs w:val="21"/>
          <w:lang w:val="en-US" w:eastAsia="zh-CN"/>
        </w:rPr>
        <w:t>考虑</w:t>
      </w:r>
      <w:r>
        <w:rPr>
          <w:rFonts w:hint="eastAsia" w:ascii="Times New Roman" w:hAnsi="Times New Roman" w:eastAsia="宋体" w:cs="Times New Roman"/>
          <w:color w:val="auto"/>
          <w:szCs w:val="21"/>
          <w:lang w:val="en-US" w:eastAsia="zh-CN"/>
        </w:rPr>
        <w:t>多年来在贵州茶区气候区划、灾害指标、品质气象等方面的科学研究成果和历史观测数据。</w:t>
      </w:r>
    </w:p>
    <w:p w14:paraId="3DE6DC01">
      <w:pPr>
        <w:spacing w:line="360" w:lineRule="auto"/>
        <w:ind w:firstLine="422" w:firstLineChars="20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bCs/>
          <w:color w:val="auto"/>
          <w:szCs w:val="21"/>
          <w:lang w:val="en-US" w:eastAsia="zh-CN"/>
        </w:rPr>
        <w:t>实践依据：</w:t>
      </w:r>
      <w:r>
        <w:rPr>
          <w:rFonts w:hint="eastAsia" w:ascii="Times New Roman" w:hAnsi="Times New Roman" w:eastAsia="宋体" w:cs="Times New Roman"/>
          <w:color w:val="auto"/>
          <w:szCs w:val="21"/>
          <w:lang w:val="en-US" w:eastAsia="zh-CN"/>
        </w:rPr>
        <w:t>立足于贵州全省茶园面积稳定、追求品质提升和效益增长的发展阶段，解决生产中遇到的气候适宜性评价不统一、气候资源优势量化不足、气象灾害风险不明晰等实际问题。总结和提炼了贵州核心产茶区（如湄潭、凤冈、都匀、雷山等）在长期生产实践中形成的，关于如何利用和应对本地气候以提升茶叶品质的宝贵经验，并将其转化为标准化的技术参数。</w:t>
      </w:r>
    </w:p>
    <w:p w14:paraId="09C45BDD">
      <w:pPr>
        <w:spacing w:line="360" w:lineRule="auto"/>
        <w:ind w:firstLine="422" w:firstLineChars="20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bCs/>
          <w:color w:val="auto"/>
          <w:szCs w:val="21"/>
          <w:lang w:val="en-US" w:eastAsia="zh-CN"/>
        </w:rPr>
        <w:t>标准参考依据：</w:t>
      </w:r>
      <w:r>
        <w:rPr>
          <w:rFonts w:hint="eastAsia" w:ascii="Times New Roman" w:hAnsi="Times New Roman" w:eastAsia="宋体" w:cs="Times New Roman"/>
          <w:color w:val="auto"/>
          <w:szCs w:val="21"/>
          <w:lang w:val="en-US" w:eastAsia="zh-CN"/>
        </w:rPr>
        <w:t xml:space="preserve"> 参考了GB/T 1.1《标准化工作导则》等标准编写规范，并研究、借鉴了国内外在茶叶气候品质评价、农业气候区划等相关领域的先进标准和技术文件，确保本标准技术内容的先进性和规范性。</w:t>
      </w:r>
    </w:p>
    <w:p w14:paraId="2E35E610">
      <w:pPr>
        <w:autoSpaceDE w:val="0"/>
        <w:autoSpaceDN w:val="0"/>
        <w:adjustRightInd w:val="0"/>
        <w:spacing w:line="360" w:lineRule="auto"/>
        <w:ind w:firstLine="422" w:firstLineChars="200"/>
        <w:jc w:val="left"/>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 xml:space="preserve">（三） 与现行标准的协调性 </w:t>
      </w:r>
    </w:p>
    <w:p w14:paraId="567FD0AE">
      <w:pPr>
        <w:autoSpaceDE w:val="0"/>
        <w:autoSpaceDN w:val="0"/>
        <w:adjustRightInd w:val="0"/>
        <w:spacing w:line="360" w:lineRule="auto"/>
        <w:ind w:firstLine="420" w:firstLineChars="20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 总则</w:t>
      </w:r>
    </w:p>
    <w:p w14:paraId="645349C4">
      <w:pPr>
        <w:autoSpaceDE w:val="0"/>
        <w:autoSpaceDN w:val="0"/>
        <w:adjustRightInd w:val="0"/>
        <w:spacing w:line="360" w:lineRule="auto"/>
        <w:ind w:firstLine="420" w:firstLineChars="20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本标准在制定过程中，已全面考量并积极遵循了国家标准化法律法规及相关政策精神。为确保标准的适用性与协调性，与现行相关标准、特别是贵州省内已发布实施的团体标准和技术政策进行了充分对接，旨在构建一个科学统一、支撑产业发展的技术规范。</w:t>
      </w:r>
    </w:p>
    <w:p w14:paraId="45F81381">
      <w:pPr>
        <w:autoSpaceDE w:val="0"/>
        <w:autoSpaceDN w:val="0"/>
        <w:adjustRightInd w:val="0"/>
        <w:spacing w:line="360" w:lineRule="auto"/>
        <w:ind w:firstLine="420" w:firstLineChars="20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 与基础通用标准的承接关系</w:t>
      </w:r>
    </w:p>
    <w:p w14:paraId="2748BEA0">
      <w:pPr>
        <w:autoSpaceDE w:val="0"/>
        <w:autoSpaceDN w:val="0"/>
        <w:adjustRightInd w:val="0"/>
        <w:spacing w:line="360" w:lineRule="auto"/>
        <w:ind w:firstLine="420" w:firstLineChars="20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本标准严格承接并细化引用了《茶叶气候品质评价》（QX/T/411-2017）、《农产品气候品质评价技术规范》（QX/T/486-2019）、《气候特色农产品评价方法》（QX/T/719-2024）中确立的通用原则、评价模型框架（如综合考虑气候适宜性、气候要素、气象灾害及生态环境因素，并采用加权法建立模型）和品质等级体系（特优、优、良、一般）。在此基础上，本标准结合贵州茶叶生产的特定需求，对评价指标、权重系数及数据采集方法进行了具体化和专业化规定。</w:t>
      </w:r>
    </w:p>
    <w:p w14:paraId="7DF9AFB9">
      <w:pPr>
        <w:autoSpaceDE w:val="0"/>
        <w:autoSpaceDN w:val="0"/>
        <w:adjustRightInd w:val="0"/>
        <w:spacing w:line="360" w:lineRule="auto"/>
        <w:ind w:firstLine="420" w:firstLineChars="20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 与同类产品标准的协同关系</w:t>
      </w:r>
    </w:p>
    <w:p w14:paraId="49C3ED43">
      <w:pPr>
        <w:autoSpaceDE w:val="0"/>
        <w:autoSpaceDN w:val="0"/>
        <w:adjustRightInd w:val="0"/>
        <w:spacing w:line="360" w:lineRule="auto"/>
        <w:ind w:firstLine="420" w:firstLineChars="20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本标准</w:t>
      </w:r>
      <w:r>
        <w:rPr>
          <w:rFonts w:hint="eastAsia" w:cs="Times New Roman"/>
          <w:color w:val="auto"/>
          <w:szCs w:val="21"/>
          <w:highlight w:val="none"/>
          <w:lang w:val="en-US" w:eastAsia="zh-CN"/>
        </w:rPr>
        <w:t>与</w:t>
      </w:r>
      <w:r>
        <w:rPr>
          <w:rFonts w:hint="eastAsia" w:ascii="Times New Roman" w:hAnsi="Times New Roman" w:eastAsia="宋体" w:cs="Times New Roman"/>
          <w:color w:val="auto"/>
          <w:szCs w:val="21"/>
          <w:highlight w:val="none"/>
          <w:lang w:val="en-US" w:eastAsia="zh-CN"/>
        </w:rPr>
        <w:t>T/GZQXXH 0016-2025《农产品气候品质评价技术规范》标准相互支持、互为补充。本标准</w:t>
      </w:r>
      <w:r>
        <w:rPr>
          <w:rFonts w:hint="eastAsia" w:cs="Times New Roman"/>
          <w:color w:val="auto"/>
          <w:szCs w:val="21"/>
          <w:highlight w:val="none"/>
          <w:lang w:val="en-US" w:eastAsia="zh-CN"/>
        </w:rPr>
        <w:t>是对上述标准的重要补充，上述团标是对农产品气候品质评价的通用规则，本标准的制定为特定农产品——茶叶的产地</w:t>
      </w:r>
      <w:r>
        <w:rPr>
          <w:rFonts w:hint="eastAsia" w:ascii="Times New Roman" w:hAnsi="Times New Roman" w:eastAsia="宋体" w:cs="Times New Roman"/>
          <w:color w:val="auto"/>
          <w:szCs w:val="21"/>
          <w:highlight w:val="none"/>
          <w:lang w:val="en-US" w:eastAsia="zh-CN"/>
        </w:rPr>
        <w:t>气候</w:t>
      </w:r>
      <w:r>
        <w:rPr>
          <w:rFonts w:hint="eastAsia" w:cs="Times New Roman"/>
          <w:color w:val="auto"/>
          <w:szCs w:val="21"/>
          <w:highlight w:val="none"/>
          <w:lang w:val="en-US" w:eastAsia="zh-CN"/>
        </w:rPr>
        <w:t>进行了</w:t>
      </w:r>
      <w:r>
        <w:rPr>
          <w:rFonts w:hint="eastAsia" w:ascii="Times New Roman" w:hAnsi="Times New Roman" w:eastAsia="宋体" w:cs="Times New Roman"/>
          <w:color w:val="auto"/>
          <w:szCs w:val="21"/>
          <w:highlight w:val="none"/>
          <w:lang w:val="en-US" w:eastAsia="zh-CN"/>
        </w:rPr>
        <w:t>的科学</w:t>
      </w:r>
      <w:r>
        <w:rPr>
          <w:rFonts w:hint="eastAsia" w:cs="Times New Roman"/>
          <w:color w:val="auto"/>
          <w:szCs w:val="21"/>
          <w:highlight w:val="none"/>
          <w:lang w:val="en-US" w:eastAsia="zh-CN"/>
        </w:rPr>
        <w:t>评价</w:t>
      </w:r>
      <w:r>
        <w:rPr>
          <w:rFonts w:hint="eastAsia" w:ascii="Times New Roman" w:hAnsi="Times New Roman" w:eastAsia="宋体" w:cs="Times New Roman"/>
          <w:color w:val="auto"/>
          <w:szCs w:val="21"/>
          <w:highlight w:val="none"/>
          <w:lang w:val="en-US" w:eastAsia="zh-CN"/>
        </w:rPr>
        <w:t>，完善</w:t>
      </w:r>
      <w:r>
        <w:rPr>
          <w:rFonts w:hint="eastAsia" w:cs="Times New Roman"/>
          <w:color w:val="auto"/>
          <w:szCs w:val="21"/>
          <w:highlight w:val="none"/>
          <w:lang w:val="en-US" w:eastAsia="zh-CN"/>
        </w:rPr>
        <w:t>了</w:t>
      </w:r>
      <w:r>
        <w:rPr>
          <w:rFonts w:hint="eastAsia" w:ascii="Times New Roman" w:hAnsi="Times New Roman" w:eastAsia="宋体" w:cs="Times New Roman"/>
          <w:color w:val="auto"/>
          <w:szCs w:val="21"/>
          <w:highlight w:val="none"/>
          <w:lang w:val="en-US" w:eastAsia="zh-CN"/>
        </w:rPr>
        <w:t>从</w:t>
      </w:r>
      <w:r>
        <w:rPr>
          <w:rFonts w:hint="eastAsia" w:cs="Times New Roman"/>
          <w:color w:val="auto"/>
          <w:szCs w:val="21"/>
          <w:highlight w:val="none"/>
          <w:lang w:val="en-US" w:eastAsia="zh-CN"/>
        </w:rPr>
        <w:t>“通用产品”到“特定产品”、“产品气候”到“产地环境”</w:t>
      </w:r>
      <w:r>
        <w:rPr>
          <w:rFonts w:hint="eastAsia" w:ascii="Times New Roman" w:hAnsi="Times New Roman" w:eastAsia="宋体" w:cs="Times New Roman"/>
          <w:color w:val="auto"/>
          <w:szCs w:val="21"/>
          <w:highlight w:val="none"/>
          <w:lang w:val="en-US" w:eastAsia="zh-CN"/>
        </w:rPr>
        <w:t>"的贵州茶叶标准化体系，提升</w:t>
      </w:r>
      <w:r>
        <w:rPr>
          <w:rFonts w:hint="eastAsia" w:cs="Times New Roman"/>
          <w:color w:val="auto"/>
          <w:szCs w:val="21"/>
          <w:highlight w:val="none"/>
          <w:lang w:val="en-US" w:eastAsia="zh-CN"/>
        </w:rPr>
        <w:t>“贵州绿茶”</w:t>
      </w:r>
      <w:r>
        <w:rPr>
          <w:rFonts w:hint="eastAsia" w:ascii="Times New Roman" w:hAnsi="Times New Roman" w:eastAsia="宋体" w:cs="Times New Roman"/>
          <w:color w:val="auto"/>
          <w:szCs w:val="21"/>
          <w:highlight w:val="none"/>
          <w:lang w:val="en-US" w:eastAsia="zh-CN"/>
        </w:rPr>
        <w:t>等区域品牌的整体价值。</w:t>
      </w:r>
    </w:p>
    <w:p w14:paraId="4D5844AB">
      <w:pPr>
        <w:autoSpaceDE w:val="0"/>
        <w:autoSpaceDN w:val="0"/>
        <w:adjustRightInd w:val="0"/>
        <w:spacing w:line="360" w:lineRule="auto"/>
        <w:ind w:firstLine="420" w:firstLineChars="20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 与省级政策规划的符合性</w:t>
      </w:r>
    </w:p>
    <w:p w14:paraId="79199E37">
      <w:pPr>
        <w:autoSpaceDE w:val="0"/>
        <w:autoSpaceDN w:val="0"/>
        <w:adjustRightInd w:val="0"/>
        <w:spacing w:line="360" w:lineRule="auto"/>
        <w:ind w:firstLine="420" w:firstLineChars="20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本标准的制定直接响应了《贵州省乡村振兴标准化行动实施方案》</w:t>
      </w:r>
      <w:r>
        <w:rPr>
          <w:rFonts w:hint="eastAsia" w:cs="Times New Roman"/>
          <w:color w:val="auto"/>
          <w:szCs w:val="21"/>
          <w:lang w:val="en-US" w:eastAsia="zh-CN"/>
        </w:rPr>
        <w:t>中相关</w:t>
      </w:r>
      <w:r>
        <w:rPr>
          <w:rFonts w:hint="eastAsia" w:ascii="Times New Roman" w:hAnsi="Times New Roman" w:eastAsia="宋体" w:cs="Times New Roman"/>
          <w:color w:val="auto"/>
          <w:szCs w:val="21"/>
          <w:lang w:val="en-US" w:eastAsia="zh-CN"/>
        </w:rPr>
        <w:t>重点任务要求。本标准的发布实施，是落实全省现代农业全产业链标准化建设、服务乡村振兴战略的具体举措。</w:t>
      </w:r>
    </w:p>
    <w:p w14:paraId="72DDE88D">
      <w:pPr>
        <w:autoSpaceDE w:val="0"/>
        <w:autoSpaceDN w:val="0"/>
        <w:adjustRightInd w:val="0"/>
        <w:spacing w:line="360" w:lineRule="auto"/>
        <w:ind w:firstLine="420" w:firstLineChars="20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 与企业实践和市场需求的关系</w:t>
      </w:r>
    </w:p>
    <w:p w14:paraId="631C323A">
      <w:pPr>
        <w:autoSpaceDE w:val="0"/>
        <w:autoSpaceDN w:val="0"/>
        <w:adjustRightInd w:val="0"/>
        <w:spacing w:line="360" w:lineRule="auto"/>
        <w:ind w:firstLine="420" w:firstLineChars="20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在标准制定过程中，参考并吸纳了省内主要茶企在生产实践中积累的气候与品质</w:t>
      </w:r>
      <w:r>
        <w:rPr>
          <w:rFonts w:hint="eastAsia" w:cs="Times New Roman"/>
          <w:color w:val="auto"/>
          <w:szCs w:val="21"/>
          <w:lang w:val="en-US" w:eastAsia="zh-CN"/>
        </w:rPr>
        <w:t>的实际生产</w:t>
      </w:r>
      <w:r>
        <w:rPr>
          <w:rFonts w:hint="eastAsia" w:ascii="Times New Roman" w:hAnsi="Times New Roman" w:eastAsia="宋体" w:cs="Times New Roman"/>
          <w:color w:val="auto"/>
          <w:szCs w:val="21"/>
          <w:lang w:val="en-US" w:eastAsia="zh-CN"/>
        </w:rPr>
        <w:t>经验。这确保了本标准贴近产业实际，能够有效指导企业进行产地优选、品质管控与品牌宣传，回应市场对茶叶品质溯源的诉求。</w:t>
      </w:r>
    </w:p>
    <w:p w14:paraId="67CA970F">
      <w:pPr>
        <w:numPr>
          <w:ilvl w:val="0"/>
          <w:numId w:val="0"/>
        </w:numPr>
        <w:spacing w:line="360" w:lineRule="auto"/>
        <w:ind w:firstLine="422" w:firstLineChars="200"/>
        <w:jc w:val="left"/>
        <w:rPr>
          <w:rFonts w:hint="eastAsia"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四、主要条款的说明及确定依据（如技术指标、参数、公式、性能要求、试验方法、检验规则等的依据）；</w:t>
      </w:r>
    </w:p>
    <w:p w14:paraId="054D8179">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本标准规定了贵州茶叶产地气候评价的资料要求、评价指标、评分模型、报告内容</w:t>
      </w:r>
      <w:r>
        <w:rPr>
          <w:rFonts w:hint="eastAsia" w:cs="Times New Roman"/>
          <w:szCs w:val="21"/>
          <w:lang w:val="en-US" w:eastAsia="zh-CN"/>
        </w:rPr>
        <w:t>和</w:t>
      </w:r>
      <w:r>
        <w:rPr>
          <w:rFonts w:hint="eastAsia" w:ascii="Times New Roman" w:hAnsi="Times New Roman" w:eastAsia="宋体" w:cs="Times New Roman"/>
          <w:szCs w:val="21"/>
          <w:lang w:val="en-US" w:eastAsia="zh-CN"/>
        </w:rPr>
        <w:t>等级划分的使用等。</w:t>
      </w:r>
    </w:p>
    <w:p w14:paraId="04283D12">
      <w:pPr>
        <w:pStyle w:val="13"/>
        <w:spacing w:line="360" w:lineRule="auto"/>
        <w:ind w:left="0" w:leftChars="0" w:firstLine="422" w:firstLineChars="200"/>
        <w:rPr>
          <w:rFonts w:hint="eastAsia" w:eastAsia="宋体" w:cs="Times New Roman"/>
          <w:b/>
          <w:bCs/>
          <w:szCs w:val="21"/>
          <w:lang w:val="en-US" w:eastAsia="zh-CN"/>
        </w:rPr>
      </w:pPr>
      <w:r>
        <w:rPr>
          <w:rFonts w:hint="eastAsia" w:cs="Times New Roman"/>
          <w:b/>
          <w:bCs/>
          <w:szCs w:val="21"/>
          <w:lang w:val="en-US" w:eastAsia="zh-CN"/>
        </w:rPr>
        <w:t>（一）</w:t>
      </w:r>
      <w:r>
        <w:rPr>
          <w:rFonts w:ascii="Times New Roman"/>
          <w:b/>
          <w:bCs/>
          <w:color w:val="000000"/>
          <w:szCs w:val="21"/>
        </w:rPr>
        <w:t>术语和定义</w:t>
      </w:r>
    </w:p>
    <w:p w14:paraId="41936A0F">
      <w:pPr>
        <w:autoSpaceDE w:val="0"/>
        <w:autoSpaceDN w:val="0"/>
        <w:adjustRightInd w:val="0"/>
        <w:spacing w:line="360" w:lineRule="auto"/>
        <w:ind w:firstLine="420" w:firstLineChars="200"/>
        <w:jc w:val="left"/>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贵州茶叶产地气候评价明确规定了什么叫作茶叶产地气候评价以及开展评价的关键指标——</w:t>
      </w:r>
      <w:r>
        <w:rPr>
          <w:rFonts w:hint="eastAsia" w:ascii="Times New Roman" w:hAnsi="Times New Roman" w:cs="Times New Roman"/>
          <w:color w:val="auto"/>
          <w:szCs w:val="21"/>
          <w:lang w:val="en-US" w:eastAsia="zh-CN"/>
        </w:rPr>
        <w:t>气候适宜度等级指数，是开</w:t>
      </w:r>
      <w:r>
        <w:rPr>
          <w:rFonts w:hint="eastAsia" w:cs="Times New Roman"/>
          <w:color w:val="auto"/>
          <w:szCs w:val="21"/>
          <w:lang w:val="en-US" w:eastAsia="zh-CN"/>
        </w:rPr>
        <w:t xml:space="preserve">展气候评价的核心要素。 所定义的术语如下： </w:t>
      </w:r>
    </w:p>
    <w:p w14:paraId="2DBFB56E">
      <w:pPr>
        <w:autoSpaceDE w:val="0"/>
        <w:autoSpaceDN w:val="0"/>
        <w:adjustRightInd w:val="0"/>
        <w:spacing w:line="360" w:lineRule="auto"/>
        <w:ind w:firstLine="420" w:firstLineChars="200"/>
        <w:jc w:val="left"/>
        <w:rPr>
          <w:rFonts w:hint="eastAsia" w:ascii="Times New Roman" w:hAnsi="Times New Roman" w:cs="Times New Roman"/>
          <w:szCs w:val="21"/>
          <w:lang w:val="en-US" w:eastAsia="zh-CN"/>
        </w:rPr>
      </w:pPr>
      <w:r>
        <w:rPr>
          <w:rFonts w:hint="eastAsia" w:cs="Times New Roman"/>
          <w:szCs w:val="21"/>
          <w:lang w:val="en-US" w:eastAsia="zh-CN"/>
        </w:rPr>
        <w:t>（1）</w:t>
      </w:r>
      <w:r>
        <w:rPr>
          <w:rFonts w:hint="eastAsia" w:ascii="Times New Roman" w:hAnsi="Times New Roman" w:cs="Times New Roman"/>
          <w:szCs w:val="21"/>
          <w:lang w:val="en-US" w:eastAsia="zh-CN"/>
        </w:rPr>
        <w:t>茶叶产地气候评价 Climate Evaluation of Tea Producing Areas</w:t>
      </w:r>
    </w:p>
    <w:p w14:paraId="1F04CDE9">
      <w:pPr>
        <w:autoSpaceDE w:val="0"/>
        <w:autoSpaceDN w:val="0"/>
        <w:adjustRightInd w:val="0"/>
        <w:spacing w:line="360" w:lineRule="auto"/>
        <w:ind w:firstLine="420" w:firstLineChars="200"/>
        <w:jc w:val="left"/>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针对茶叶种植产地，定量分析评价气候条件对茶树及其叶芽生长的适宜程度。</w:t>
      </w:r>
    </w:p>
    <w:p w14:paraId="3E1E58CB">
      <w:pPr>
        <w:autoSpaceDE w:val="0"/>
        <w:autoSpaceDN w:val="0"/>
        <w:adjustRightInd w:val="0"/>
        <w:spacing w:line="360" w:lineRule="auto"/>
        <w:ind w:firstLine="420" w:firstLineChars="200"/>
        <w:jc w:val="left"/>
        <w:rPr>
          <w:rFonts w:hint="eastAsia" w:ascii="Times New Roman" w:hAnsi="Times New Roman" w:cs="Times New Roman"/>
          <w:szCs w:val="21"/>
          <w:lang w:val="en-US" w:eastAsia="zh-CN"/>
        </w:rPr>
      </w:pPr>
      <w:r>
        <w:rPr>
          <w:rFonts w:hint="eastAsia" w:cs="Times New Roman"/>
          <w:szCs w:val="21"/>
          <w:lang w:val="en-US" w:eastAsia="zh-CN"/>
        </w:rPr>
        <w:t>（2）</w:t>
      </w:r>
      <w:r>
        <w:rPr>
          <w:rFonts w:hint="eastAsia" w:ascii="Times New Roman" w:hAnsi="Times New Roman" w:cs="Times New Roman"/>
          <w:szCs w:val="21"/>
          <w:lang w:val="en-US" w:eastAsia="zh-CN"/>
        </w:rPr>
        <w:t>气候适宜度等级指数 Climate Suitability Level Index</w:t>
      </w:r>
    </w:p>
    <w:p w14:paraId="1C18C76D">
      <w:pPr>
        <w:autoSpaceDE w:val="0"/>
        <w:autoSpaceDN w:val="0"/>
        <w:adjustRightInd w:val="0"/>
        <w:spacing w:line="360" w:lineRule="auto"/>
        <w:ind w:firstLine="420" w:firstLineChars="200"/>
        <w:jc w:val="left"/>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评价气候条件适宜程度的指数。</w:t>
      </w:r>
    </w:p>
    <w:p w14:paraId="4852CB82">
      <w:pPr>
        <w:pStyle w:val="13"/>
        <w:spacing w:line="360" w:lineRule="auto"/>
        <w:ind w:left="0" w:leftChars="0" w:firstLine="422" w:firstLineChars="200"/>
        <w:rPr>
          <w:rFonts w:hint="eastAsia" w:cs="Times New Roman"/>
          <w:b/>
          <w:bCs/>
          <w:szCs w:val="21"/>
          <w:lang w:val="en-US" w:eastAsia="zh-CN"/>
        </w:rPr>
      </w:pPr>
      <w:r>
        <w:rPr>
          <w:rFonts w:hint="eastAsia" w:cs="Times New Roman"/>
          <w:b/>
          <w:bCs/>
          <w:szCs w:val="21"/>
          <w:lang w:val="en-US" w:eastAsia="zh-CN"/>
        </w:rPr>
        <w:t>（二）资料要求</w:t>
      </w:r>
    </w:p>
    <w:p w14:paraId="13416CA3">
      <w:pPr>
        <w:pStyle w:val="13"/>
        <w:spacing w:line="360" w:lineRule="auto"/>
        <w:ind w:firstLine="420" w:firstLineChars="200"/>
        <w:rPr>
          <w:rFonts w:hint="eastAsia" w:cs="Times New Roman"/>
          <w:color w:val="auto"/>
          <w:szCs w:val="21"/>
          <w:lang w:val="en-US" w:eastAsia="zh-CN"/>
        </w:rPr>
      </w:pPr>
      <w:r>
        <w:rPr>
          <w:rFonts w:hint="eastAsia" w:cs="Times New Roman"/>
          <w:color w:val="auto"/>
          <w:szCs w:val="21"/>
          <w:lang w:val="en-US" w:eastAsia="zh-CN"/>
        </w:rPr>
        <w:t xml:space="preserve"> 规定了开展评价需要的茶叶产地生产资料和所需气象资料要求，这是开展气候评价的数据及资料基础。</w:t>
      </w:r>
    </w:p>
    <w:p w14:paraId="20F4341D">
      <w:pPr>
        <w:numPr>
          <w:ilvl w:val="0"/>
          <w:numId w:val="3"/>
        </w:numPr>
        <w:autoSpaceDE w:val="0"/>
        <w:autoSpaceDN w:val="0"/>
        <w:adjustRightInd w:val="0"/>
        <w:spacing w:line="360" w:lineRule="auto"/>
        <w:ind w:firstLine="420" w:firstLineChars="200"/>
        <w:jc w:val="left"/>
        <w:rPr>
          <w:rFonts w:hint="eastAsia" w:cs="Times New Roman"/>
          <w:szCs w:val="21"/>
          <w:lang w:val="en-US" w:eastAsia="zh-CN"/>
        </w:rPr>
      </w:pPr>
      <w:r>
        <w:rPr>
          <w:rFonts w:hint="eastAsia" w:cs="Times New Roman"/>
          <w:szCs w:val="21"/>
          <w:lang w:val="en-US" w:eastAsia="zh-CN"/>
        </w:rPr>
        <w:t>气象资料：气象资料来源于气象观测站，选取在茶树种植产地区域内，或者对产地有良好代表性的农田小气候观测站、区域自动气象站或基本气象站，与茶树和茶叶生长密切相关的气象要素10年及以上气象观测资料。一般包括日平均气温、日最高气温、日最低气温、日照时数、降雨量等与茶叶产地气候评价密切相关的气象因子。</w:t>
      </w:r>
    </w:p>
    <w:p w14:paraId="1921933C">
      <w:pPr>
        <w:pStyle w:val="16"/>
        <w:rPr>
          <w:rFonts w:hint="default"/>
          <w:highlight w:val="none"/>
          <w:lang w:val="en-US" w:eastAsia="zh-CN"/>
        </w:rPr>
      </w:pPr>
      <w:r>
        <w:rPr>
          <w:rFonts w:hint="eastAsia" w:cs="Times New Roman"/>
          <w:szCs w:val="21"/>
          <w:highlight w:val="none"/>
          <w:lang w:val="en-US" w:eastAsia="zh-CN"/>
        </w:rPr>
        <w:t>同时也规定了</w:t>
      </w:r>
      <w:r>
        <w:rPr>
          <w:rFonts w:hint="eastAsia"/>
          <w:highlight w:val="none"/>
          <w:lang w:val="en-US" w:eastAsia="zh-CN"/>
        </w:rPr>
        <w:t>在没有合适代表站的情况下，可采用周边站点平均、结合海拔推算等方法计算得到茶树种植区域的气象要素。</w:t>
      </w:r>
    </w:p>
    <w:p w14:paraId="7BB33678">
      <w:pPr>
        <w:autoSpaceDE w:val="0"/>
        <w:autoSpaceDN w:val="0"/>
        <w:adjustRightInd w:val="0"/>
        <w:spacing w:line="360" w:lineRule="auto"/>
        <w:ind w:firstLine="420" w:firstLineChars="200"/>
        <w:jc w:val="left"/>
        <w:rPr>
          <w:rFonts w:hint="eastAsia" w:cs="Times New Roman"/>
          <w:szCs w:val="21"/>
          <w:lang w:val="en-US" w:eastAsia="zh-CN"/>
        </w:rPr>
      </w:pPr>
      <w:r>
        <w:rPr>
          <w:rFonts w:hint="eastAsia" w:cs="Times New Roman"/>
          <w:szCs w:val="21"/>
          <w:lang w:val="en-US" w:eastAsia="zh-CN"/>
        </w:rPr>
        <w:t>（2）产品产地资料：包含产品的生产区域、产地环境、生产规模、生产管理等材料;近三年产品质量安全证明材料</w:t>
      </w:r>
    </w:p>
    <w:p w14:paraId="6A02FCAB">
      <w:pPr>
        <w:autoSpaceDE w:val="0"/>
        <w:autoSpaceDN w:val="0"/>
        <w:adjustRightInd w:val="0"/>
        <w:spacing w:line="360" w:lineRule="auto"/>
        <w:ind w:firstLine="422" w:firstLineChars="200"/>
        <w:jc w:val="left"/>
        <w:rPr>
          <w:rFonts w:hint="default" w:cs="Times New Roman"/>
          <w:b/>
          <w:bCs/>
          <w:szCs w:val="21"/>
          <w:lang w:val="en-US" w:eastAsia="zh-CN"/>
        </w:rPr>
      </w:pPr>
      <w:r>
        <w:rPr>
          <w:rFonts w:hint="eastAsia" w:cs="Times New Roman"/>
          <w:b/>
          <w:bCs/>
          <w:szCs w:val="21"/>
          <w:lang w:val="en-US" w:eastAsia="zh-CN"/>
        </w:rPr>
        <w:t>（三）评价方法</w:t>
      </w:r>
    </w:p>
    <w:p w14:paraId="21CD1D7E">
      <w:pPr>
        <w:autoSpaceDE w:val="0"/>
        <w:autoSpaceDN w:val="0"/>
        <w:adjustRightInd w:val="0"/>
        <w:spacing w:line="360" w:lineRule="auto"/>
        <w:ind w:firstLine="420" w:firstLineChars="200"/>
        <w:jc w:val="left"/>
        <w:rPr>
          <w:rFonts w:hint="eastAsia" w:cs="Times New Roman"/>
          <w:color w:val="auto"/>
          <w:szCs w:val="21"/>
          <w:highlight w:val="none"/>
          <w:lang w:val="en-US" w:eastAsia="zh-CN"/>
        </w:rPr>
      </w:pPr>
      <w:r>
        <w:rPr>
          <w:rFonts w:hint="eastAsia" w:cs="Times New Roman"/>
          <w:color w:val="auto"/>
          <w:szCs w:val="21"/>
          <w:lang w:val="en-US" w:eastAsia="zh-CN"/>
        </w:rPr>
        <w:t xml:space="preserve"> 规定了贵州茶叶产地气候评价的评价模型、关键气象要素指标及权重系数、等级划分标准、评价指数算法、评价等级判定标准，</w:t>
      </w:r>
      <w:r>
        <w:rPr>
          <w:rFonts w:hint="eastAsia" w:cs="Times New Roman"/>
          <w:color w:val="auto"/>
          <w:szCs w:val="21"/>
          <w:highlight w:val="none"/>
          <w:lang w:val="en-US" w:eastAsia="zh-CN"/>
        </w:rPr>
        <w:t>是开展评价的关键技术环节。</w:t>
      </w:r>
    </w:p>
    <w:p w14:paraId="383E0386">
      <w:pPr>
        <w:autoSpaceDE w:val="0"/>
        <w:autoSpaceDN w:val="0"/>
        <w:adjustRightInd w:val="0"/>
        <w:spacing w:line="360" w:lineRule="auto"/>
        <w:ind w:firstLine="420" w:firstLineChars="200"/>
        <w:jc w:val="left"/>
        <w:rPr>
          <w:rFonts w:hint="default" w:cs="Times New Roman"/>
          <w:color w:val="auto"/>
          <w:szCs w:val="21"/>
          <w:highlight w:val="none"/>
          <w:lang w:val="en-US" w:eastAsia="zh-CN"/>
        </w:rPr>
      </w:pPr>
      <w:r>
        <w:rPr>
          <w:rFonts w:hint="default" w:cs="Times New Roman"/>
          <w:color w:val="auto"/>
          <w:szCs w:val="21"/>
          <w:highlight w:val="none"/>
          <w:lang w:val="en-US" w:eastAsia="zh-CN"/>
        </w:rPr>
        <w:t>参照《茶叶气候品质评价》（QX/T/411-2017）、《农产品气候品质评价技术规范》（QX/T/486-2019）、《气候特色农产品评价方法》（QX/T/719-2024）中确立的通用原则、评价模型框架（如综合考虑气候适宜性、气象灾害等因素，采用加权法建立评价模型）和品质等级（特优、优、良、一般）。</w:t>
      </w:r>
    </w:p>
    <w:p w14:paraId="68C0C091">
      <w:pPr>
        <w:pStyle w:val="16"/>
        <w:spacing w:line="360" w:lineRule="auto"/>
        <w:rPr>
          <w:rFonts w:hint="default" w:ascii="Times New Roman" w:cstheme="majorBidi"/>
          <w:color w:val="000000" w:themeColor="text1"/>
          <w:szCs w:val="21"/>
          <w:lang w:val="en-US" w:eastAsia="zh-CN"/>
          <w14:textFill>
            <w14:solidFill>
              <w14:schemeClr w14:val="tx1"/>
            </w14:solidFill>
          </w14:textFill>
        </w:rPr>
      </w:pPr>
      <w:bookmarkStart w:id="2" w:name="OLE_LINK14"/>
      <w:r>
        <w:rPr>
          <w:rFonts w:hint="eastAsia" w:ascii="Times New Roman" w:cstheme="majorBidi"/>
          <w:color w:val="000000" w:themeColor="text1"/>
          <w:szCs w:val="21"/>
          <w:lang w:val="en-US" w:eastAsia="zh-CN"/>
          <w14:textFill>
            <w14:solidFill>
              <w14:schemeClr w14:val="tx1"/>
            </w14:solidFill>
          </w14:textFill>
        </w:rPr>
        <w:t>综合考虑影响茶树和茶叶生长的关键气象要素和指标，构建茶叶产地气候适宜度等级评价模型。</w:t>
      </w:r>
    </w:p>
    <w:p w14:paraId="704338B5">
      <w:pPr>
        <w:pStyle w:val="16"/>
        <w:spacing w:line="360" w:lineRule="auto"/>
        <w:rPr>
          <w:rFonts w:hint="eastAsia" w:ascii="Times New Roman" w:cstheme="majorBidi"/>
          <w:color w:val="000000" w:themeColor="text1"/>
          <w:szCs w:val="21"/>
          <w:lang w:val="en-US" w:eastAsia="zh-CN"/>
          <w14:textFill>
            <w14:solidFill>
              <w14:schemeClr w14:val="tx1"/>
            </w14:solidFill>
          </w14:textFill>
        </w:rPr>
      </w:pPr>
      <m:oMathPara>
        <m:oMath>
          <m:r>
            <m:rPr>
              <m:sty m:val="p"/>
            </m:rPr>
            <w:rPr>
              <w:rFonts w:hint="default" w:ascii="Cambria Math" w:hAnsi="Cambria Math" w:cstheme="majorBidi"/>
              <w:color w:val="000000" w:themeColor="text1"/>
              <w:szCs w:val="21"/>
              <w:lang w:val="en-US" w:eastAsia="zh-CN"/>
              <w14:textFill>
                <w14:solidFill>
                  <w14:schemeClr w14:val="tx1"/>
                </w14:solidFill>
              </w14:textFill>
            </w:rPr>
            <m:t>S</m:t>
          </m:r>
          <m:r>
            <m:rPr>
              <m:sty m:val="p"/>
            </m:rPr>
            <w:rPr>
              <w:rFonts w:hint="eastAsia" w:ascii="Cambria Math" w:hAnsi="Cambria Math" w:cstheme="majorBidi"/>
              <w:color w:val="000000" w:themeColor="text1"/>
              <w:szCs w:val="21"/>
              <w:lang w:val="en-US" w:eastAsia="zh-CN"/>
              <w14:textFill>
                <w14:solidFill>
                  <w14:schemeClr w14:val="tx1"/>
                </w14:solidFill>
              </w14:textFill>
            </w:rPr>
            <m:t>=</m:t>
          </m:r>
          <m:nary>
            <m:naryPr>
              <m:chr m:val="∑"/>
              <m:limLoc m:val="undOvr"/>
              <m:ctrlPr>
                <w:rPr>
                  <w:rFonts w:hint="eastAsia" w:ascii="Cambria Math" w:hAnsi="Cambria Math" w:cstheme="majorBidi"/>
                  <w:color w:val="000000" w:themeColor="text1"/>
                  <w:szCs w:val="21"/>
                  <w:lang w:val="en-US" w:eastAsia="zh-CN"/>
                  <w14:textFill>
                    <w14:solidFill>
                      <w14:schemeClr w14:val="tx1"/>
                    </w14:solidFill>
                  </w14:textFill>
                </w:rPr>
              </m:ctrlPr>
            </m:naryPr>
            <m:sub>
              <m:r>
                <m:rPr>
                  <m:sty m:val="p"/>
                </m:rPr>
                <w:rPr>
                  <w:rFonts w:hint="default" w:ascii="Cambria Math" w:hAnsi="Cambria Math" w:cstheme="majorBidi"/>
                  <w:color w:val="000000" w:themeColor="text1"/>
                  <w:szCs w:val="21"/>
                  <w:lang w:val="en-US" w:eastAsia="zh-CN"/>
                  <w14:textFill>
                    <w14:solidFill>
                      <w14:schemeClr w14:val="tx1"/>
                    </w14:solidFill>
                  </w14:textFill>
                </w:rPr>
                <m:t>i=1</m:t>
              </m:r>
              <m:ctrlPr>
                <w:rPr>
                  <w:rFonts w:hint="eastAsia" w:ascii="Cambria Math" w:hAnsi="Cambria Math" w:cstheme="majorBidi"/>
                  <w:color w:val="000000" w:themeColor="text1"/>
                  <w:szCs w:val="21"/>
                  <w:lang w:val="en-US" w:eastAsia="zh-CN"/>
                  <w14:textFill>
                    <w14:solidFill>
                      <w14:schemeClr w14:val="tx1"/>
                    </w14:solidFill>
                  </w14:textFill>
                </w:rPr>
              </m:ctrlPr>
            </m:sub>
            <m:sup>
              <m:r>
                <m:rPr>
                  <m:sty m:val="p"/>
                </m:rPr>
                <w:rPr>
                  <w:rFonts w:hint="default" w:ascii="Cambria Math" w:hAnsi="Cambria Math" w:cstheme="majorBidi"/>
                  <w:color w:val="000000" w:themeColor="text1"/>
                  <w:szCs w:val="21"/>
                  <w:lang w:val="en-US" w:eastAsia="zh-CN"/>
                  <w14:textFill>
                    <w14:solidFill>
                      <w14:schemeClr w14:val="tx1"/>
                    </w14:solidFill>
                  </w14:textFill>
                </w:rPr>
                <m:t>n</m:t>
              </m:r>
              <m:ctrlPr>
                <w:rPr>
                  <w:rFonts w:hint="eastAsia" w:ascii="Cambria Math" w:hAnsi="Cambria Math" w:cstheme="majorBidi"/>
                  <w:color w:val="000000" w:themeColor="text1"/>
                  <w:szCs w:val="21"/>
                  <w:lang w:val="en-US" w:eastAsia="zh-CN"/>
                  <w14:textFill>
                    <w14:solidFill>
                      <w14:schemeClr w14:val="tx1"/>
                    </w14:solidFill>
                  </w14:textFill>
                </w:rPr>
              </m:ctrlPr>
            </m:sup>
            <m:e>
              <m:sSub>
                <m:sSubPr>
                  <m:ctrlPr>
                    <w:rPr>
                      <w:rFonts w:hint="default" w:ascii="Cambria Math" w:hAnsi="Cambria Math" w:cstheme="majorBidi"/>
                      <w:color w:val="000000" w:themeColor="text1"/>
                      <w:szCs w:val="21"/>
                      <w:lang w:val="en-US" w:eastAsia="zh-CN"/>
                      <w14:textFill>
                        <w14:solidFill>
                          <w14:schemeClr w14:val="tx1"/>
                        </w14:solidFill>
                      </w14:textFill>
                    </w:rPr>
                  </m:ctrlPr>
                </m:sSubPr>
                <m:e>
                  <m:r>
                    <m:rPr>
                      <m:sty m:val="p"/>
                    </m:rPr>
                    <w:rPr>
                      <w:rFonts w:hint="default" w:ascii="Cambria Math" w:hAnsi="Cambria Math" w:cstheme="majorBidi"/>
                      <w:color w:val="000000" w:themeColor="text1"/>
                      <w:szCs w:val="21"/>
                      <w:lang w:val="en-US" w:eastAsia="zh-CN"/>
                      <w14:textFill>
                        <w14:solidFill>
                          <w14:schemeClr w14:val="tx1"/>
                        </w14:solidFill>
                      </w14:textFill>
                    </w:rPr>
                    <m:t>a</m:t>
                  </m:r>
                  <m:ctrlPr>
                    <w:rPr>
                      <w:rFonts w:hint="default" w:ascii="Cambria Math" w:hAnsi="Cambria Math" w:cstheme="majorBidi"/>
                      <w:color w:val="000000" w:themeColor="text1"/>
                      <w:szCs w:val="21"/>
                      <w:lang w:val="en-US" w:eastAsia="zh-CN"/>
                      <w14:textFill>
                        <w14:solidFill>
                          <w14:schemeClr w14:val="tx1"/>
                        </w14:solidFill>
                      </w14:textFill>
                    </w:rPr>
                  </m:ctrlPr>
                </m:e>
                <m:sub>
                  <m:r>
                    <m:rPr>
                      <m:sty m:val="p"/>
                    </m:rPr>
                    <w:rPr>
                      <w:rFonts w:hint="default" w:ascii="Cambria Math" w:hAnsi="Cambria Math" w:cstheme="majorBidi"/>
                      <w:color w:val="000000" w:themeColor="text1"/>
                      <w:szCs w:val="21"/>
                      <w:lang w:val="en-US" w:eastAsia="zh-CN"/>
                      <w14:textFill>
                        <w14:solidFill>
                          <w14:schemeClr w14:val="tx1"/>
                        </w14:solidFill>
                      </w14:textFill>
                    </w:rPr>
                    <m:t>i</m:t>
                  </m:r>
                  <m:ctrlPr>
                    <w:rPr>
                      <w:rFonts w:hint="default" w:ascii="Cambria Math" w:hAnsi="Cambria Math" w:cstheme="majorBidi"/>
                      <w:color w:val="000000" w:themeColor="text1"/>
                      <w:szCs w:val="21"/>
                      <w:lang w:val="en-US" w:eastAsia="zh-CN"/>
                      <w14:textFill>
                        <w14:solidFill>
                          <w14:schemeClr w14:val="tx1"/>
                        </w14:solidFill>
                      </w14:textFill>
                    </w:rPr>
                  </m:ctrlPr>
                </m:sub>
              </m:sSub>
              <m:sSub>
                <m:sSubPr>
                  <m:ctrlPr>
                    <w:rPr>
                      <w:rFonts w:hint="default" w:ascii="Cambria Math" w:hAnsi="Cambria Math" w:cstheme="majorBidi"/>
                      <w:color w:val="000000" w:themeColor="text1"/>
                      <w:szCs w:val="21"/>
                      <w:lang w:val="en-US" w:eastAsia="zh-CN"/>
                      <w14:textFill>
                        <w14:solidFill>
                          <w14:schemeClr w14:val="tx1"/>
                        </w14:solidFill>
                      </w14:textFill>
                    </w:rPr>
                  </m:ctrlPr>
                </m:sSubPr>
                <m:e>
                  <m:r>
                    <m:rPr>
                      <m:sty m:val="p"/>
                    </m:rPr>
                    <w:rPr>
                      <w:rFonts w:hint="default" w:ascii="Cambria Math" w:hAnsi="Cambria Math" w:cstheme="majorBidi"/>
                      <w:color w:val="000000" w:themeColor="text1"/>
                      <w:szCs w:val="21"/>
                      <w:lang w:val="en-US" w:eastAsia="zh-CN"/>
                      <w14:textFill>
                        <w14:solidFill>
                          <w14:schemeClr w14:val="tx1"/>
                        </w14:solidFill>
                      </w14:textFill>
                    </w:rPr>
                    <m:t>M</m:t>
                  </m:r>
                  <m:ctrlPr>
                    <w:rPr>
                      <w:rFonts w:hint="default" w:ascii="Cambria Math" w:hAnsi="Cambria Math" w:cstheme="majorBidi"/>
                      <w:color w:val="000000" w:themeColor="text1"/>
                      <w:szCs w:val="21"/>
                      <w:lang w:val="en-US" w:eastAsia="zh-CN"/>
                      <w14:textFill>
                        <w14:solidFill>
                          <w14:schemeClr w14:val="tx1"/>
                        </w14:solidFill>
                      </w14:textFill>
                    </w:rPr>
                  </m:ctrlPr>
                </m:e>
                <m:sub>
                  <m:r>
                    <m:rPr>
                      <m:sty m:val="p"/>
                    </m:rPr>
                    <w:rPr>
                      <w:rFonts w:hint="default" w:ascii="Cambria Math" w:hAnsi="Cambria Math" w:cstheme="majorBidi"/>
                      <w:color w:val="000000" w:themeColor="text1"/>
                      <w:szCs w:val="21"/>
                      <w:lang w:val="en-US" w:eastAsia="zh-CN"/>
                      <w14:textFill>
                        <w14:solidFill>
                          <w14:schemeClr w14:val="tx1"/>
                        </w14:solidFill>
                      </w14:textFill>
                    </w:rPr>
                    <m:t>i</m:t>
                  </m:r>
                  <m:ctrlPr>
                    <w:rPr>
                      <w:rFonts w:hint="default" w:ascii="Cambria Math" w:hAnsi="Cambria Math" w:cstheme="majorBidi"/>
                      <w:color w:val="000000" w:themeColor="text1"/>
                      <w:szCs w:val="21"/>
                      <w:lang w:val="en-US" w:eastAsia="zh-CN"/>
                      <w14:textFill>
                        <w14:solidFill>
                          <w14:schemeClr w14:val="tx1"/>
                        </w14:solidFill>
                      </w14:textFill>
                    </w:rPr>
                  </m:ctrlPr>
                </m:sub>
              </m:sSub>
              <m:ctrlPr>
                <w:rPr>
                  <w:rFonts w:hint="eastAsia" w:ascii="Cambria Math" w:hAnsi="Cambria Math" w:cstheme="majorBidi"/>
                  <w:color w:val="000000" w:themeColor="text1"/>
                  <w:szCs w:val="21"/>
                  <w:lang w:val="en-US" w:eastAsia="zh-CN"/>
                  <w14:textFill>
                    <w14:solidFill>
                      <w14:schemeClr w14:val="tx1"/>
                    </w14:solidFill>
                  </w14:textFill>
                </w:rPr>
              </m:ctrlPr>
            </m:e>
          </m:nary>
        </m:oMath>
      </m:oMathPara>
    </w:p>
    <w:p w14:paraId="1C22E244">
      <w:pPr>
        <w:pStyle w:val="16"/>
        <w:spacing w:line="360" w:lineRule="auto"/>
        <w:rPr>
          <w:rFonts w:hint="eastAsia" w:ascii="Times New Roman" w:cstheme="majorBidi"/>
          <w:color w:val="000000" w:themeColor="text1"/>
          <w:szCs w:val="21"/>
          <w:lang w:val="en-US" w:eastAsia="zh-CN"/>
          <w14:textFill>
            <w14:solidFill>
              <w14:schemeClr w14:val="tx1"/>
            </w14:solidFill>
          </w14:textFill>
        </w:rPr>
      </w:pPr>
      <w:r>
        <w:rPr>
          <w:rFonts w:hint="eastAsia" w:ascii="Times New Roman" w:cstheme="majorBidi"/>
          <w:color w:val="000000" w:themeColor="text1"/>
          <w:szCs w:val="21"/>
          <w:lang w:val="en-US" w:eastAsia="zh-CN"/>
          <w14:textFill>
            <w14:solidFill>
              <w14:schemeClr w14:val="tx1"/>
            </w14:solidFill>
          </w14:textFill>
        </w:rPr>
        <w:t>S为茶叶产地气候适宜度等级指数；</w:t>
      </w:r>
    </w:p>
    <w:p w14:paraId="3955D6CB">
      <w:pPr>
        <w:pStyle w:val="16"/>
        <w:spacing w:line="360" w:lineRule="auto"/>
        <w:rPr>
          <w:rFonts w:hint="eastAsia" w:ascii="Times New Roman" w:cstheme="majorBidi"/>
          <w:color w:val="000000" w:themeColor="text1"/>
          <w:szCs w:val="21"/>
          <w:lang w:val="en-US" w:eastAsia="zh-CN"/>
          <w14:textFill>
            <w14:solidFill>
              <w14:schemeClr w14:val="tx1"/>
            </w14:solidFill>
          </w14:textFill>
        </w:rPr>
      </w:pPr>
      <m:oMath>
        <m:sSub>
          <m:sSubPr>
            <m:ctrlPr>
              <w:rPr>
                <w:rFonts w:hint="default" w:ascii="Cambria Math" w:hAnsi="Cambria Math" w:cstheme="majorBidi"/>
                <w:color w:val="000000" w:themeColor="text1"/>
                <w:szCs w:val="21"/>
                <w:lang w:val="en-US" w:eastAsia="zh-CN"/>
                <w14:textFill>
                  <w14:solidFill>
                    <w14:schemeClr w14:val="tx1"/>
                  </w14:solidFill>
                </w14:textFill>
              </w:rPr>
            </m:ctrlPr>
          </m:sSubPr>
          <m:e>
            <m:r>
              <m:rPr>
                <m:sty m:val="p"/>
              </m:rPr>
              <w:rPr>
                <w:rFonts w:hint="default" w:ascii="Cambria Math" w:hAnsi="Cambria Math" w:cstheme="majorBidi"/>
                <w:color w:val="000000" w:themeColor="text1"/>
                <w:szCs w:val="21"/>
                <w:lang w:val="en-US" w:eastAsia="zh-CN"/>
                <w14:textFill>
                  <w14:solidFill>
                    <w14:schemeClr w14:val="tx1"/>
                  </w14:solidFill>
                </w14:textFill>
              </w:rPr>
              <m:t>M</m:t>
            </m:r>
            <m:ctrlPr>
              <w:rPr>
                <w:rFonts w:hint="default" w:ascii="Cambria Math" w:hAnsi="Cambria Math" w:cstheme="majorBidi"/>
                <w:color w:val="000000" w:themeColor="text1"/>
                <w:szCs w:val="21"/>
                <w:lang w:val="en-US" w:eastAsia="zh-CN"/>
                <w14:textFill>
                  <w14:solidFill>
                    <w14:schemeClr w14:val="tx1"/>
                  </w14:solidFill>
                </w14:textFill>
              </w:rPr>
            </m:ctrlPr>
          </m:e>
          <m:sub>
            <m:r>
              <m:rPr>
                <m:sty m:val="p"/>
              </m:rPr>
              <w:rPr>
                <w:rFonts w:hint="default" w:ascii="Cambria Math" w:hAnsi="Cambria Math" w:cstheme="majorBidi"/>
                <w:color w:val="000000" w:themeColor="text1"/>
                <w:szCs w:val="21"/>
                <w:lang w:val="en-US" w:eastAsia="zh-CN"/>
                <w14:textFill>
                  <w14:solidFill>
                    <w14:schemeClr w14:val="tx1"/>
                  </w14:solidFill>
                </w14:textFill>
              </w:rPr>
              <m:t>i</m:t>
            </m:r>
            <m:ctrlPr>
              <w:rPr>
                <w:rFonts w:hint="default" w:ascii="Cambria Math" w:hAnsi="Cambria Math" w:cstheme="majorBidi"/>
                <w:color w:val="000000" w:themeColor="text1"/>
                <w:szCs w:val="21"/>
                <w:lang w:val="en-US" w:eastAsia="zh-CN"/>
                <w14:textFill>
                  <w14:solidFill>
                    <w14:schemeClr w14:val="tx1"/>
                  </w14:solidFill>
                </w14:textFill>
              </w:rPr>
            </m:ctrlPr>
          </m:sub>
        </m:sSub>
      </m:oMath>
      <w:r>
        <w:rPr>
          <w:rFonts w:hint="eastAsia" w:ascii="Times New Roman" w:cstheme="majorBidi"/>
          <w:color w:val="000000" w:themeColor="text1"/>
          <w:szCs w:val="21"/>
          <w:lang w:val="en-US" w:eastAsia="zh-CN"/>
          <w14:textFill>
            <w14:solidFill>
              <w14:schemeClr w14:val="tx1"/>
            </w14:solidFill>
          </w14:textFill>
        </w:rPr>
        <w:t>为关键气象要素；</w:t>
      </w:r>
    </w:p>
    <w:p w14:paraId="32D8A528">
      <w:pPr>
        <w:pStyle w:val="16"/>
        <w:spacing w:line="360" w:lineRule="auto"/>
        <w:rPr>
          <w:rFonts w:hint="eastAsia" w:ascii="Times New Roman" w:cstheme="majorBidi"/>
          <w:color w:val="000000" w:themeColor="text1"/>
          <w:szCs w:val="21"/>
          <w:lang w:val="en-US" w:eastAsia="zh-CN"/>
          <w14:textFill>
            <w14:solidFill>
              <w14:schemeClr w14:val="tx1"/>
            </w14:solidFill>
          </w14:textFill>
        </w:rPr>
      </w:pPr>
      <m:oMath>
        <m:sSub>
          <m:sSubPr>
            <m:ctrlPr>
              <w:rPr>
                <w:rFonts w:hint="default" w:ascii="Cambria Math" w:hAnsi="Cambria Math" w:cstheme="majorBidi"/>
                <w:color w:val="000000" w:themeColor="text1"/>
                <w:szCs w:val="21"/>
                <w:lang w:val="en-US" w:eastAsia="zh-CN"/>
                <w14:textFill>
                  <w14:solidFill>
                    <w14:schemeClr w14:val="tx1"/>
                  </w14:solidFill>
                </w14:textFill>
              </w:rPr>
            </m:ctrlPr>
          </m:sSubPr>
          <m:e>
            <m:r>
              <m:rPr>
                <m:sty m:val="p"/>
              </m:rPr>
              <w:rPr>
                <w:rFonts w:hint="default" w:ascii="Cambria Math" w:hAnsi="Cambria Math" w:cstheme="majorBidi"/>
                <w:color w:val="000000" w:themeColor="text1"/>
                <w:szCs w:val="21"/>
                <w:lang w:val="en-US" w:eastAsia="zh-CN"/>
                <w14:textFill>
                  <w14:solidFill>
                    <w14:schemeClr w14:val="tx1"/>
                  </w14:solidFill>
                </w14:textFill>
              </w:rPr>
              <m:t>a</m:t>
            </m:r>
            <m:ctrlPr>
              <w:rPr>
                <w:rFonts w:hint="default" w:ascii="Cambria Math" w:hAnsi="Cambria Math" w:cstheme="majorBidi"/>
                <w:color w:val="000000" w:themeColor="text1"/>
                <w:szCs w:val="21"/>
                <w:lang w:val="en-US" w:eastAsia="zh-CN"/>
                <w14:textFill>
                  <w14:solidFill>
                    <w14:schemeClr w14:val="tx1"/>
                  </w14:solidFill>
                </w14:textFill>
              </w:rPr>
            </m:ctrlPr>
          </m:e>
          <m:sub>
            <m:r>
              <m:rPr>
                <m:sty m:val="p"/>
              </m:rPr>
              <w:rPr>
                <w:rFonts w:hint="default" w:ascii="Cambria Math" w:hAnsi="Cambria Math" w:cstheme="majorBidi"/>
                <w:color w:val="000000" w:themeColor="text1"/>
                <w:szCs w:val="21"/>
                <w:lang w:val="en-US" w:eastAsia="zh-CN"/>
                <w14:textFill>
                  <w14:solidFill>
                    <w14:schemeClr w14:val="tx1"/>
                  </w14:solidFill>
                </w14:textFill>
              </w:rPr>
              <m:t>i</m:t>
            </m:r>
            <m:ctrlPr>
              <w:rPr>
                <w:rFonts w:hint="default" w:ascii="Cambria Math" w:hAnsi="Cambria Math" w:cstheme="majorBidi"/>
                <w:color w:val="000000" w:themeColor="text1"/>
                <w:szCs w:val="21"/>
                <w:lang w:val="en-US" w:eastAsia="zh-CN"/>
                <w14:textFill>
                  <w14:solidFill>
                    <w14:schemeClr w14:val="tx1"/>
                  </w14:solidFill>
                </w14:textFill>
              </w:rPr>
            </m:ctrlPr>
          </m:sub>
        </m:sSub>
      </m:oMath>
      <w:r>
        <w:rPr>
          <w:rFonts w:hint="eastAsia" w:ascii="Times New Roman" w:cstheme="majorBidi"/>
          <w:color w:val="000000" w:themeColor="text1"/>
          <w:szCs w:val="21"/>
          <w:lang w:val="en-US" w:eastAsia="zh-CN"/>
          <w14:textFill>
            <w14:solidFill>
              <w14:schemeClr w14:val="tx1"/>
            </w14:solidFill>
          </w14:textFill>
        </w:rPr>
        <w:t>为权重系数。</w:t>
      </w:r>
    </w:p>
    <w:p w14:paraId="7060EB38">
      <w:pPr>
        <w:pStyle w:val="16"/>
        <w:spacing w:line="360" w:lineRule="auto"/>
        <w:rPr>
          <w:rFonts w:hint="eastAsia" w:ascii="Times New Roman" w:hAnsi="Times New Roman" w:eastAsia="宋体" w:cstheme="majorBidi"/>
          <w:color w:val="000000" w:themeColor="text1"/>
          <w:sz w:val="21"/>
          <w:szCs w:val="21"/>
          <w:highlight w:val="none"/>
          <w:lang w:val="en-US" w:eastAsia="zh-CN" w:bidi="ar-SA"/>
          <w14:textFill>
            <w14:solidFill>
              <w14:schemeClr w14:val="tx1"/>
            </w14:solidFill>
          </w14:textFill>
        </w:rPr>
      </w:pPr>
      <w:r>
        <w:rPr>
          <w:rFonts w:hint="eastAsia" w:ascii="Times New Roman" w:cstheme="majorBidi"/>
          <w:color w:val="000000" w:themeColor="text1"/>
          <w:szCs w:val="21"/>
          <w:lang w:val="en-US" w:eastAsia="zh-CN"/>
          <w14:textFill>
            <w14:solidFill>
              <w14:schemeClr w14:val="tx1"/>
            </w14:solidFill>
          </w14:textFill>
        </w:rPr>
        <w:t>茶叶产地气候适宜度等级评价</w:t>
      </w:r>
      <w:r>
        <w:rPr>
          <w:rFonts w:hint="eastAsia" w:ascii="Times New Roman" w:cstheme="majorBidi"/>
          <w:color w:val="000000" w:themeColor="text1"/>
          <w:szCs w:val="21"/>
          <w:highlight w:val="none"/>
          <w:lang w:val="en-US" w:eastAsia="zh-CN"/>
          <w14:textFill>
            <w14:solidFill>
              <w14:schemeClr w14:val="tx1"/>
            </w14:solidFill>
          </w14:textFill>
        </w:rPr>
        <w:t>关键气象要素指标及权重系数取值表见下表。适宜度取值反问、权重系数的定夺主要依据文献查阅、</w:t>
      </w:r>
      <w:r>
        <w:rPr>
          <w:rFonts w:hint="eastAsia" w:ascii="Times New Roman" w:hAnsi="Times New Roman" w:eastAsia="宋体" w:cstheme="majorBidi"/>
          <w:color w:val="000000" w:themeColor="text1"/>
          <w:sz w:val="21"/>
          <w:szCs w:val="21"/>
          <w:highlight w:val="none"/>
          <w:lang w:val="en-US" w:eastAsia="zh-CN" w:bidi="ar-SA"/>
          <w14:textFill>
            <w14:solidFill>
              <w14:schemeClr w14:val="tx1"/>
            </w14:solidFill>
          </w14:textFill>
        </w:rPr>
        <w:t>专家咨询和实际数据的统计分析。通过广泛查阅国内外相关的茶叶种植与气候关系的研究文献，了解不同气象要素对茶叶生长和品质形成的影响程度，以此作为初步确定适宜度取值范围和权重系数的参考。同时，组织茶叶种植专家、气象专家等进行咨询，结合他们丰富的实践经验和专业知识，对初步确定的取值范围和权重系数进行调整和完善。此外，</w:t>
      </w:r>
      <w:r>
        <w:rPr>
          <w:rFonts w:hint="eastAsia" w:ascii="Times New Roman" w:cstheme="majorBidi"/>
          <w:color w:val="000000" w:themeColor="text1"/>
          <w:sz w:val="21"/>
          <w:szCs w:val="21"/>
          <w:highlight w:val="none"/>
          <w:lang w:val="en-US" w:eastAsia="zh-CN" w:bidi="ar-SA"/>
          <w14:textFill>
            <w14:solidFill>
              <w14:schemeClr w14:val="tx1"/>
            </w14:solidFill>
          </w14:textFill>
        </w:rPr>
        <w:t>根据</w:t>
      </w:r>
      <w:r>
        <w:rPr>
          <w:rFonts w:hint="eastAsia" w:ascii="Times New Roman" w:hAnsi="Times New Roman" w:eastAsia="宋体" w:cstheme="majorBidi"/>
          <w:color w:val="000000" w:themeColor="text1"/>
          <w:sz w:val="21"/>
          <w:szCs w:val="21"/>
          <w:highlight w:val="none"/>
          <w:lang w:val="en-US" w:eastAsia="zh-CN" w:bidi="ar-SA"/>
          <w14:textFill>
            <w14:solidFill>
              <w14:schemeClr w14:val="tx1"/>
            </w14:solidFill>
          </w14:textFill>
        </w:rPr>
        <w:t>实际</w:t>
      </w:r>
      <w:r>
        <w:rPr>
          <w:rFonts w:hint="eastAsia" w:ascii="Times New Roman" w:cstheme="majorBidi"/>
          <w:color w:val="000000" w:themeColor="text1"/>
          <w:sz w:val="21"/>
          <w:szCs w:val="21"/>
          <w:highlight w:val="none"/>
          <w:lang w:val="en-US" w:eastAsia="zh-CN" w:bidi="ar-SA"/>
          <w14:textFill>
            <w14:solidFill>
              <w14:schemeClr w14:val="tx1"/>
            </w14:solidFill>
          </w14:textFill>
        </w:rPr>
        <w:t>多年</w:t>
      </w:r>
      <w:r>
        <w:rPr>
          <w:rFonts w:hint="eastAsia" w:ascii="Times New Roman" w:hAnsi="Times New Roman" w:eastAsia="宋体" w:cstheme="majorBidi"/>
          <w:color w:val="000000" w:themeColor="text1"/>
          <w:sz w:val="21"/>
          <w:szCs w:val="21"/>
          <w:highlight w:val="none"/>
          <w:lang w:val="en-US" w:eastAsia="zh-CN" w:bidi="ar-SA"/>
          <w14:textFill>
            <w14:solidFill>
              <w14:schemeClr w14:val="tx1"/>
            </w14:solidFill>
          </w14:textFill>
        </w:rPr>
        <w:t>茶叶</w:t>
      </w:r>
      <w:r>
        <w:rPr>
          <w:rFonts w:hint="eastAsia" w:ascii="Times New Roman" w:cstheme="majorBidi"/>
          <w:color w:val="000000" w:themeColor="text1"/>
          <w:sz w:val="21"/>
          <w:szCs w:val="21"/>
          <w:highlight w:val="none"/>
          <w:lang w:val="en-US" w:eastAsia="zh-CN" w:bidi="ar-SA"/>
          <w14:textFill>
            <w14:solidFill>
              <w14:schemeClr w14:val="tx1"/>
            </w14:solidFill>
          </w14:textFill>
        </w:rPr>
        <w:t>气候</w:t>
      </w:r>
      <w:r>
        <w:rPr>
          <w:rFonts w:hint="eastAsia" w:ascii="Times New Roman" w:hAnsi="Times New Roman" w:eastAsia="宋体" w:cstheme="majorBidi"/>
          <w:color w:val="000000" w:themeColor="text1"/>
          <w:sz w:val="21"/>
          <w:szCs w:val="21"/>
          <w:highlight w:val="none"/>
          <w:lang w:val="en-US" w:eastAsia="zh-CN" w:bidi="ar-SA"/>
          <w14:textFill>
            <w14:solidFill>
              <w14:schemeClr w14:val="tx1"/>
            </w14:solidFill>
          </w14:textFill>
        </w:rPr>
        <w:t>品质</w:t>
      </w:r>
      <w:r>
        <w:rPr>
          <w:rFonts w:hint="eastAsia" w:ascii="Times New Roman" w:cstheme="majorBidi"/>
          <w:color w:val="000000" w:themeColor="text1"/>
          <w:sz w:val="21"/>
          <w:szCs w:val="21"/>
          <w:highlight w:val="none"/>
          <w:lang w:val="en-US" w:eastAsia="zh-CN" w:bidi="ar-SA"/>
          <w14:textFill>
            <w14:solidFill>
              <w14:schemeClr w14:val="tx1"/>
            </w14:solidFill>
          </w14:textFill>
        </w:rPr>
        <w:t>评价工作所积累的实际</w:t>
      </w:r>
      <w:r>
        <w:rPr>
          <w:rFonts w:hint="eastAsia" w:ascii="Times New Roman" w:hAnsi="Times New Roman" w:eastAsia="宋体" w:cstheme="majorBidi"/>
          <w:color w:val="000000" w:themeColor="text1"/>
          <w:sz w:val="21"/>
          <w:szCs w:val="21"/>
          <w:highlight w:val="none"/>
          <w:lang w:val="en-US" w:eastAsia="zh-CN" w:bidi="ar-SA"/>
          <w14:textFill>
            <w14:solidFill>
              <w14:schemeClr w14:val="tx1"/>
            </w14:solidFill>
          </w14:textFill>
        </w:rPr>
        <w:t xml:space="preserve">数据，运用统计学方法进行深入分析，进一步验证和优化适宜度取值范围和权重系数。经过多轮的反复论证和调整，确保取值范围和权重系数能够准确反映气象要素与茶叶产地气候适宜度之间的关系，使评价模型具有较高的科学性和可靠性。 </w:t>
      </w:r>
    </w:p>
    <w:p w14:paraId="663E3187">
      <w:pPr>
        <w:pStyle w:val="16"/>
        <w:spacing w:line="360" w:lineRule="auto"/>
        <w:jc w:val="center"/>
        <w:rPr>
          <w:rFonts w:hint="eastAsia" w:ascii="Times New Roman" w:cstheme="majorBidi"/>
          <w:color w:val="000000" w:themeColor="text1"/>
          <w:szCs w:val="21"/>
          <w:lang w:val="en-US" w:eastAsia="zh-CN"/>
          <w14:textFill>
            <w14:solidFill>
              <w14:schemeClr w14:val="tx1"/>
            </w14:solidFill>
          </w14:textFill>
        </w:rPr>
      </w:pPr>
    </w:p>
    <w:p w14:paraId="421870EE">
      <w:pPr>
        <w:pStyle w:val="16"/>
        <w:spacing w:line="360" w:lineRule="auto"/>
        <w:jc w:val="center"/>
        <w:rPr>
          <w:rFonts w:hint="default" w:ascii="Times New Roman" w:cstheme="majorBidi"/>
          <w:color w:val="000000" w:themeColor="text1"/>
          <w:szCs w:val="21"/>
          <w:highlight w:val="yellow"/>
          <w:lang w:val="en-US" w:eastAsia="zh-CN"/>
          <w14:textFill>
            <w14:solidFill>
              <w14:schemeClr w14:val="tx1"/>
            </w14:solidFill>
          </w14:textFill>
        </w:rPr>
      </w:pPr>
      <w:r>
        <w:rPr>
          <w:rFonts w:hint="eastAsia" w:ascii="Times New Roman" w:cstheme="majorBidi"/>
          <w:color w:val="000000" w:themeColor="text1"/>
          <w:szCs w:val="21"/>
          <w:lang w:val="en-US" w:eastAsia="zh-CN"/>
          <w14:textFill>
            <w14:solidFill>
              <w14:schemeClr w14:val="tx1"/>
            </w14:solidFill>
          </w14:textFill>
        </w:rPr>
        <w:t>表1 茶叶产地气候适宜度等级评价</w:t>
      </w:r>
      <w:r>
        <w:rPr>
          <w:rFonts w:hint="eastAsia" w:ascii="Times New Roman" w:cstheme="majorBidi"/>
          <w:color w:val="000000" w:themeColor="text1"/>
          <w:szCs w:val="21"/>
          <w:highlight w:val="none"/>
          <w:lang w:val="en-US" w:eastAsia="zh-CN"/>
          <w14:textFill>
            <w14:solidFill>
              <w14:schemeClr w14:val="tx1"/>
            </w14:solidFill>
          </w14:textFill>
        </w:rPr>
        <w:t>关键气象要素指标及权重系数取值表</w:t>
      </w:r>
    </w:p>
    <w:tbl>
      <w:tblPr>
        <w:tblStyle w:val="8"/>
        <w:tblW w:w="97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5"/>
        <w:gridCol w:w="879"/>
        <w:gridCol w:w="653"/>
        <w:gridCol w:w="1993"/>
        <w:gridCol w:w="1491"/>
        <w:gridCol w:w="1819"/>
        <w:gridCol w:w="1384"/>
        <w:gridCol w:w="663"/>
      </w:tblGrid>
      <w:tr w14:paraId="6619B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5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36E0F33">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评价</w:t>
            </w:r>
          </w:p>
          <w:p w14:paraId="729A5AE8">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对象</w:t>
            </w:r>
          </w:p>
        </w:tc>
        <w:tc>
          <w:tcPr>
            <w:tcW w:w="87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5E39255">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要素</w:t>
            </w:r>
          </w:p>
          <w:p w14:paraId="3BEA3E52">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分类</w:t>
            </w:r>
          </w:p>
        </w:tc>
        <w:tc>
          <w:tcPr>
            <w:tcW w:w="65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33CD8B0">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要素</w:t>
            </w:r>
          </w:p>
          <w:p w14:paraId="75E74A65">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序号</w:t>
            </w:r>
          </w:p>
        </w:tc>
        <w:tc>
          <w:tcPr>
            <w:tcW w:w="199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6F0241">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要素名称</w:t>
            </w:r>
          </w:p>
        </w:tc>
        <w:tc>
          <w:tcPr>
            <w:tcW w:w="4694"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38BED884">
            <w:pPr>
              <w:keepNext w:val="0"/>
              <w:keepLines w:val="0"/>
              <w:pageBreakBefore w:val="0"/>
              <w:kinsoku/>
              <w:wordWrap/>
              <w:overflowPunct/>
              <w:topLinePunct w:val="0"/>
              <w:autoSpaceDE/>
              <w:autoSpaceDN/>
              <w:bidi w:val="0"/>
              <w:adjustRightInd w:val="0"/>
              <w:snapToGrid/>
              <w:spacing w:line="360" w:lineRule="exact"/>
              <w:jc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适宜度取值/要素指标范围</w:t>
            </w:r>
          </w:p>
        </w:tc>
        <w:tc>
          <w:tcPr>
            <w:tcW w:w="66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2C9C920">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要素</w:t>
            </w:r>
          </w:p>
          <w:p w14:paraId="1AB2B621">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权重</w:t>
            </w:r>
          </w:p>
        </w:tc>
      </w:tr>
      <w:tr w14:paraId="1871A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85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72426C9">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p>
        </w:tc>
        <w:tc>
          <w:tcPr>
            <w:tcW w:w="87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AF29DA5">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p>
        </w:tc>
        <w:tc>
          <w:tcPr>
            <w:tcW w:w="65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780725B">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p>
        </w:tc>
        <w:tc>
          <w:tcPr>
            <w:tcW w:w="199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ADB9336">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p>
        </w:tc>
        <w:tc>
          <w:tcPr>
            <w:tcW w:w="14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7D4E79">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8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13104E">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0.8</w:t>
            </w:r>
          </w:p>
        </w:tc>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0B8ADA">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0.5</w:t>
            </w:r>
          </w:p>
        </w:tc>
        <w:tc>
          <w:tcPr>
            <w:tcW w:w="66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5AA9CF5">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p>
        </w:tc>
      </w:tr>
      <w:tr w14:paraId="2A214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5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0C93D8A">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茶树</w:t>
            </w:r>
          </w:p>
          <w:p w14:paraId="74AF2400">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生长</w:t>
            </w:r>
          </w:p>
        </w:tc>
        <w:tc>
          <w:tcPr>
            <w:tcW w:w="879" w:type="dxa"/>
            <w:vMerge w:val="restart"/>
            <w:tcBorders>
              <w:top w:val="single" w:color="auto" w:sz="4" w:space="0"/>
              <w:left w:val="single" w:color="auto" w:sz="4" w:space="0"/>
              <w:right w:val="single" w:color="auto" w:sz="4" w:space="0"/>
            </w:tcBorders>
            <w:shd w:val="clear" w:color="auto" w:fill="auto"/>
            <w:noWrap/>
            <w:vAlign w:val="center"/>
          </w:tcPr>
          <w:p w14:paraId="6ABFD866">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气候</w:t>
            </w:r>
          </w:p>
          <w:p w14:paraId="79A9A920">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资源</w:t>
            </w:r>
          </w:p>
          <w:p w14:paraId="65B2F606">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总量</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3BA110">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99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8451ED">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default" w:hAnsi="Cambria Math" w:cstheme="majorBidi"/>
                <w:i w:val="0"/>
                <w:color w:val="000000" w:themeColor="text1"/>
                <w:sz w:val="21"/>
                <w:szCs w:val="21"/>
                <w:highlight w:val="none"/>
                <w:lang w:val="en-US" w:eastAsia="zh-CN" w:bidi="ar-SA"/>
                <w14:textFill>
                  <w14:solidFill>
                    <w14:schemeClr w14:val="tx1"/>
                  </w14:solidFill>
                </w14:textFill>
              </w:rPr>
            </w:pPr>
            <w:r>
              <w:rPr>
                <w:rFonts w:hint="eastAsia" w:ascii="宋体" w:hAnsi="宋体" w:cs="宋体"/>
                <w:i w:val="0"/>
                <w:iCs w:val="0"/>
                <w:color w:val="000000"/>
                <w:kern w:val="0"/>
                <w:sz w:val="18"/>
                <w:szCs w:val="18"/>
                <w:highlight w:val="none"/>
                <w:u w:val="none"/>
                <w:lang w:val="en-US" w:eastAsia="zh-CN" w:bidi="ar"/>
              </w:rPr>
              <w:t>年</w:t>
            </w:r>
            <w:r>
              <w:rPr>
                <w:rFonts w:hint="eastAsia" w:ascii="宋体" w:hAnsi="宋体" w:eastAsia="宋体" w:cs="宋体"/>
                <w:i w:val="0"/>
                <w:iCs w:val="0"/>
                <w:color w:val="000000"/>
                <w:kern w:val="0"/>
                <w:sz w:val="18"/>
                <w:szCs w:val="18"/>
                <w:highlight w:val="none"/>
                <w:u w:val="none"/>
                <w:lang w:val="en-US" w:eastAsia="zh-CN" w:bidi="ar"/>
              </w:rPr>
              <w:t>活动积温</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p>
          <w:p w14:paraId="679BA9AA">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default" w:ascii="宋体" w:hAnsi="宋体" w:eastAsia="宋体" w:cs="宋体"/>
                <w:i w:val="0"/>
                <w:iCs w:val="0"/>
                <w:color w:val="000000"/>
                <w:sz w:val="18"/>
                <w:szCs w:val="18"/>
                <w:highlight w:val="none"/>
                <w:u w:val="none"/>
                <w:lang w:val="en-US"/>
              </w:rPr>
            </w:pPr>
            <w:r>
              <w:rPr>
                <w:rFonts w:hint="eastAsia" w:hAnsi="Cambria Math" w:cstheme="majorBidi"/>
                <w:i w:val="0"/>
                <w:color w:val="000000" w:themeColor="text1"/>
                <w:sz w:val="21"/>
                <w:szCs w:val="21"/>
                <w:highlight w:val="none"/>
                <w:lang w:val="en-US" w:eastAsia="zh-CN" w:bidi="ar-SA"/>
                <w14:textFill>
                  <w14:solidFill>
                    <w14:schemeClr w14:val="tx1"/>
                  </w14:solidFill>
                </w14:textFill>
              </w:rPr>
              <w:t>（℃.d）</w:t>
            </w:r>
          </w:p>
        </w:tc>
        <w:tc>
          <w:tcPr>
            <w:tcW w:w="14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6A2EA7">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4400≤</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6600</w:t>
            </w:r>
          </w:p>
        </w:tc>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14:paraId="736526DA">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4100≤</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4400</w:t>
            </w:r>
            <w:r>
              <w:rPr>
                <w:rFonts w:hint="eastAsia" w:ascii="宋体" w:hAnsi="宋体" w:cs="宋体"/>
                <w:i w:val="0"/>
                <w:iCs w:val="0"/>
                <w:color w:val="000000"/>
                <w:kern w:val="0"/>
                <w:sz w:val="18"/>
                <w:szCs w:val="18"/>
                <w:highlight w:val="none"/>
                <w:u w:val="none"/>
                <w:lang w:val="en-US" w:eastAsia="zh-CN" w:bidi="ar"/>
              </w:rPr>
              <w:t>或</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6600≤</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7000</w:t>
            </w:r>
          </w:p>
        </w:tc>
        <w:tc>
          <w:tcPr>
            <w:tcW w:w="1384" w:type="dxa"/>
            <w:tcBorders>
              <w:top w:val="single" w:color="auto" w:sz="4" w:space="0"/>
              <w:left w:val="single" w:color="auto" w:sz="4" w:space="0"/>
              <w:bottom w:val="single" w:color="auto" w:sz="4" w:space="0"/>
              <w:right w:val="single" w:color="auto" w:sz="4" w:space="0"/>
            </w:tcBorders>
            <w:shd w:val="clear" w:color="auto" w:fill="auto"/>
            <w:vAlign w:val="center"/>
          </w:tcPr>
          <w:p w14:paraId="36C2030F">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eastAsia="宋体" w:cs="宋体"/>
                <w:i w:val="0"/>
                <w:iCs w:val="0"/>
                <w:color w:val="000000"/>
                <w:kern w:val="0"/>
                <w:sz w:val="18"/>
                <w:szCs w:val="18"/>
                <w:highlight w:val="none"/>
                <w:u w:val="none"/>
                <w:lang w:val="en-US" w:eastAsia="zh-CN" w:bidi="ar"/>
              </w:rPr>
              <w:t>＜4100</w:t>
            </w:r>
            <w:r>
              <w:rPr>
                <w:rFonts w:hint="eastAsia" w:ascii="宋体" w:hAnsi="宋体" w:cs="宋体"/>
                <w:i w:val="0"/>
                <w:iCs w:val="0"/>
                <w:color w:val="000000"/>
                <w:kern w:val="0"/>
                <w:sz w:val="18"/>
                <w:szCs w:val="18"/>
                <w:highlight w:val="none"/>
                <w:u w:val="none"/>
                <w:lang w:val="en-US" w:eastAsia="zh-CN" w:bidi="ar"/>
              </w:rPr>
              <w:t>或</w:t>
            </w:r>
            <w:r>
              <w:rPr>
                <w:rFonts w:hint="eastAsia" w:ascii="宋体" w:hAnsi="宋体" w:eastAsia="宋体" w:cs="宋体"/>
                <w:i w:val="0"/>
                <w:iCs w:val="0"/>
                <w:color w:val="000000"/>
                <w:kern w:val="0"/>
                <w:sz w:val="18"/>
                <w:szCs w:val="18"/>
                <w:highlight w:val="none"/>
                <w:u w:val="none"/>
                <w:lang w:val="en-US" w:eastAsia="zh-CN" w:bidi="ar"/>
              </w:rPr>
              <w:br w:type="textWrapping"/>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7000</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5470C0">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35880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5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E49792B">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879" w:type="dxa"/>
            <w:vMerge w:val="continue"/>
            <w:tcBorders>
              <w:left w:val="single" w:color="auto" w:sz="4" w:space="0"/>
              <w:right w:val="single" w:color="auto" w:sz="4" w:space="0"/>
            </w:tcBorders>
            <w:shd w:val="clear" w:color="auto" w:fill="auto"/>
            <w:noWrap/>
            <w:vAlign w:val="center"/>
          </w:tcPr>
          <w:p w14:paraId="332F6E8A">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ED00F1">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99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A001B7">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default" w:hAnsi="Cambria Math" w:cstheme="majorBidi"/>
                <w:i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highlight w:val="none"/>
                <w:u w:val="none"/>
                <w:lang w:val="en-US" w:eastAsia="zh-CN" w:bidi="ar"/>
              </w:rPr>
              <w:t>年日照时数</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2</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p>
          <w:p w14:paraId="311D4D25">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default" w:ascii="宋体" w:hAnsi="宋体" w:eastAsia="宋体" w:cs="宋体"/>
                <w:i w:val="0"/>
                <w:iCs w:val="0"/>
                <w:color w:val="000000"/>
                <w:sz w:val="18"/>
                <w:szCs w:val="18"/>
                <w:highlight w:val="none"/>
                <w:u w:val="none"/>
                <w:lang w:val="en-US"/>
              </w:rPr>
            </w:pPr>
            <w:r>
              <w:rPr>
                <w:rFonts w:hint="eastAsia" w:hAnsi="Cambria Math" w:cstheme="majorBidi"/>
                <w:i w:val="0"/>
                <w:color w:val="000000" w:themeColor="text1"/>
                <w:sz w:val="21"/>
                <w:szCs w:val="21"/>
                <w:highlight w:val="none"/>
                <w:lang w:val="en-US" w:eastAsia="zh-CN" w:bidi="ar-SA"/>
                <w14:textFill>
                  <w14:solidFill>
                    <w14:schemeClr w14:val="tx1"/>
                  </w14:solidFill>
                </w14:textFill>
              </w:rPr>
              <w:t>（小时）</w:t>
            </w:r>
          </w:p>
        </w:tc>
        <w:tc>
          <w:tcPr>
            <w:tcW w:w="14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0EE4F7">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2</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2000</w:t>
            </w:r>
          </w:p>
        </w:tc>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14:paraId="148482A0">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2</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1000</w:t>
            </w:r>
            <w:r>
              <w:rPr>
                <w:rFonts w:hint="eastAsia" w:ascii="宋体" w:hAnsi="宋体" w:cs="宋体"/>
                <w:i w:val="0"/>
                <w:iCs w:val="0"/>
                <w:color w:val="000000"/>
                <w:kern w:val="0"/>
                <w:sz w:val="18"/>
                <w:szCs w:val="18"/>
                <w:highlight w:val="none"/>
                <w:u w:val="none"/>
                <w:lang w:val="en-US" w:eastAsia="zh-CN" w:bidi="ar"/>
              </w:rPr>
              <w:t>或</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2000≤</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2</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2500</w:t>
            </w:r>
          </w:p>
        </w:tc>
        <w:tc>
          <w:tcPr>
            <w:tcW w:w="1384" w:type="dxa"/>
            <w:tcBorders>
              <w:top w:val="single" w:color="auto" w:sz="4" w:space="0"/>
              <w:left w:val="single" w:color="auto" w:sz="4" w:space="0"/>
              <w:bottom w:val="single" w:color="auto" w:sz="4" w:space="0"/>
              <w:right w:val="single" w:color="auto" w:sz="4" w:space="0"/>
            </w:tcBorders>
            <w:shd w:val="clear" w:color="auto" w:fill="auto"/>
            <w:vAlign w:val="center"/>
          </w:tcPr>
          <w:p w14:paraId="2633492A">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2</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800</w:t>
            </w:r>
            <w:r>
              <w:rPr>
                <w:rFonts w:hint="eastAsia" w:ascii="宋体" w:hAnsi="宋体" w:cs="宋体"/>
                <w:i w:val="0"/>
                <w:iCs w:val="0"/>
                <w:color w:val="000000"/>
                <w:kern w:val="0"/>
                <w:sz w:val="18"/>
                <w:szCs w:val="18"/>
                <w:highlight w:val="none"/>
                <w:u w:val="none"/>
                <w:lang w:val="en-US" w:eastAsia="zh-CN" w:bidi="ar"/>
              </w:rPr>
              <w:t>或</w:t>
            </w:r>
            <w:r>
              <w:rPr>
                <w:rFonts w:hint="eastAsia" w:ascii="宋体" w:hAnsi="宋体" w:eastAsia="宋体" w:cs="宋体"/>
                <w:i w:val="0"/>
                <w:iCs w:val="0"/>
                <w:color w:val="000000"/>
                <w:kern w:val="0"/>
                <w:sz w:val="18"/>
                <w:szCs w:val="18"/>
                <w:highlight w:val="none"/>
                <w:u w:val="none"/>
                <w:lang w:val="en-US" w:eastAsia="zh-CN" w:bidi="ar"/>
              </w:rPr>
              <w:br w:type="textWrapping"/>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2</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2500</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BBC4C0">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6B598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5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C05025F">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879" w:type="dxa"/>
            <w:vMerge w:val="continue"/>
            <w:tcBorders>
              <w:left w:val="single" w:color="auto" w:sz="4" w:space="0"/>
              <w:bottom w:val="single" w:color="auto" w:sz="4" w:space="0"/>
              <w:right w:val="single" w:color="auto" w:sz="4" w:space="0"/>
            </w:tcBorders>
            <w:shd w:val="clear" w:color="auto" w:fill="auto"/>
            <w:noWrap/>
            <w:vAlign w:val="center"/>
          </w:tcPr>
          <w:p w14:paraId="58C9B667">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5C4E93">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99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2329A7">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default" w:hAnsi="Cambria Math" w:cstheme="majorBidi"/>
                <w:i w:val="0"/>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highlight w:val="none"/>
                <w:u w:val="none"/>
                <w:lang w:val="en-US" w:eastAsia="zh-CN" w:bidi="ar"/>
              </w:rPr>
              <w:t>年降雨量</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3</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p>
          <w:p w14:paraId="4D06AAF4">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hAnsi="Cambria Math" w:cstheme="majorBidi"/>
                <w:i w:val="0"/>
                <w:color w:val="000000" w:themeColor="text1"/>
                <w:sz w:val="21"/>
                <w:szCs w:val="21"/>
                <w:highlight w:val="none"/>
                <w:lang w:val="en-US" w:eastAsia="zh-CN" w:bidi="ar-SA"/>
                <w14:textFill>
                  <w14:solidFill>
                    <w14:schemeClr w14:val="tx1"/>
                  </w14:solidFill>
                </w14:textFill>
              </w:rPr>
              <w:t>（毫米）</w:t>
            </w:r>
          </w:p>
        </w:tc>
        <w:tc>
          <w:tcPr>
            <w:tcW w:w="14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7F657B">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3</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1600</w:t>
            </w:r>
          </w:p>
        </w:tc>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14:paraId="4A75E75C">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3</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1000</w:t>
            </w:r>
            <w:r>
              <w:rPr>
                <w:rFonts w:hint="eastAsia" w:ascii="宋体" w:hAnsi="宋体" w:cs="宋体"/>
                <w:i w:val="0"/>
                <w:iCs w:val="0"/>
                <w:color w:val="000000"/>
                <w:kern w:val="0"/>
                <w:sz w:val="18"/>
                <w:szCs w:val="18"/>
                <w:highlight w:val="none"/>
                <w:u w:val="none"/>
                <w:lang w:val="en-US" w:eastAsia="zh-CN" w:bidi="ar"/>
              </w:rPr>
              <w:t>或</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1600≤</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3</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1800</w:t>
            </w:r>
          </w:p>
        </w:tc>
        <w:tc>
          <w:tcPr>
            <w:tcW w:w="1384" w:type="dxa"/>
            <w:tcBorders>
              <w:top w:val="single" w:color="auto" w:sz="4" w:space="0"/>
              <w:left w:val="single" w:color="auto" w:sz="4" w:space="0"/>
              <w:bottom w:val="single" w:color="auto" w:sz="4" w:space="0"/>
              <w:right w:val="single" w:color="auto" w:sz="4" w:space="0"/>
            </w:tcBorders>
            <w:shd w:val="clear" w:color="auto" w:fill="auto"/>
            <w:vAlign w:val="center"/>
          </w:tcPr>
          <w:p w14:paraId="750EA52B">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3</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800</w:t>
            </w:r>
            <w:r>
              <w:rPr>
                <w:rFonts w:hint="eastAsia" w:ascii="宋体" w:hAnsi="宋体" w:cs="宋体"/>
                <w:i w:val="0"/>
                <w:iCs w:val="0"/>
                <w:color w:val="000000"/>
                <w:kern w:val="0"/>
                <w:sz w:val="18"/>
                <w:szCs w:val="18"/>
                <w:highlight w:val="none"/>
                <w:u w:val="none"/>
                <w:lang w:val="en-US" w:eastAsia="zh-CN" w:bidi="ar"/>
              </w:rPr>
              <w:t>或</w:t>
            </w:r>
            <w:r>
              <w:rPr>
                <w:rFonts w:hint="eastAsia" w:ascii="宋体" w:hAnsi="宋体" w:eastAsia="宋体" w:cs="宋体"/>
                <w:i w:val="0"/>
                <w:iCs w:val="0"/>
                <w:color w:val="000000"/>
                <w:kern w:val="0"/>
                <w:sz w:val="18"/>
                <w:szCs w:val="18"/>
                <w:highlight w:val="none"/>
                <w:u w:val="none"/>
                <w:lang w:val="en-US" w:eastAsia="zh-CN" w:bidi="ar"/>
              </w:rPr>
              <w:br w:type="textWrapping"/>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3</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1800</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F7600C">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37A46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5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4961994">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p>
        </w:tc>
        <w:tc>
          <w:tcPr>
            <w:tcW w:w="87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F84CCB">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不利</w:t>
            </w:r>
          </w:p>
          <w:p w14:paraId="56813CDD">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气象</w:t>
            </w:r>
          </w:p>
          <w:p w14:paraId="6A32F079">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条件</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1DC845">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99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DBB327">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极端高温-超过37℃有效积温</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4</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（℃.d）</w:t>
            </w:r>
          </w:p>
        </w:tc>
        <w:tc>
          <w:tcPr>
            <w:tcW w:w="14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5DA337">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4</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1</w:t>
            </w:r>
          </w:p>
        </w:tc>
        <w:tc>
          <w:tcPr>
            <w:tcW w:w="18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FD6075">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1</w:t>
            </w:r>
            <w:r>
              <w:rPr>
                <w:rFonts w:hint="eastAsia" w:ascii="宋体" w:hAnsi="宋体" w:eastAsia="宋体" w:cs="宋体"/>
                <w:i w:val="0"/>
                <w:iCs w:val="0"/>
                <w:color w:val="000000"/>
                <w:kern w:val="0"/>
                <w:sz w:val="18"/>
                <w:szCs w:val="18"/>
                <w:highlight w:val="none"/>
                <w:u w:val="none"/>
                <w:lang w:val="en-US" w:eastAsia="zh-CN" w:bidi="ar"/>
              </w:rPr>
              <w:t>≤</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4</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10</w:t>
            </w:r>
          </w:p>
        </w:tc>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D83D56">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4</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10</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EF4C2B">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2ABF4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5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890ADAC">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87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1482B81">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BC8395">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99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204689">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极端低温-低于-2℃负积温</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5</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（℃.d）</w:t>
            </w:r>
          </w:p>
        </w:tc>
        <w:tc>
          <w:tcPr>
            <w:tcW w:w="14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DA316D">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5</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-6</w:t>
            </w:r>
          </w:p>
        </w:tc>
        <w:tc>
          <w:tcPr>
            <w:tcW w:w="18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3D75A5">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r>
              <w:rPr>
                <w:rFonts w:hint="eastAsia" w:ascii="宋体" w:hAnsi="宋体" w:cs="宋体"/>
                <w:i w:val="0"/>
                <w:iCs w:val="0"/>
                <w:color w:val="000000"/>
                <w:kern w:val="0"/>
                <w:sz w:val="18"/>
                <w:szCs w:val="18"/>
                <w:highlight w:val="none"/>
                <w:u w:val="none"/>
                <w:lang w:val="en-US" w:eastAsia="zh-CN" w:bidi="ar"/>
              </w:rPr>
              <w:t>＞</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5</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-12</w:t>
            </w:r>
          </w:p>
        </w:tc>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268736">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5</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-12</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CAE2BD">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322D6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5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9F863FF">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87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4AC3FA5">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012A61">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99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12317F">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bookmarkStart w:id="3" w:name="OLE_LINK34"/>
            <w:r>
              <w:rPr>
                <w:rFonts w:hint="eastAsia" w:ascii="宋体" w:hAnsi="宋体" w:eastAsia="宋体" w:cs="宋体"/>
                <w:i w:val="0"/>
                <w:iCs w:val="0"/>
                <w:color w:val="000000"/>
                <w:kern w:val="0"/>
                <w:sz w:val="18"/>
                <w:szCs w:val="18"/>
                <w:highlight w:val="none"/>
                <w:u w:val="none"/>
                <w:lang w:val="en-US" w:eastAsia="zh-CN" w:bidi="ar"/>
              </w:rPr>
              <w:t>干旱强度</w:t>
            </w:r>
            <w:bookmarkEnd w:id="3"/>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指数小于-0.5</w:t>
            </w:r>
            <w:r>
              <w:rPr>
                <w:rFonts w:hint="eastAsia" w:ascii="宋体" w:hAnsi="宋体" w:cs="宋体"/>
                <w:i w:val="0"/>
                <w:iCs w:val="0"/>
                <w:color w:val="000000"/>
                <w:kern w:val="0"/>
                <w:sz w:val="18"/>
                <w:szCs w:val="18"/>
                <w:highlight w:val="none"/>
                <w:u w:val="none"/>
                <w:lang w:val="en-US" w:eastAsia="zh-CN" w:bidi="ar"/>
              </w:rPr>
              <w:t>（重旱）</w:t>
            </w:r>
            <w:r>
              <w:rPr>
                <w:rFonts w:hint="eastAsia" w:ascii="宋体" w:hAnsi="宋体" w:eastAsia="宋体" w:cs="宋体"/>
                <w:i w:val="0"/>
                <w:iCs w:val="0"/>
                <w:color w:val="000000"/>
                <w:kern w:val="0"/>
                <w:sz w:val="18"/>
                <w:szCs w:val="18"/>
                <w:highlight w:val="none"/>
                <w:u w:val="none"/>
                <w:lang w:val="en-US" w:eastAsia="zh-CN" w:bidi="ar"/>
              </w:rPr>
              <w:t>累积值</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6</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p>
        </w:tc>
        <w:tc>
          <w:tcPr>
            <w:tcW w:w="14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CD5403">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6</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-2</w:t>
            </w:r>
          </w:p>
        </w:tc>
        <w:tc>
          <w:tcPr>
            <w:tcW w:w="18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0B7E19">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cs="宋体"/>
                <w:i w:val="0"/>
                <w:iCs w:val="0"/>
                <w:color w:val="000000"/>
                <w:kern w:val="0"/>
                <w:sz w:val="18"/>
                <w:szCs w:val="18"/>
                <w:highlight w:val="none"/>
                <w:u w:val="none"/>
                <w:lang w:val="en-US" w:eastAsia="zh-CN" w:bidi="ar"/>
              </w:rPr>
              <w:t>≥</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6</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-5</w:t>
            </w:r>
          </w:p>
        </w:tc>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F5F17B">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6</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-5</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6C7544">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0B034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5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AACCD91">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87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B58F813">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EA5328">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99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AE38DF">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冰雹</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7</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（天）</w:t>
            </w:r>
          </w:p>
        </w:tc>
        <w:tc>
          <w:tcPr>
            <w:tcW w:w="14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4DA4A4">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default" w:ascii="宋体" w:hAnsi="宋体" w:eastAsia="宋体" w:cs="宋体"/>
                <w:i w:val="0"/>
                <w:iCs w:val="0"/>
                <w:color w:val="000000"/>
                <w:sz w:val="18"/>
                <w:szCs w:val="18"/>
                <w:highlight w:val="none"/>
                <w:u w:val="none"/>
                <w:lang w:val="en-US"/>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7</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=0</w:t>
            </w:r>
          </w:p>
        </w:tc>
        <w:tc>
          <w:tcPr>
            <w:tcW w:w="18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E47271">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cs="宋体"/>
                <w:i w:val="0"/>
                <w:iCs w:val="0"/>
                <w:color w:val="000000"/>
                <w:kern w:val="0"/>
                <w:sz w:val="18"/>
                <w:szCs w:val="18"/>
                <w:highlight w:val="none"/>
                <w:u w:val="none"/>
                <w:lang w:val="en-US" w:eastAsia="zh-CN" w:bidi="ar"/>
              </w:rPr>
              <w:t>1</w:t>
            </w:r>
            <w:r>
              <w:rPr>
                <w:rFonts w:hint="eastAsia" w:ascii="宋体" w:hAnsi="宋体" w:eastAsia="宋体" w:cs="宋体"/>
                <w:i w:val="0"/>
                <w:iCs w:val="0"/>
                <w:color w:val="000000"/>
                <w:kern w:val="0"/>
                <w:sz w:val="18"/>
                <w:szCs w:val="18"/>
                <w:highlight w:val="none"/>
                <w:u w:val="none"/>
                <w:lang w:val="en-US" w:eastAsia="zh-CN" w:bidi="ar"/>
              </w:rPr>
              <w:t>≤</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7</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＜5</w:t>
            </w:r>
          </w:p>
        </w:tc>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001FAF">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7</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5</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89A37E">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2A1AB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5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181120A">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叶</w:t>
            </w:r>
            <w:r>
              <w:rPr>
                <w:rFonts w:hint="eastAsia" w:ascii="宋体" w:hAnsi="宋体" w:cs="宋体"/>
                <w:i w:val="0"/>
                <w:iCs w:val="0"/>
                <w:color w:val="000000"/>
                <w:kern w:val="0"/>
                <w:sz w:val="18"/>
                <w:szCs w:val="18"/>
                <w:highlight w:val="none"/>
                <w:u w:val="none"/>
                <w:lang w:val="en-US" w:eastAsia="zh-CN" w:bidi="ar"/>
              </w:rPr>
              <w:t>芽</w:t>
            </w:r>
          </w:p>
          <w:p w14:paraId="58820444">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生长</w:t>
            </w:r>
          </w:p>
        </w:tc>
        <w:tc>
          <w:tcPr>
            <w:tcW w:w="87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57606DF">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气象</w:t>
            </w:r>
          </w:p>
          <w:p w14:paraId="0F0F439F">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条件</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18FEB9">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8-1</w:t>
            </w:r>
          </w:p>
        </w:tc>
        <w:tc>
          <w:tcPr>
            <w:tcW w:w="199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BDAA78">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日平均气温-春茶</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8</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p>
        </w:tc>
        <w:tc>
          <w:tcPr>
            <w:tcW w:w="14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5143F8">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8</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15</w:t>
            </w:r>
          </w:p>
        </w:tc>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14:paraId="11B2EF04">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r>
              <w:rPr>
                <w:rFonts w:hint="eastAsia" w:ascii="宋体" w:hAnsi="宋体" w:cs="宋体"/>
                <w:i w:val="0"/>
                <w:iCs w:val="0"/>
                <w:color w:val="000000"/>
                <w:kern w:val="0"/>
                <w:sz w:val="18"/>
                <w:szCs w:val="18"/>
                <w:highlight w:val="none"/>
                <w:u w:val="none"/>
                <w:lang w:val="en-US" w:eastAsia="zh-CN" w:bidi="ar"/>
              </w:rPr>
              <w:t>0</w:t>
            </w:r>
            <w:r>
              <w:rPr>
                <w:rFonts w:hint="eastAsia" w:ascii="宋体" w:hAnsi="宋体" w:eastAsia="宋体" w:cs="宋体"/>
                <w:i w:val="0"/>
                <w:iCs w:val="0"/>
                <w:color w:val="000000"/>
                <w:kern w:val="0"/>
                <w:sz w:val="18"/>
                <w:szCs w:val="18"/>
                <w:highlight w:val="none"/>
                <w:u w:val="none"/>
                <w:lang w:val="en-US" w:eastAsia="zh-CN" w:bidi="ar"/>
              </w:rPr>
              <w:t>≤</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8</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1</w:t>
            </w:r>
            <w:r>
              <w:rPr>
                <w:rFonts w:hint="eastAsia" w:ascii="宋体" w:hAnsi="宋体" w:cs="宋体"/>
                <w:i w:val="0"/>
                <w:iCs w:val="0"/>
                <w:color w:val="000000"/>
                <w:kern w:val="0"/>
                <w:sz w:val="18"/>
                <w:szCs w:val="18"/>
                <w:highlight w:val="none"/>
                <w:u w:val="none"/>
                <w:lang w:val="en-US" w:eastAsia="zh-CN" w:bidi="ar"/>
              </w:rPr>
              <w:t>2或</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15≤</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8</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18</w:t>
            </w:r>
          </w:p>
        </w:tc>
        <w:tc>
          <w:tcPr>
            <w:tcW w:w="1384" w:type="dxa"/>
            <w:tcBorders>
              <w:top w:val="single" w:color="auto" w:sz="4" w:space="0"/>
              <w:left w:val="single" w:color="auto" w:sz="4" w:space="0"/>
              <w:bottom w:val="single" w:color="auto" w:sz="4" w:space="0"/>
              <w:right w:val="single" w:color="auto" w:sz="4" w:space="0"/>
            </w:tcBorders>
            <w:shd w:val="clear" w:color="auto" w:fill="auto"/>
            <w:vAlign w:val="center"/>
          </w:tcPr>
          <w:p w14:paraId="08267C57">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cs="宋体"/>
                <w:i w:val="0"/>
                <w:iCs w:val="0"/>
                <w:color w:val="000000"/>
                <w:kern w:val="0"/>
                <w:sz w:val="18"/>
                <w:szCs w:val="18"/>
                <w:highlight w:val="none"/>
                <w:u w:val="none"/>
                <w:lang w:val="en-US" w:eastAsia="zh-CN" w:bidi="ar"/>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8</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10</w:t>
            </w:r>
            <w:r>
              <w:rPr>
                <w:rFonts w:hint="eastAsia" w:ascii="宋体" w:hAnsi="宋体" w:cs="宋体"/>
                <w:i w:val="0"/>
                <w:iCs w:val="0"/>
                <w:color w:val="000000"/>
                <w:kern w:val="0"/>
                <w:sz w:val="18"/>
                <w:szCs w:val="18"/>
                <w:highlight w:val="none"/>
                <w:u w:val="none"/>
                <w:lang w:val="en-US" w:eastAsia="zh-CN" w:bidi="ar"/>
              </w:rPr>
              <w:t>或</w:t>
            </w:r>
          </w:p>
          <w:p w14:paraId="477FFD25">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8</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18</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525093">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15C6B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5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0DE2213">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87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F484DA9">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F55DD6">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8-2</w:t>
            </w:r>
          </w:p>
        </w:tc>
        <w:tc>
          <w:tcPr>
            <w:tcW w:w="199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8BDE9D">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日平均气温-夏茶</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8</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p>
        </w:tc>
        <w:tc>
          <w:tcPr>
            <w:tcW w:w="14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60299D">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8</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22</w:t>
            </w:r>
          </w:p>
        </w:tc>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14:paraId="6BA55990">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8</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16</w:t>
            </w:r>
            <w:r>
              <w:rPr>
                <w:rFonts w:hint="eastAsia" w:ascii="宋体" w:hAnsi="宋体" w:cs="宋体"/>
                <w:i w:val="0"/>
                <w:iCs w:val="0"/>
                <w:color w:val="000000"/>
                <w:kern w:val="0"/>
                <w:sz w:val="18"/>
                <w:szCs w:val="18"/>
                <w:highlight w:val="none"/>
                <w:u w:val="none"/>
                <w:lang w:val="en-US" w:eastAsia="zh-CN" w:bidi="ar"/>
              </w:rPr>
              <w:t>或</w:t>
            </w:r>
            <w:r>
              <w:rPr>
                <w:rFonts w:hint="eastAsia" w:ascii="宋体" w:hAnsi="宋体" w:eastAsia="宋体" w:cs="宋体"/>
                <w:i w:val="0"/>
                <w:iCs w:val="0"/>
                <w:color w:val="000000"/>
                <w:kern w:val="0"/>
                <w:sz w:val="18"/>
                <w:szCs w:val="18"/>
                <w:highlight w:val="none"/>
                <w:u w:val="none"/>
                <w:lang w:val="en-US" w:eastAsia="zh-CN" w:bidi="ar"/>
              </w:rPr>
              <w:t>22≤</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8</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24</w:t>
            </w:r>
          </w:p>
        </w:tc>
        <w:tc>
          <w:tcPr>
            <w:tcW w:w="1384" w:type="dxa"/>
            <w:tcBorders>
              <w:top w:val="single" w:color="auto" w:sz="4" w:space="0"/>
              <w:left w:val="single" w:color="auto" w:sz="4" w:space="0"/>
              <w:bottom w:val="single" w:color="auto" w:sz="4" w:space="0"/>
              <w:right w:val="single" w:color="auto" w:sz="4" w:space="0"/>
            </w:tcBorders>
            <w:shd w:val="clear" w:color="auto" w:fill="auto"/>
            <w:vAlign w:val="center"/>
          </w:tcPr>
          <w:p w14:paraId="27DD42B6">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cs="宋体"/>
                <w:i w:val="0"/>
                <w:iCs w:val="0"/>
                <w:color w:val="000000"/>
                <w:kern w:val="0"/>
                <w:sz w:val="18"/>
                <w:szCs w:val="18"/>
                <w:highlight w:val="none"/>
                <w:u w:val="none"/>
                <w:lang w:val="en-US" w:eastAsia="zh-CN" w:bidi="ar"/>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8</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14</w:t>
            </w:r>
            <w:r>
              <w:rPr>
                <w:rFonts w:hint="eastAsia" w:ascii="宋体" w:hAnsi="宋体" w:cs="宋体"/>
                <w:i w:val="0"/>
                <w:iCs w:val="0"/>
                <w:color w:val="000000"/>
                <w:kern w:val="0"/>
                <w:sz w:val="18"/>
                <w:szCs w:val="18"/>
                <w:highlight w:val="none"/>
                <w:u w:val="none"/>
                <w:lang w:val="en-US" w:eastAsia="zh-CN" w:bidi="ar"/>
              </w:rPr>
              <w:t>或</w:t>
            </w:r>
          </w:p>
          <w:p w14:paraId="25505AD2">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8</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24</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AA98C8">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7E381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5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E7EDD71">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87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B70F915">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348880">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8-3</w:t>
            </w:r>
          </w:p>
        </w:tc>
        <w:tc>
          <w:tcPr>
            <w:tcW w:w="199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5E5F93">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日平均气温-秋茶</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8</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p>
        </w:tc>
        <w:tc>
          <w:tcPr>
            <w:tcW w:w="14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D66DE1">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8</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21</w:t>
            </w:r>
          </w:p>
        </w:tc>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14:paraId="17F03079">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8</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15</w:t>
            </w:r>
            <w:r>
              <w:rPr>
                <w:rFonts w:hint="eastAsia" w:ascii="宋体" w:hAnsi="宋体" w:cs="宋体"/>
                <w:i w:val="0"/>
                <w:iCs w:val="0"/>
                <w:color w:val="000000"/>
                <w:kern w:val="0"/>
                <w:sz w:val="18"/>
                <w:szCs w:val="18"/>
                <w:highlight w:val="none"/>
                <w:u w:val="none"/>
                <w:lang w:val="en-US" w:eastAsia="zh-CN" w:bidi="ar"/>
              </w:rPr>
              <w:t>或</w:t>
            </w:r>
            <w:r>
              <w:rPr>
                <w:rFonts w:hint="eastAsia" w:ascii="宋体" w:hAnsi="宋体" w:eastAsia="宋体" w:cs="宋体"/>
                <w:i w:val="0"/>
                <w:iCs w:val="0"/>
                <w:color w:val="000000"/>
                <w:kern w:val="0"/>
                <w:sz w:val="18"/>
                <w:szCs w:val="18"/>
                <w:highlight w:val="none"/>
                <w:u w:val="none"/>
                <w:lang w:val="en-US" w:eastAsia="zh-CN" w:bidi="ar"/>
              </w:rPr>
              <w:t>21≤</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8</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23</w:t>
            </w:r>
          </w:p>
        </w:tc>
        <w:tc>
          <w:tcPr>
            <w:tcW w:w="1384" w:type="dxa"/>
            <w:tcBorders>
              <w:top w:val="single" w:color="auto" w:sz="4" w:space="0"/>
              <w:left w:val="single" w:color="auto" w:sz="4" w:space="0"/>
              <w:bottom w:val="single" w:color="auto" w:sz="4" w:space="0"/>
              <w:right w:val="single" w:color="auto" w:sz="4" w:space="0"/>
            </w:tcBorders>
            <w:shd w:val="clear" w:color="auto" w:fill="auto"/>
            <w:vAlign w:val="center"/>
          </w:tcPr>
          <w:p w14:paraId="50338CD8">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cs="宋体"/>
                <w:i w:val="0"/>
                <w:iCs w:val="0"/>
                <w:color w:val="000000"/>
                <w:kern w:val="0"/>
                <w:sz w:val="18"/>
                <w:szCs w:val="18"/>
                <w:highlight w:val="none"/>
                <w:u w:val="none"/>
                <w:lang w:val="en-US" w:eastAsia="zh-CN" w:bidi="ar"/>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8</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13</w:t>
            </w:r>
            <w:r>
              <w:rPr>
                <w:rFonts w:hint="eastAsia" w:ascii="宋体" w:hAnsi="宋体" w:cs="宋体"/>
                <w:i w:val="0"/>
                <w:iCs w:val="0"/>
                <w:color w:val="000000"/>
                <w:kern w:val="0"/>
                <w:sz w:val="18"/>
                <w:szCs w:val="18"/>
                <w:highlight w:val="none"/>
                <w:u w:val="none"/>
                <w:lang w:val="en-US" w:eastAsia="zh-CN" w:bidi="ar"/>
              </w:rPr>
              <w:t>或</w:t>
            </w:r>
          </w:p>
          <w:p w14:paraId="122E1E1C">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8</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23</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6C63B1">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3A4B5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5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4492107">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87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6717BF0">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D2CD98">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99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25989F">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日均日照</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9</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（小时）</w:t>
            </w:r>
          </w:p>
        </w:tc>
        <w:tc>
          <w:tcPr>
            <w:tcW w:w="14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B84589">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9</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4</w:t>
            </w:r>
          </w:p>
        </w:tc>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14:paraId="3D57953B">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9</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cs="宋体"/>
                <w:i w:val="0"/>
                <w:iCs w:val="0"/>
                <w:color w:val="000000"/>
                <w:kern w:val="0"/>
                <w:sz w:val="18"/>
                <w:szCs w:val="18"/>
                <w:highlight w:val="none"/>
                <w:u w:val="none"/>
                <w:lang w:val="en-US" w:eastAsia="zh-CN" w:bidi="ar"/>
              </w:rPr>
              <w:t>或</w:t>
            </w:r>
          </w:p>
          <w:p w14:paraId="2E460AFF">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9</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5</w:t>
            </w:r>
          </w:p>
        </w:tc>
        <w:tc>
          <w:tcPr>
            <w:tcW w:w="1384" w:type="dxa"/>
            <w:tcBorders>
              <w:top w:val="single" w:color="auto" w:sz="4" w:space="0"/>
              <w:left w:val="single" w:color="auto" w:sz="4" w:space="0"/>
              <w:bottom w:val="single" w:color="auto" w:sz="4" w:space="0"/>
              <w:right w:val="single" w:color="auto" w:sz="4" w:space="0"/>
            </w:tcBorders>
            <w:shd w:val="clear" w:color="auto" w:fill="auto"/>
            <w:vAlign w:val="center"/>
          </w:tcPr>
          <w:p w14:paraId="6A26735A">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cs="宋体"/>
                <w:i w:val="0"/>
                <w:iCs w:val="0"/>
                <w:color w:val="000000"/>
                <w:kern w:val="0"/>
                <w:sz w:val="18"/>
                <w:szCs w:val="18"/>
                <w:highlight w:val="none"/>
                <w:u w:val="none"/>
                <w:lang w:val="en-US" w:eastAsia="zh-CN" w:bidi="ar"/>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9</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1</w:t>
            </w:r>
            <w:r>
              <w:rPr>
                <w:rFonts w:hint="eastAsia" w:ascii="宋体" w:hAnsi="宋体" w:cs="宋体"/>
                <w:i w:val="0"/>
                <w:iCs w:val="0"/>
                <w:color w:val="000000"/>
                <w:kern w:val="0"/>
                <w:sz w:val="18"/>
                <w:szCs w:val="18"/>
                <w:highlight w:val="none"/>
                <w:u w:val="none"/>
                <w:lang w:val="en-US" w:eastAsia="zh-CN" w:bidi="ar"/>
              </w:rPr>
              <w:t>或</w:t>
            </w:r>
          </w:p>
          <w:p w14:paraId="325E4E33">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9</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5</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2D75DD">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17F78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5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5BD9CB5">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p>
        </w:tc>
        <w:tc>
          <w:tcPr>
            <w:tcW w:w="87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998AE57">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D0DC19">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99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67BD9E">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日均降水</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10</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（毫米）</w:t>
            </w:r>
          </w:p>
        </w:tc>
        <w:tc>
          <w:tcPr>
            <w:tcW w:w="14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19EE99">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10</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4</w:t>
            </w:r>
          </w:p>
        </w:tc>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14:paraId="5430D332">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10</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cs="宋体"/>
                <w:i w:val="0"/>
                <w:iCs w:val="0"/>
                <w:color w:val="000000"/>
                <w:kern w:val="0"/>
                <w:sz w:val="18"/>
                <w:szCs w:val="18"/>
                <w:highlight w:val="none"/>
                <w:u w:val="none"/>
                <w:lang w:val="en-US" w:eastAsia="zh-CN" w:bidi="ar"/>
              </w:rPr>
              <w:t>或</w:t>
            </w:r>
          </w:p>
          <w:p w14:paraId="18CA3514">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10</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5</w:t>
            </w:r>
          </w:p>
        </w:tc>
        <w:tc>
          <w:tcPr>
            <w:tcW w:w="1384" w:type="dxa"/>
            <w:tcBorders>
              <w:top w:val="single" w:color="auto" w:sz="4" w:space="0"/>
              <w:left w:val="single" w:color="auto" w:sz="4" w:space="0"/>
              <w:bottom w:val="single" w:color="auto" w:sz="4" w:space="0"/>
              <w:right w:val="single" w:color="auto" w:sz="4" w:space="0"/>
            </w:tcBorders>
            <w:shd w:val="clear" w:color="auto" w:fill="auto"/>
            <w:vAlign w:val="center"/>
          </w:tcPr>
          <w:p w14:paraId="19C10BF5">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cs="宋体"/>
                <w:i w:val="0"/>
                <w:iCs w:val="0"/>
                <w:color w:val="000000"/>
                <w:kern w:val="0"/>
                <w:sz w:val="18"/>
                <w:szCs w:val="18"/>
                <w:highlight w:val="none"/>
                <w:u w:val="none"/>
                <w:lang w:val="en-US" w:eastAsia="zh-CN" w:bidi="ar"/>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10</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1</w:t>
            </w:r>
            <w:r>
              <w:rPr>
                <w:rFonts w:hint="eastAsia" w:ascii="宋体" w:hAnsi="宋体" w:cs="宋体"/>
                <w:i w:val="0"/>
                <w:iCs w:val="0"/>
                <w:color w:val="000000"/>
                <w:kern w:val="0"/>
                <w:sz w:val="18"/>
                <w:szCs w:val="18"/>
                <w:highlight w:val="none"/>
                <w:u w:val="none"/>
                <w:lang w:val="en-US" w:eastAsia="zh-CN" w:bidi="ar"/>
              </w:rPr>
              <w:t>或</w:t>
            </w:r>
          </w:p>
          <w:p w14:paraId="4B0C8FA6">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10</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5</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A4981A">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03448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5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2035284">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87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A09D136">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不利气象条件</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B0848A">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99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612AD4">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霜冻</w:t>
            </w:r>
            <w:r>
              <w:rPr>
                <w:rFonts w:hint="eastAsia" w:ascii="宋体" w:hAnsi="宋体" w:cs="宋体"/>
                <w:i w:val="0"/>
                <w:iCs w:val="0"/>
                <w:color w:val="000000"/>
                <w:kern w:val="0"/>
                <w:sz w:val="18"/>
                <w:szCs w:val="18"/>
                <w:highlight w:val="none"/>
                <w:u w:val="none"/>
                <w:lang w:val="en-US" w:eastAsia="zh-CN" w:bidi="ar"/>
              </w:rPr>
              <w:t>：最低气</w:t>
            </w:r>
            <w:r>
              <w:rPr>
                <w:rFonts w:hint="eastAsia" w:ascii="宋体" w:hAnsi="宋体" w:eastAsia="宋体" w:cs="宋体"/>
                <w:i w:val="0"/>
                <w:iCs w:val="0"/>
                <w:color w:val="000000"/>
                <w:kern w:val="0"/>
                <w:sz w:val="18"/>
                <w:szCs w:val="18"/>
                <w:highlight w:val="none"/>
                <w:u w:val="none"/>
                <w:lang w:val="en-US" w:eastAsia="zh-CN" w:bidi="ar"/>
              </w:rPr>
              <w:t>温低于2℃负积温</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11</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（℃.d）</w:t>
            </w:r>
          </w:p>
        </w:tc>
        <w:tc>
          <w:tcPr>
            <w:tcW w:w="14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0EF776">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11</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-4</w:t>
            </w:r>
          </w:p>
        </w:tc>
        <w:tc>
          <w:tcPr>
            <w:tcW w:w="18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3C4003">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r>
              <w:rPr>
                <w:rFonts w:hint="eastAsia" w:ascii="宋体" w:hAnsi="宋体" w:cs="宋体"/>
                <w:i w:val="0"/>
                <w:iCs w:val="0"/>
                <w:color w:val="000000"/>
                <w:kern w:val="0"/>
                <w:sz w:val="18"/>
                <w:szCs w:val="18"/>
                <w:highlight w:val="none"/>
                <w:u w:val="none"/>
                <w:lang w:val="en-US" w:eastAsia="zh-CN" w:bidi="ar"/>
              </w:rPr>
              <w:t>≥</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11</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-10</w:t>
            </w:r>
          </w:p>
        </w:tc>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C112E4">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default" w:ascii="宋体" w:hAnsi="宋体" w:eastAsia="宋体" w:cs="宋体"/>
                <w:i w:val="0"/>
                <w:iCs w:val="0"/>
                <w:color w:val="000000"/>
                <w:sz w:val="18"/>
                <w:szCs w:val="18"/>
                <w:highlight w:val="none"/>
                <w:u w:val="none"/>
                <w:lang w:val="en-US"/>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11</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-1</w:t>
            </w:r>
            <w:r>
              <w:rPr>
                <w:rFonts w:hint="eastAsia" w:ascii="宋体" w:hAnsi="宋体" w:cs="宋体"/>
                <w:i w:val="0"/>
                <w:iCs w:val="0"/>
                <w:color w:val="000000"/>
                <w:kern w:val="0"/>
                <w:sz w:val="18"/>
                <w:szCs w:val="18"/>
                <w:highlight w:val="none"/>
                <w:u w:val="none"/>
                <w:lang w:val="en-US" w:eastAsia="zh-CN" w:bidi="ar"/>
              </w:rPr>
              <w:t>0</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C113B9">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r>
      <w:tr w14:paraId="0A760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5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A029C48">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87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E24BD0A">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E7B33F">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99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EAA1B6">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干旱</w:t>
            </w:r>
            <w:r>
              <w:rPr>
                <w:rFonts w:hint="eastAsia" w:ascii="宋体" w:hAnsi="宋体" w:cs="宋体"/>
                <w:i w:val="0"/>
                <w:iCs w:val="0"/>
                <w:color w:val="000000"/>
                <w:kern w:val="0"/>
                <w:sz w:val="18"/>
                <w:szCs w:val="18"/>
                <w:highlight w:val="none"/>
                <w:u w:val="none"/>
                <w:lang w:val="en-US" w:eastAsia="zh-CN" w:bidi="ar"/>
              </w:rPr>
              <w:t>强度：</w:t>
            </w:r>
            <w:r>
              <w:rPr>
                <w:rFonts w:hint="eastAsia" w:ascii="宋体" w:hAnsi="宋体" w:eastAsia="宋体" w:cs="宋体"/>
                <w:i w:val="0"/>
                <w:iCs w:val="0"/>
                <w:color w:val="000000"/>
                <w:kern w:val="0"/>
                <w:sz w:val="18"/>
                <w:szCs w:val="18"/>
                <w:highlight w:val="none"/>
                <w:u w:val="none"/>
                <w:lang w:val="en-US" w:eastAsia="zh-CN" w:bidi="ar"/>
              </w:rPr>
              <w:t>指数小于-0.25</w:t>
            </w:r>
            <w:r>
              <w:rPr>
                <w:rFonts w:hint="eastAsia" w:ascii="宋体" w:hAnsi="宋体" w:cs="宋体"/>
                <w:i w:val="0"/>
                <w:iCs w:val="0"/>
                <w:color w:val="000000"/>
                <w:kern w:val="0"/>
                <w:sz w:val="18"/>
                <w:szCs w:val="18"/>
                <w:highlight w:val="none"/>
                <w:u w:val="none"/>
                <w:lang w:val="en-US" w:eastAsia="zh-CN" w:bidi="ar"/>
              </w:rPr>
              <w:t>（中旱）</w:t>
            </w:r>
            <w:r>
              <w:rPr>
                <w:rFonts w:hint="eastAsia" w:ascii="宋体" w:hAnsi="宋体" w:eastAsia="宋体" w:cs="宋体"/>
                <w:i w:val="0"/>
                <w:iCs w:val="0"/>
                <w:color w:val="000000"/>
                <w:kern w:val="0"/>
                <w:sz w:val="18"/>
                <w:szCs w:val="18"/>
                <w:highlight w:val="none"/>
                <w:u w:val="none"/>
                <w:lang w:val="en-US" w:eastAsia="zh-CN" w:bidi="ar"/>
              </w:rPr>
              <w:t>累积值</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12</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p>
        </w:tc>
        <w:tc>
          <w:tcPr>
            <w:tcW w:w="14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32F776">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12</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-1</w:t>
            </w:r>
          </w:p>
        </w:tc>
        <w:tc>
          <w:tcPr>
            <w:tcW w:w="18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F34F3B">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r>
              <w:rPr>
                <w:rFonts w:hint="eastAsia" w:ascii="宋体" w:hAnsi="宋体" w:cs="宋体"/>
                <w:i w:val="0"/>
                <w:iCs w:val="0"/>
                <w:color w:val="000000"/>
                <w:kern w:val="0"/>
                <w:sz w:val="18"/>
                <w:szCs w:val="18"/>
                <w:highlight w:val="none"/>
                <w:u w:val="none"/>
                <w:lang w:val="en-US" w:eastAsia="zh-CN" w:bidi="ar"/>
              </w:rPr>
              <w:t>≥</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12</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-2.5</w:t>
            </w:r>
          </w:p>
        </w:tc>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736750">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12</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-2.5</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204423">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r>
      <w:tr w14:paraId="2AED6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5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76FC6DC">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87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408E617">
            <w:pPr>
              <w:keepNext w:val="0"/>
              <w:keepLines w:val="0"/>
              <w:pageBreakBefore w:val="0"/>
              <w:kinsoku/>
              <w:wordWrap/>
              <w:overflowPunct/>
              <w:topLinePunct w:val="0"/>
              <w:autoSpaceDE/>
              <w:autoSpaceDN/>
              <w:bidi w:val="0"/>
              <w:adjustRightInd w:val="0"/>
              <w:snapToGrid/>
              <w:spacing w:line="360" w:lineRule="exact"/>
              <w:jc w:val="center"/>
              <w:rPr>
                <w:rFonts w:hint="eastAsia" w:ascii="宋体" w:hAnsi="宋体" w:eastAsia="宋体" w:cs="宋体"/>
                <w:i w:val="0"/>
                <w:iCs w:val="0"/>
                <w:color w:val="000000"/>
                <w:sz w:val="18"/>
                <w:szCs w:val="18"/>
                <w:highlight w:val="none"/>
                <w:u w:val="none"/>
              </w:rPr>
            </w:pP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561E05">
            <w:pPr>
              <w:keepNext w:val="0"/>
              <w:keepLines w:val="0"/>
              <w:pageBreakBefore w:val="0"/>
              <w:widowControl/>
              <w:suppressLineNumbers w:val="0"/>
              <w:kinsoku/>
              <w:wordWrap/>
              <w:overflowPunct/>
              <w:topLinePunct w:val="0"/>
              <w:autoSpaceDE/>
              <w:autoSpaceDN/>
              <w:bidi w:val="0"/>
              <w:adjustRightInd w:val="0"/>
              <w:snapToGrid/>
              <w:spacing w:line="360" w:lineRule="exact"/>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199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BB2EC2">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高温</w:t>
            </w:r>
            <w:r>
              <w:rPr>
                <w:rFonts w:hint="eastAsia" w:ascii="宋体" w:hAnsi="宋体" w:cs="宋体"/>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最高气温超过30℃有效积温</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13</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（℃.d）</w:t>
            </w:r>
          </w:p>
        </w:tc>
        <w:tc>
          <w:tcPr>
            <w:tcW w:w="14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921CD8">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13</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0</w:t>
            </w:r>
          </w:p>
        </w:tc>
        <w:tc>
          <w:tcPr>
            <w:tcW w:w="18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AF63E9">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w:t>
            </w:r>
            <w:r>
              <w:rPr>
                <w:rFonts w:hint="eastAsia" w:ascii="宋体" w:hAnsi="宋体" w:cs="宋体"/>
                <w:i w:val="0"/>
                <w:iCs w:val="0"/>
                <w:color w:val="000000"/>
                <w:kern w:val="0"/>
                <w:sz w:val="18"/>
                <w:szCs w:val="18"/>
                <w:highlight w:val="none"/>
                <w:u w:val="none"/>
                <w:lang w:val="en-US" w:eastAsia="zh-CN" w:bidi="ar"/>
              </w:rPr>
              <w:t>＜</w:t>
            </w: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13</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10</w:t>
            </w:r>
          </w:p>
        </w:tc>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0233EC">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m:oMath>
              <m:sSub>
                <m:sSubP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SubPr>
                <m:e>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M</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e>
                <m:sub>
                  <m:r>
                    <m:rPr/>
                    <w:rPr>
                      <w:rFonts w:hint="default" w:ascii="Cambria Math" w:hAnsi="Cambria Math" w:cstheme="majorBidi"/>
                      <w:color w:val="000000" w:themeColor="text1"/>
                      <w:sz w:val="21"/>
                      <w:szCs w:val="21"/>
                      <w:highlight w:val="none"/>
                      <w:lang w:val="en-US" w:eastAsia="zh-CN" w:bidi="ar-SA"/>
                      <w14:textFill>
                        <w14:solidFill>
                          <w14:schemeClr w14:val="tx1"/>
                        </w14:solidFill>
                      </w14:textFill>
                    </w:rPr>
                    <m:t>13</m:t>
                  </m:r>
                  <m:ctrlPr>
                    <w:rPr>
                      <w:rFonts w:hint="default" w:ascii="Cambria Math" w:hAnsi="Cambria Math" w:cstheme="majorBidi"/>
                      <w:i/>
                      <w:color w:val="000000" w:themeColor="text1"/>
                      <w:sz w:val="21"/>
                      <w:szCs w:val="21"/>
                      <w:highlight w:val="none"/>
                      <w:lang w:val="en-US" w:eastAsia="zh-CN" w:bidi="ar-SA"/>
                      <w14:textFill>
                        <w14:solidFill>
                          <w14:schemeClr w14:val="tx1"/>
                        </w14:solidFill>
                      </w14:textFill>
                    </w:rPr>
                  </m:ctrlPr>
                </m:sub>
              </m:sSub>
            </m:oMath>
            <w:r>
              <w:rPr>
                <w:rFonts w:hint="eastAsia" w:hAnsi="Cambria Math" w:cstheme="majorBidi"/>
                <w:i w:val="0"/>
                <w:color w:val="000000" w:themeColor="text1"/>
                <w:sz w:val="21"/>
                <w:szCs w:val="21"/>
                <w:highlight w:val="none"/>
                <w:lang w:val="en-US" w:eastAsia="zh-CN" w:bidi="ar-SA"/>
                <w14:textFill>
                  <w14:solidFill>
                    <w14:schemeClr w14:val="tx1"/>
                  </w14:solidFill>
                </w14:textFill>
              </w:rPr>
              <w:t>≥</w:t>
            </w:r>
            <w:r>
              <w:rPr>
                <w:rFonts w:hint="eastAsia" w:ascii="宋体" w:hAnsi="宋体" w:eastAsia="宋体" w:cs="宋体"/>
                <w:i w:val="0"/>
                <w:iCs w:val="0"/>
                <w:color w:val="000000"/>
                <w:kern w:val="0"/>
                <w:sz w:val="18"/>
                <w:szCs w:val="18"/>
                <w:highlight w:val="none"/>
                <w:u w:val="none"/>
                <w:lang w:val="en-US" w:eastAsia="zh-CN" w:bidi="ar"/>
              </w:rPr>
              <w:t>10</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4E8561">
            <w:pPr>
              <w:keepNext w:val="0"/>
              <w:keepLines w:val="0"/>
              <w:pageBreakBefore w:val="0"/>
              <w:widowControl/>
              <w:suppressLineNumbers w:val="0"/>
              <w:kinsoku/>
              <w:wordWrap/>
              <w:overflowPunct/>
              <w:topLinePunct w:val="0"/>
              <w:autoSpaceDE/>
              <w:autoSpaceDN/>
              <w:bidi w:val="0"/>
              <w:adjustRightInd w:val="0"/>
              <w:snapToGrid/>
              <w:spacing w:line="360" w:lineRule="exact"/>
              <w:jc w:val="both"/>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bl>
    <w:p w14:paraId="231815ED">
      <w:pPr>
        <w:pStyle w:val="16"/>
        <w:spacing w:line="360" w:lineRule="auto"/>
        <w:ind w:left="0" w:leftChars="0" w:firstLine="0" w:firstLineChars="0"/>
        <w:rPr>
          <w:rFonts w:hint="default" w:ascii="Times New Roman" w:cstheme="majorBidi"/>
          <w:color w:val="000000" w:themeColor="text1"/>
          <w:szCs w:val="21"/>
          <w:lang w:val="en-US" w:eastAsia="zh-CN"/>
          <w14:textFill>
            <w14:solidFill>
              <w14:schemeClr w14:val="tx1"/>
            </w14:solidFill>
          </w14:textFill>
        </w:rPr>
      </w:pPr>
      <w:r>
        <w:rPr>
          <w:rFonts w:hint="eastAsia" w:ascii="宋体" w:hAnsi="宋体" w:eastAsia="宋体" w:cs="宋体"/>
          <w:i w:val="0"/>
          <w:iCs w:val="0"/>
          <w:color w:val="000000"/>
          <w:kern w:val="0"/>
          <w:sz w:val="18"/>
          <w:szCs w:val="18"/>
          <w:highlight w:val="none"/>
          <w:u w:val="none"/>
          <w:lang w:val="en-US" w:eastAsia="zh-CN" w:bidi="ar"/>
        </w:rPr>
        <w:t>注：茶树生长统计时段为全年，叶芽生长时段根据具体茶叶生长情况确定。</w:t>
      </w:r>
    </w:p>
    <w:p w14:paraId="47562061">
      <w:pPr>
        <w:pStyle w:val="16"/>
        <w:spacing w:line="360" w:lineRule="auto"/>
        <w:rPr>
          <w:rFonts w:hint="default" w:ascii="Times New Roman" w:cstheme="majorBidi"/>
          <w:color w:val="000000" w:themeColor="text1"/>
          <w:szCs w:val="21"/>
          <w:lang w:val="en-US" w:eastAsia="zh-CN"/>
          <w14:textFill>
            <w14:solidFill>
              <w14:schemeClr w14:val="tx1"/>
            </w14:solidFill>
          </w14:textFill>
        </w:rPr>
      </w:pPr>
    </w:p>
    <w:bookmarkEnd w:id="2"/>
    <w:p w14:paraId="69BC3FA0">
      <w:pPr>
        <w:pStyle w:val="16"/>
        <w:spacing w:line="360" w:lineRule="auto"/>
        <w:rPr>
          <w:rFonts w:hint="eastAsia" w:ascii="Times New Roman" w:cstheme="majorBidi"/>
          <w:color w:val="000000" w:themeColor="text1"/>
          <w:szCs w:val="21"/>
          <w:highlight w:val="none"/>
          <w:lang w:val="en-US" w:eastAsia="zh-CN"/>
          <w14:textFill>
            <w14:solidFill>
              <w14:schemeClr w14:val="tx1"/>
            </w14:solidFill>
          </w14:textFill>
        </w:rPr>
      </w:pPr>
      <w:r>
        <w:rPr>
          <w:rFonts w:hint="eastAsia" w:ascii="Times New Roman" w:cstheme="majorBidi"/>
          <w:color w:val="000000" w:themeColor="text1"/>
          <w:szCs w:val="21"/>
          <w:lang w:val="en-US" w:eastAsia="zh-CN"/>
          <w14:textFill>
            <w14:solidFill>
              <w14:schemeClr w14:val="tx1"/>
            </w14:solidFill>
          </w14:textFill>
        </w:rPr>
        <w:t>基于气象数据，计算近10年及以上年份</w:t>
      </w:r>
      <w:r>
        <w:rPr>
          <w:rFonts w:hint="eastAsia" w:ascii="Times New Roman" w:cstheme="majorBidi"/>
          <w:color w:val="000000" w:themeColor="text1"/>
          <w:szCs w:val="21"/>
          <w:highlight w:val="none"/>
          <w:lang w:val="en-US" w:eastAsia="zh-CN"/>
          <w14:textFill>
            <w14:solidFill>
              <w14:schemeClr w14:val="tx1"/>
            </w14:solidFill>
          </w14:textFill>
        </w:rPr>
        <w:t>茶叶产地气候适宜度指数。</w:t>
      </w:r>
    </w:p>
    <w:p w14:paraId="77CFD599">
      <w:pPr>
        <w:pStyle w:val="16"/>
        <w:spacing w:line="360" w:lineRule="auto"/>
        <w:rPr>
          <w:rFonts w:hint="eastAsia" w:cs="Times New Roman"/>
          <w:szCs w:val="21"/>
          <w:lang w:val="en-US" w:eastAsia="zh-CN"/>
        </w:rPr>
      </w:pPr>
      <w:r>
        <w:rPr>
          <w:rFonts w:hint="eastAsia" w:ascii="Times New Roman" w:cstheme="majorBidi"/>
          <w:color w:val="000000" w:themeColor="text1"/>
          <w:szCs w:val="21"/>
          <w:highlight w:val="none"/>
          <w:lang w:val="en-US" w:eastAsia="zh-CN"/>
          <w14:textFill>
            <w14:solidFill>
              <w14:schemeClr w14:val="tx1"/>
            </w14:solidFill>
          </w14:textFill>
        </w:rPr>
        <w:t>其中，干旱指数采用附录A和参考文献1中关于旱地农业气象干旱指数的算法。</w:t>
      </w:r>
    </w:p>
    <w:p w14:paraId="0FFA9C57">
      <w:pPr>
        <w:numPr>
          <w:ilvl w:val="0"/>
          <w:numId w:val="0"/>
        </w:numPr>
        <w:autoSpaceDE w:val="0"/>
        <w:autoSpaceDN w:val="0"/>
        <w:adjustRightInd w:val="0"/>
        <w:spacing w:line="360" w:lineRule="auto"/>
        <w:ind w:firstLine="420" w:firstLineChars="200"/>
        <w:jc w:val="left"/>
        <w:rPr>
          <w:rFonts w:hint="eastAsia" w:cs="Times New Roman"/>
          <w:szCs w:val="21"/>
          <w:lang w:val="en-US" w:eastAsia="zh-CN"/>
        </w:rPr>
      </w:pPr>
      <w:r>
        <w:rPr>
          <w:rFonts w:hint="eastAsia" w:cs="Times New Roman"/>
          <w:szCs w:val="21"/>
          <w:lang w:val="en-US" w:eastAsia="zh-CN"/>
        </w:rPr>
        <w:t>根据计算结果，按照表2进行茶叶产地气候适宜度等级划分。</w:t>
      </w:r>
    </w:p>
    <w:p w14:paraId="75CAA265">
      <w:pPr>
        <w:pStyle w:val="16"/>
        <w:spacing w:line="360" w:lineRule="auto"/>
        <w:jc w:val="center"/>
        <w:rPr>
          <w:rFonts w:hint="default" w:ascii="Times New Roman" w:cstheme="majorBidi"/>
          <w:color w:val="000000" w:themeColor="text1"/>
          <w:szCs w:val="21"/>
          <w:highlight w:val="none"/>
          <w:lang w:val="en-US" w:eastAsia="zh-CN"/>
          <w14:textFill>
            <w14:solidFill>
              <w14:schemeClr w14:val="tx1"/>
            </w14:solidFill>
          </w14:textFill>
        </w:rPr>
      </w:pPr>
      <w:r>
        <w:rPr>
          <w:rFonts w:hint="eastAsia" w:ascii="Times New Roman" w:cstheme="majorBidi"/>
          <w:color w:val="000000" w:themeColor="text1"/>
          <w:szCs w:val="21"/>
          <w:highlight w:val="none"/>
          <w:lang w:val="en-US" w:eastAsia="zh-CN"/>
          <w14:textFill>
            <w14:solidFill>
              <w14:schemeClr w14:val="tx1"/>
            </w14:solidFill>
          </w14:textFill>
        </w:rPr>
        <w:t>表2 茶叶产地气候适宜度等级表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173"/>
        <w:gridCol w:w="1593"/>
        <w:gridCol w:w="1593"/>
        <w:gridCol w:w="1173"/>
      </w:tblGrid>
      <w:tr w14:paraId="456E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43EBB5FC">
            <w:pPr>
              <w:pStyle w:val="16"/>
              <w:spacing w:line="240" w:lineRule="auto"/>
              <w:ind w:left="0" w:leftChars="0" w:firstLine="0" w:firstLineChars="0"/>
              <w:jc w:val="center"/>
              <w:rPr>
                <w:rFonts w:hint="default" w:ascii="Times New Roman" w:cstheme="majorBidi"/>
                <w:color w:val="000000" w:themeColor="text1"/>
                <w:szCs w:val="21"/>
                <w:vertAlign w:val="baseline"/>
                <w:lang w:val="en-US" w:eastAsia="zh-CN"/>
                <w14:textFill>
                  <w14:solidFill>
                    <w14:schemeClr w14:val="tx1"/>
                  </w14:solidFill>
                </w14:textFill>
              </w:rPr>
            </w:pPr>
            <w:r>
              <w:rPr>
                <w:rFonts w:hint="eastAsia" w:ascii="Times New Roman" w:cstheme="majorBidi"/>
                <w:color w:val="000000" w:themeColor="text1"/>
                <w:szCs w:val="21"/>
                <w:vertAlign w:val="baseline"/>
                <w:lang w:val="en-US" w:eastAsia="zh-CN"/>
                <w14:textFill>
                  <w14:solidFill>
                    <w14:schemeClr w14:val="tx1"/>
                  </w14:solidFill>
                </w14:textFill>
              </w:rPr>
              <w:t>适宜度指数得分</w:t>
            </w:r>
          </w:p>
        </w:tc>
        <w:tc>
          <w:tcPr>
            <w:tcW w:w="0" w:type="auto"/>
            <w:vAlign w:val="center"/>
          </w:tcPr>
          <w:p w14:paraId="25788EC1">
            <w:pPr>
              <w:pStyle w:val="16"/>
              <w:spacing w:line="240" w:lineRule="auto"/>
              <w:jc w:val="center"/>
              <w:rPr>
                <w:rFonts w:hint="default" w:ascii="Times New Roman" w:cstheme="majorBidi"/>
                <w:color w:val="000000" w:themeColor="text1"/>
                <w:szCs w:val="21"/>
                <w:vertAlign w:val="baseline"/>
                <w:lang w:val="en-US" w:eastAsia="zh-CN"/>
                <w14:textFill>
                  <w14:solidFill>
                    <w14:schemeClr w14:val="tx1"/>
                  </w14:solidFill>
                </w14:textFill>
              </w:rPr>
            </w:pPr>
            <w:r>
              <w:rPr>
                <w:rFonts w:hint="eastAsia" w:ascii="Times New Roman" w:cstheme="majorBidi"/>
                <w:color w:val="000000" w:themeColor="text1"/>
                <w:szCs w:val="21"/>
                <w:vertAlign w:val="baseline"/>
                <w:lang w:val="en-US" w:eastAsia="zh-CN"/>
                <w14:textFill>
                  <w14:solidFill>
                    <w14:schemeClr w14:val="tx1"/>
                  </w14:solidFill>
                </w14:textFill>
              </w:rPr>
              <w:t>S≥90</w:t>
            </w:r>
          </w:p>
        </w:tc>
        <w:tc>
          <w:tcPr>
            <w:tcW w:w="0" w:type="auto"/>
            <w:vAlign w:val="center"/>
          </w:tcPr>
          <w:p w14:paraId="268CAD8A">
            <w:pPr>
              <w:pStyle w:val="16"/>
              <w:spacing w:line="240" w:lineRule="auto"/>
              <w:jc w:val="center"/>
              <w:rPr>
                <w:rFonts w:hint="default" w:ascii="Times New Roman" w:cstheme="majorBidi"/>
                <w:color w:val="000000" w:themeColor="text1"/>
                <w:szCs w:val="21"/>
                <w:vertAlign w:val="baseline"/>
                <w:lang w:val="en-US" w:eastAsia="zh-CN"/>
                <w14:textFill>
                  <w14:solidFill>
                    <w14:schemeClr w14:val="tx1"/>
                  </w14:solidFill>
                </w14:textFill>
              </w:rPr>
            </w:pPr>
            <w:r>
              <w:rPr>
                <w:rFonts w:hint="eastAsia" w:ascii="Times New Roman" w:cstheme="majorBidi"/>
                <w:color w:val="000000" w:themeColor="text1"/>
                <w:szCs w:val="21"/>
                <w:vertAlign w:val="baseline"/>
                <w:lang w:val="en-US" w:eastAsia="zh-CN"/>
                <w14:textFill>
                  <w14:solidFill>
                    <w14:schemeClr w14:val="tx1"/>
                  </w14:solidFill>
                </w14:textFill>
              </w:rPr>
              <w:t>90＞S≥80</w:t>
            </w:r>
          </w:p>
        </w:tc>
        <w:tc>
          <w:tcPr>
            <w:tcW w:w="0" w:type="auto"/>
            <w:vAlign w:val="center"/>
          </w:tcPr>
          <w:p w14:paraId="360BC966">
            <w:pPr>
              <w:pStyle w:val="16"/>
              <w:spacing w:line="240" w:lineRule="auto"/>
              <w:jc w:val="center"/>
              <w:rPr>
                <w:rFonts w:hint="default" w:ascii="Times New Roman" w:cstheme="majorBidi"/>
                <w:color w:val="000000" w:themeColor="text1"/>
                <w:szCs w:val="21"/>
                <w:vertAlign w:val="baseline"/>
                <w:lang w:val="en-US" w:eastAsia="zh-CN"/>
                <w14:textFill>
                  <w14:solidFill>
                    <w14:schemeClr w14:val="tx1"/>
                  </w14:solidFill>
                </w14:textFill>
              </w:rPr>
            </w:pPr>
            <w:r>
              <w:rPr>
                <w:rFonts w:hint="eastAsia" w:ascii="Times New Roman" w:cstheme="majorBidi"/>
                <w:color w:val="000000" w:themeColor="text1"/>
                <w:szCs w:val="21"/>
                <w:vertAlign w:val="baseline"/>
                <w:lang w:val="en-US" w:eastAsia="zh-CN"/>
                <w14:textFill>
                  <w14:solidFill>
                    <w14:schemeClr w14:val="tx1"/>
                  </w14:solidFill>
                </w14:textFill>
              </w:rPr>
              <w:t>80＞S≥70</w:t>
            </w:r>
          </w:p>
        </w:tc>
        <w:tc>
          <w:tcPr>
            <w:tcW w:w="0" w:type="auto"/>
            <w:vAlign w:val="center"/>
          </w:tcPr>
          <w:p w14:paraId="3BFCF0CB">
            <w:pPr>
              <w:pStyle w:val="16"/>
              <w:spacing w:line="240" w:lineRule="auto"/>
              <w:jc w:val="center"/>
              <w:rPr>
                <w:rFonts w:hint="default" w:ascii="Times New Roman" w:cstheme="majorBidi"/>
                <w:color w:val="000000" w:themeColor="text1"/>
                <w:szCs w:val="21"/>
                <w:vertAlign w:val="baseline"/>
                <w:lang w:val="en-US" w:eastAsia="zh-CN"/>
                <w14:textFill>
                  <w14:solidFill>
                    <w14:schemeClr w14:val="tx1"/>
                  </w14:solidFill>
                </w14:textFill>
              </w:rPr>
            </w:pPr>
            <w:r>
              <w:rPr>
                <w:rFonts w:hint="eastAsia" w:ascii="Times New Roman" w:cstheme="majorBidi"/>
                <w:color w:val="000000" w:themeColor="text1"/>
                <w:szCs w:val="21"/>
                <w:vertAlign w:val="baseline"/>
                <w:lang w:val="en-US" w:eastAsia="zh-CN"/>
                <w14:textFill>
                  <w14:solidFill>
                    <w14:schemeClr w14:val="tx1"/>
                  </w14:solidFill>
                </w14:textFill>
              </w:rPr>
              <w:t>S＜70</w:t>
            </w:r>
          </w:p>
        </w:tc>
      </w:tr>
      <w:tr w14:paraId="1D2E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58AD305A">
            <w:pPr>
              <w:pStyle w:val="16"/>
              <w:spacing w:line="240" w:lineRule="auto"/>
              <w:ind w:left="0" w:leftChars="0" w:firstLine="0" w:firstLineChars="0"/>
              <w:jc w:val="center"/>
              <w:rPr>
                <w:rFonts w:hint="default" w:ascii="Times New Roman" w:cstheme="majorBidi"/>
                <w:color w:val="000000" w:themeColor="text1"/>
                <w:szCs w:val="21"/>
                <w:vertAlign w:val="baseline"/>
                <w:lang w:val="en-US" w:eastAsia="zh-CN"/>
                <w14:textFill>
                  <w14:solidFill>
                    <w14:schemeClr w14:val="tx1"/>
                  </w14:solidFill>
                </w14:textFill>
              </w:rPr>
            </w:pPr>
            <w:r>
              <w:rPr>
                <w:rFonts w:hint="eastAsia" w:ascii="Times New Roman" w:cstheme="majorBidi"/>
                <w:color w:val="000000" w:themeColor="text1"/>
                <w:szCs w:val="21"/>
                <w:vertAlign w:val="baseline"/>
                <w:lang w:val="en-US" w:eastAsia="zh-CN"/>
                <w14:textFill>
                  <w14:solidFill>
                    <w14:schemeClr w14:val="tx1"/>
                  </w14:solidFill>
                </w14:textFill>
              </w:rPr>
              <w:t>适宜度等级</w:t>
            </w:r>
          </w:p>
        </w:tc>
        <w:tc>
          <w:tcPr>
            <w:tcW w:w="0" w:type="auto"/>
            <w:shd w:val="clear" w:color="auto" w:fill="auto"/>
            <w:vAlign w:val="center"/>
          </w:tcPr>
          <w:p w14:paraId="3CE6E390">
            <w:pPr>
              <w:pStyle w:val="16"/>
              <w:spacing w:line="240" w:lineRule="auto"/>
              <w:ind w:firstLine="420" w:firstLineChars="200"/>
              <w:jc w:val="center"/>
              <w:rPr>
                <w:rFonts w:hint="default" w:ascii="Times New Roman" w:hAnsi="Times New Roman" w:eastAsia="宋体" w:cstheme="majorBidi"/>
                <w:color w:val="000000" w:themeColor="text1"/>
                <w:sz w:val="21"/>
                <w:szCs w:val="21"/>
                <w:vertAlign w:val="baseline"/>
                <w:lang w:val="en-US" w:eastAsia="zh-CN" w:bidi="ar-SA"/>
                <w14:textFill>
                  <w14:solidFill>
                    <w14:schemeClr w14:val="tx1"/>
                  </w14:solidFill>
                </w14:textFill>
              </w:rPr>
            </w:pPr>
            <w:r>
              <w:rPr>
                <w:rFonts w:hint="eastAsia" w:ascii="Times New Roman" w:cstheme="majorBidi"/>
                <w:color w:val="000000" w:themeColor="text1"/>
                <w:szCs w:val="21"/>
                <w:vertAlign w:val="baseline"/>
                <w:lang w:val="en-US" w:eastAsia="zh-CN"/>
                <w14:textFill>
                  <w14:solidFill>
                    <w14:schemeClr w14:val="tx1"/>
                  </w14:solidFill>
                </w14:textFill>
              </w:rPr>
              <w:t>特优</w:t>
            </w:r>
          </w:p>
        </w:tc>
        <w:tc>
          <w:tcPr>
            <w:tcW w:w="0" w:type="auto"/>
            <w:shd w:val="clear" w:color="auto" w:fill="auto"/>
            <w:vAlign w:val="center"/>
          </w:tcPr>
          <w:p w14:paraId="20EA5EFE">
            <w:pPr>
              <w:pStyle w:val="16"/>
              <w:spacing w:line="240" w:lineRule="auto"/>
              <w:ind w:firstLine="420" w:firstLineChars="200"/>
              <w:jc w:val="center"/>
              <w:rPr>
                <w:rFonts w:hint="eastAsia" w:ascii="Times New Roman" w:hAnsi="Times New Roman" w:eastAsia="宋体" w:cstheme="majorBidi"/>
                <w:color w:val="000000" w:themeColor="text1"/>
                <w:sz w:val="21"/>
                <w:szCs w:val="21"/>
                <w:vertAlign w:val="baseline"/>
                <w:lang w:val="en-US" w:eastAsia="zh-CN" w:bidi="ar-SA"/>
                <w14:textFill>
                  <w14:solidFill>
                    <w14:schemeClr w14:val="tx1"/>
                  </w14:solidFill>
                </w14:textFill>
              </w:rPr>
            </w:pPr>
            <w:r>
              <w:rPr>
                <w:rFonts w:hint="eastAsia" w:ascii="Times New Roman" w:cstheme="majorBidi"/>
                <w:color w:val="000000" w:themeColor="text1"/>
                <w:szCs w:val="21"/>
                <w:vertAlign w:val="baseline"/>
                <w:lang w:val="en-US" w:eastAsia="zh-CN"/>
                <w14:textFill>
                  <w14:solidFill>
                    <w14:schemeClr w14:val="tx1"/>
                  </w14:solidFill>
                </w14:textFill>
              </w:rPr>
              <w:t>优</w:t>
            </w:r>
          </w:p>
        </w:tc>
        <w:tc>
          <w:tcPr>
            <w:tcW w:w="0" w:type="auto"/>
            <w:shd w:val="clear" w:color="auto" w:fill="auto"/>
            <w:vAlign w:val="center"/>
          </w:tcPr>
          <w:p w14:paraId="3650FB02">
            <w:pPr>
              <w:pStyle w:val="16"/>
              <w:spacing w:line="240" w:lineRule="auto"/>
              <w:ind w:firstLine="420" w:firstLineChars="200"/>
              <w:jc w:val="center"/>
              <w:rPr>
                <w:rFonts w:hint="eastAsia" w:ascii="Times New Roman" w:hAnsi="Times New Roman" w:eastAsia="宋体" w:cstheme="majorBidi"/>
                <w:color w:val="000000" w:themeColor="text1"/>
                <w:sz w:val="21"/>
                <w:szCs w:val="21"/>
                <w:vertAlign w:val="baseline"/>
                <w:lang w:val="en-US" w:eastAsia="zh-CN" w:bidi="ar-SA"/>
                <w14:textFill>
                  <w14:solidFill>
                    <w14:schemeClr w14:val="tx1"/>
                  </w14:solidFill>
                </w14:textFill>
              </w:rPr>
            </w:pPr>
            <w:r>
              <w:rPr>
                <w:rFonts w:hint="eastAsia" w:ascii="Times New Roman" w:cstheme="majorBidi"/>
                <w:color w:val="000000" w:themeColor="text1"/>
                <w:szCs w:val="21"/>
                <w:vertAlign w:val="baseline"/>
                <w:lang w:val="en-US" w:eastAsia="zh-CN"/>
                <w14:textFill>
                  <w14:solidFill>
                    <w14:schemeClr w14:val="tx1"/>
                  </w14:solidFill>
                </w14:textFill>
              </w:rPr>
              <w:t>良</w:t>
            </w:r>
          </w:p>
        </w:tc>
        <w:tc>
          <w:tcPr>
            <w:tcW w:w="0" w:type="auto"/>
            <w:shd w:val="clear" w:color="auto" w:fill="auto"/>
            <w:vAlign w:val="center"/>
          </w:tcPr>
          <w:p w14:paraId="13CB9A35">
            <w:pPr>
              <w:pStyle w:val="16"/>
              <w:spacing w:line="240" w:lineRule="auto"/>
              <w:ind w:firstLine="420" w:firstLineChars="200"/>
              <w:jc w:val="center"/>
              <w:rPr>
                <w:rFonts w:hint="default" w:ascii="Times New Roman" w:hAnsi="Times New Roman" w:eastAsia="宋体" w:cstheme="majorBidi"/>
                <w:color w:val="000000" w:themeColor="text1"/>
                <w:sz w:val="21"/>
                <w:szCs w:val="21"/>
                <w:vertAlign w:val="baseline"/>
                <w:lang w:val="en-US" w:eastAsia="zh-CN" w:bidi="ar-SA"/>
                <w14:textFill>
                  <w14:solidFill>
                    <w14:schemeClr w14:val="tx1"/>
                  </w14:solidFill>
                </w14:textFill>
              </w:rPr>
            </w:pPr>
            <w:r>
              <w:rPr>
                <w:rFonts w:hint="eastAsia" w:ascii="Times New Roman" w:cstheme="majorBidi"/>
                <w:color w:val="000000" w:themeColor="text1"/>
                <w:sz w:val="21"/>
                <w:szCs w:val="21"/>
                <w:vertAlign w:val="baseline"/>
                <w:lang w:val="en-US" w:eastAsia="zh-CN" w:bidi="ar-SA"/>
                <w14:textFill>
                  <w14:solidFill>
                    <w14:schemeClr w14:val="tx1"/>
                  </w14:solidFill>
                </w14:textFill>
              </w:rPr>
              <w:t>一般</w:t>
            </w:r>
          </w:p>
        </w:tc>
      </w:tr>
    </w:tbl>
    <w:p w14:paraId="44775A22">
      <w:pPr>
        <w:numPr>
          <w:ilvl w:val="0"/>
          <w:numId w:val="4"/>
        </w:numPr>
        <w:autoSpaceDE w:val="0"/>
        <w:autoSpaceDN w:val="0"/>
        <w:adjustRightInd w:val="0"/>
        <w:spacing w:line="360" w:lineRule="auto"/>
        <w:ind w:firstLine="422" w:firstLineChars="200"/>
        <w:jc w:val="left"/>
        <w:rPr>
          <w:rFonts w:hint="eastAsia" w:cs="Times New Roman"/>
          <w:b/>
          <w:bCs/>
          <w:color w:val="auto"/>
          <w:szCs w:val="21"/>
          <w:lang w:val="en-US" w:eastAsia="zh-CN"/>
        </w:rPr>
      </w:pPr>
      <w:r>
        <w:rPr>
          <w:rFonts w:hint="eastAsia" w:cs="Times New Roman"/>
          <w:b/>
          <w:bCs/>
          <w:color w:val="auto"/>
          <w:szCs w:val="21"/>
          <w:lang w:val="en-US" w:eastAsia="zh-CN"/>
        </w:rPr>
        <w:t>评价结果</w:t>
      </w:r>
    </w:p>
    <w:p w14:paraId="68A10538">
      <w:pPr>
        <w:autoSpaceDE w:val="0"/>
        <w:autoSpaceDN w:val="0"/>
        <w:adjustRightInd w:val="0"/>
        <w:spacing w:line="360" w:lineRule="auto"/>
        <w:ind w:firstLine="420" w:firstLineChars="200"/>
        <w:jc w:val="left"/>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规定了如何对计算结果进行茶叶优质产地的最终评价等级确认。</w:t>
      </w:r>
    </w:p>
    <w:p w14:paraId="4555A390">
      <w:pPr>
        <w:pStyle w:val="16"/>
        <w:spacing w:line="360" w:lineRule="auto"/>
        <w:rPr>
          <w:rFonts w:hint="default" w:ascii="Times New Roman" w:cstheme="majorBidi"/>
          <w:color w:val="auto"/>
          <w:szCs w:val="21"/>
          <w:highlight w:val="none"/>
          <w:lang w:val="en-US" w:eastAsia="zh-CN"/>
        </w:rPr>
      </w:pPr>
      <w:r>
        <w:rPr>
          <w:rFonts w:hint="eastAsia" w:ascii="Times New Roman" w:cstheme="majorBidi"/>
          <w:color w:val="auto"/>
          <w:szCs w:val="21"/>
          <w:highlight w:val="none"/>
          <w:lang w:val="en-US" w:eastAsia="zh-CN"/>
        </w:rPr>
        <w:t>对茶叶产地气候适宜度指数及适宜度等级进行统计，以70%以上年份的等级，作为该产地的气候条件评价等级结果。</w:t>
      </w:r>
    </w:p>
    <w:p w14:paraId="630457F6">
      <w:pPr>
        <w:numPr>
          <w:ilvl w:val="0"/>
          <w:numId w:val="0"/>
        </w:numPr>
        <w:autoSpaceDE w:val="0"/>
        <w:autoSpaceDN w:val="0"/>
        <w:adjustRightInd w:val="0"/>
        <w:spacing w:line="360" w:lineRule="auto"/>
        <w:ind w:firstLine="422" w:firstLineChars="200"/>
        <w:jc w:val="left"/>
        <w:rPr>
          <w:rFonts w:hint="eastAsia" w:cs="Times New Roman"/>
          <w:b/>
          <w:bCs/>
          <w:color w:val="auto"/>
          <w:szCs w:val="21"/>
          <w:lang w:val="en-US" w:eastAsia="zh-CN"/>
        </w:rPr>
      </w:pPr>
      <w:r>
        <w:rPr>
          <w:rFonts w:hint="eastAsia" w:cs="Times New Roman"/>
          <w:b/>
          <w:bCs/>
          <w:color w:val="auto"/>
          <w:szCs w:val="21"/>
          <w:lang w:val="en-US" w:eastAsia="zh-CN"/>
        </w:rPr>
        <w:t>（五）评价报告</w:t>
      </w:r>
    </w:p>
    <w:p w14:paraId="43B6FC6A">
      <w:pPr>
        <w:numPr>
          <w:ilvl w:val="0"/>
          <w:numId w:val="0"/>
        </w:numPr>
        <w:autoSpaceDE w:val="0"/>
        <w:autoSpaceDN w:val="0"/>
        <w:adjustRightInd w:val="0"/>
        <w:spacing w:line="360" w:lineRule="auto"/>
        <w:ind w:firstLine="420" w:firstLineChars="200"/>
        <w:jc w:val="left"/>
        <w:rPr>
          <w:rFonts w:hint="eastAsia" w:cs="Times New Roman"/>
          <w:color w:val="auto"/>
          <w:szCs w:val="21"/>
          <w:lang w:val="en-US" w:eastAsia="zh-CN"/>
        </w:rPr>
      </w:pPr>
      <w:r>
        <w:rPr>
          <w:rFonts w:hint="eastAsia" w:cs="Times New Roman"/>
          <w:color w:val="auto"/>
          <w:szCs w:val="21"/>
          <w:lang w:val="en-US" w:eastAsia="zh-CN"/>
        </w:rPr>
        <w:t>规定了开展</w:t>
      </w:r>
      <w:r>
        <w:rPr>
          <w:rFonts w:hint="eastAsia" w:ascii="Times New Roman" w:cstheme="majorBidi"/>
          <w:color w:val="auto"/>
          <w:szCs w:val="21"/>
          <w:highlight w:val="none"/>
          <w:lang w:val="en-US" w:eastAsia="zh-CN"/>
        </w:rPr>
        <w:t>茶叶产地气候评价</w:t>
      </w:r>
      <w:r>
        <w:rPr>
          <w:rFonts w:hint="eastAsia" w:ascii="Times New Roman" w:cstheme="majorBidi"/>
          <w:color w:val="auto"/>
          <w:szCs w:val="21"/>
          <w:lang w:val="en-US" w:eastAsia="zh-CN"/>
        </w:rPr>
        <w:t>报告</w:t>
      </w:r>
      <w:r>
        <w:rPr>
          <w:rFonts w:hint="eastAsia" w:cs="Times New Roman"/>
          <w:color w:val="auto"/>
          <w:szCs w:val="21"/>
          <w:lang w:val="en-US" w:eastAsia="zh-CN"/>
        </w:rPr>
        <w:t>评价所需出具的报告的格式及必须涵盖的内容。评价报告主要包括一、概述：对茶园茶场情况、气候评价情况、评价结论等进行简述。二、茶叶产地概况：包括茶园茶场所在位置，周边生态环境等。三、气象资料选取：选取在茶园茶场区域内，或者对茶园茶场有良好代表性的气象观测站，与茶树和茶叶生长密切相关的气象要素10年及以上气象观测资料。四、气候条件评价：对气象数据进行计算统计，客观分析气候条件对茶树和茶叶生长的影响。五、评价结论：在对历年气候条件分析评价基础上，总结气候特点，得出气候适宜度等级结论。六、编制单位：报告需署名报告编制单位、编制人员等。</w:t>
      </w:r>
    </w:p>
    <w:p w14:paraId="014A40CA">
      <w:pPr>
        <w:spacing w:line="360" w:lineRule="auto"/>
        <w:jc w:val="left"/>
        <w:rPr>
          <w:rFonts w:hint="eastAsia"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五、主要试验（或验证）的测试报告、相关技术和经济影响论证</w:t>
      </w:r>
    </w:p>
    <w:p w14:paraId="67D6BDE9">
      <w:pPr>
        <w:autoSpaceDE w:val="0"/>
        <w:autoSpaceDN w:val="0"/>
        <w:adjustRightInd w:val="0"/>
        <w:spacing w:line="360" w:lineRule="auto"/>
        <w:ind w:firstLine="422" w:firstLineChars="200"/>
        <w:jc w:val="center"/>
        <w:rPr>
          <w:rFonts w:hint="eastAsia" w:ascii="Times New Roman" w:hAnsi="Times New Roman" w:cs="Times New Roman"/>
          <w:b/>
          <w:bCs/>
          <w:szCs w:val="21"/>
          <w:lang w:val="en-US" w:eastAsia="zh-CN"/>
        </w:rPr>
      </w:pPr>
      <w:r>
        <w:rPr>
          <w:rFonts w:hint="eastAsia" w:ascii="Times New Roman" w:hAnsi="Times New Roman" w:cs="Times New Roman"/>
          <w:b/>
          <w:bCs/>
          <w:szCs w:val="21"/>
          <w:lang w:val="en-US" w:eastAsia="zh-CN"/>
        </w:rPr>
        <w:t>主要报告：</w:t>
      </w:r>
      <w:r>
        <w:rPr>
          <w:rFonts w:hint="eastAsia" w:ascii="Times New Roman" w:hAnsi="Times New Roman" w:eastAsia="宋体" w:cs="Times New Roman"/>
          <w:b/>
          <w:bCs/>
          <w:szCs w:val="21"/>
          <w:lang w:val="en-US" w:eastAsia="zh-CN"/>
        </w:rPr>
        <w:t>都匀毛尖气候品质评价</w:t>
      </w:r>
      <w:r>
        <w:rPr>
          <w:rFonts w:hint="eastAsia" w:ascii="Times New Roman" w:hAnsi="Times New Roman" w:cs="Times New Roman"/>
          <w:b/>
          <w:bCs/>
          <w:szCs w:val="21"/>
          <w:lang w:val="en-US" w:eastAsia="zh-CN"/>
        </w:rPr>
        <w:t>报告</w:t>
      </w:r>
    </w:p>
    <w:p w14:paraId="549F7211">
      <w:pPr>
        <w:numPr>
          <w:ilvl w:val="0"/>
          <w:numId w:val="0"/>
        </w:numPr>
        <w:autoSpaceDE w:val="0"/>
        <w:autoSpaceDN w:val="0"/>
        <w:adjustRightInd w:val="0"/>
        <w:spacing w:line="360" w:lineRule="auto"/>
        <w:ind w:firstLine="420" w:firstLineChars="200"/>
        <w:jc w:val="left"/>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该报告利用行业标准</w:t>
      </w:r>
      <w:r>
        <w:rPr>
          <w:rFonts w:hint="default" w:ascii="Times New Roman" w:hAnsi="Times New Roman" w:cs="Times New Roman"/>
          <w:color w:val="auto"/>
          <w:szCs w:val="21"/>
          <w:lang w:val="en-US" w:eastAsia="zh-CN"/>
        </w:rPr>
        <w:t>《茶叶气候品质评价》（QX/T/411-2017）</w:t>
      </w:r>
      <w:r>
        <w:rPr>
          <w:rFonts w:hint="eastAsia" w:ascii="Times New Roman" w:hAnsi="Times New Roman" w:cs="Times New Roman"/>
          <w:color w:val="auto"/>
          <w:szCs w:val="21"/>
          <w:lang w:val="en-US" w:eastAsia="zh-CN"/>
        </w:rPr>
        <w:t>对贵州都匀毛尖气候品质进行评价。</w:t>
      </w:r>
    </w:p>
    <w:p w14:paraId="7D7F4C8D">
      <w:pPr>
        <w:autoSpaceDE w:val="0"/>
        <w:autoSpaceDN w:val="0"/>
        <w:adjustRightInd w:val="0"/>
        <w:spacing w:line="360" w:lineRule="auto"/>
        <w:jc w:val="left"/>
        <w:rPr>
          <w:rFonts w:hint="default"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（一）</w:t>
      </w:r>
      <w:r>
        <w:rPr>
          <w:rFonts w:hint="eastAsia" w:ascii="Times New Roman" w:hAnsi="Times New Roman" w:eastAsia="宋体" w:cs="Times New Roman"/>
          <w:b/>
          <w:bCs/>
          <w:szCs w:val="21"/>
          <w:lang w:val="en-US" w:eastAsia="zh-CN"/>
        </w:rPr>
        <w:t>资料收集和处理</w:t>
      </w:r>
    </w:p>
    <w:p w14:paraId="67BEDC86">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气象资料：本报告使用都匀市国家气象观测站近10年（2015-2024年）气象观测资料评价都匀茶叶近10年气候品质，使用都匀市2024年国家站+区域站气象观测资料评价2024年全域茶叶气候品质。按照茶叶气候品质评价行标，气象要素取都匀茶叶采摘期逐日前15天的逐日平均气温、空气相对湿度、日照时数等。</w:t>
      </w:r>
    </w:p>
    <w:p w14:paraId="2FC180B5">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茶</w:t>
      </w:r>
      <w:r>
        <w:rPr>
          <w:rFonts w:hint="eastAsia" w:ascii="Times New Roman" w:hAnsi="Times New Roman" w:cs="Times New Roman"/>
          <w:szCs w:val="21"/>
          <w:lang w:val="en-US" w:eastAsia="zh-CN"/>
        </w:rPr>
        <w:t>产地</w:t>
      </w:r>
      <w:r>
        <w:rPr>
          <w:rFonts w:hint="eastAsia" w:ascii="Times New Roman" w:hAnsi="Times New Roman" w:eastAsia="宋体" w:cs="Times New Roman"/>
          <w:szCs w:val="21"/>
          <w:lang w:val="en-US" w:eastAsia="zh-CN"/>
        </w:rPr>
        <w:t>资料：主要包括茶叶产量、茶园面积、茶叶产值等生</w:t>
      </w:r>
      <w:bookmarkStart w:id="36" w:name="_GoBack"/>
      <w:bookmarkEnd w:id="36"/>
      <w:r>
        <w:rPr>
          <w:rFonts w:hint="eastAsia" w:ascii="Times New Roman" w:hAnsi="Times New Roman" w:eastAsia="宋体" w:cs="Times New Roman"/>
          <w:szCs w:val="21"/>
          <w:lang w:val="en-US" w:eastAsia="zh-CN"/>
        </w:rPr>
        <w:t>产数据，以及水浸出物、茶多酚、氨基酸等品质数据，来自于贵州省茶办、茶叶相关研究项目及都匀市茶产业发展中心近年采收的部分茶叶的化验检测报告。</w:t>
      </w:r>
    </w:p>
    <w:p w14:paraId="394AD3BB">
      <w:pPr>
        <w:autoSpaceDE w:val="0"/>
        <w:autoSpaceDN w:val="0"/>
        <w:adjustRightInd w:val="0"/>
        <w:spacing w:line="360" w:lineRule="auto"/>
        <w:jc w:val="left"/>
        <w:rPr>
          <w:rFonts w:hint="eastAsia" w:ascii="Times New Roman" w:hAnsi="Times New Roman" w:eastAsia="宋体" w:cs="Times New Roman"/>
          <w:b/>
          <w:bCs/>
          <w:szCs w:val="21"/>
          <w:lang w:val="en-US" w:eastAsia="zh-CN"/>
        </w:rPr>
      </w:pPr>
      <w:bookmarkStart w:id="4" w:name="_Toc21388"/>
      <w:bookmarkStart w:id="5" w:name="_Toc3045"/>
      <w:bookmarkStart w:id="6" w:name="_Toc8313"/>
      <w:r>
        <w:rPr>
          <w:rFonts w:hint="eastAsia" w:ascii="Times New Roman" w:hAnsi="Times New Roman" w:eastAsia="宋体" w:cs="Times New Roman"/>
          <w:b/>
          <w:bCs/>
          <w:szCs w:val="21"/>
          <w:lang w:val="en-US" w:eastAsia="zh-CN"/>
        </w:rPr>
        <w:t>（二）评价技术方法</w:t>
      </w:r>
      <w:bookmarkEnd w:id="4"/>
      <w:bookmarkEnd w:id="5"/>
      <w:bookmarkEnd w:id="6"/>
    </w:p>
    <w:p w14:paraId="46C4E6C4">
      <w:pPr>
        <w:autoSpaceDE w:val="0"/>
        <w:autoSpaceDN w:val="0"/>
        <w:adjustRightInd w:val="0"/>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根据中华人民共和国气象行业茶叶气候品质评价标准(QX/T 411-2017)及《全国茶叶气候品质评价技术规范（试行）》，对都匀市近10年（2015-2024年）和2024年全域的茶叶进行气候品质评价。                 </w:t>
      </w:r>
    </w:p>
    <w:p w14:paraId="7EE5A3A2">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bookmarkStart w:id="7" w:name="_Toc28511"/>
      <w:bookmarkStart w:id="8" w:name="_Toc29642"/>
      <w:bookmarkStart w:id="9" w:name="_Toc4304"/>
      <w:r>
        <w:rPr>
          <w:rFonts w:hint="eastAsia" w:ascii="Times New Roman" w:hAnsi="Times New Roman" w:eastAsia="宋体" w:cs="Times New Roman"/>
          <w:szCs w:val="21"/>
          <w:lang w:val="en-US" w:eastAsia="zh-CN"/>
        </w:rPr>
        <w:t>（1） 茶叶品质代表性气候指标</w:t>
      </w:r>
      <w:bookmarkEnd w:id="7"/>
      <w:bookmarkEnd w:id="8"/>
      <w:bookmarkEnd w:id="9"/>
    </w:p>
    <w:p w14:paraId="12CBACC7">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茶叶属亚热带耐阴性的多年生植物，喜温喜湿，要求年平均气温、生产期间月平均气温均在15℃以上。3月上旬连续≥3天日平均气温≥10℃时，茶芽萌动生长、鱼叶迅速展开；气温稳定在10℃以上时，茶芽、叶片生长加快，并抽出新梢；15～20℃时生长较快；20～30℃时生长最旺盛，但易老化，因而有“茶到立夏一夜粗”的说法；最高气温在35℃以上时，生长停止；秋冬季气温下降到10℃以下时停止生长，进入休眠；茶叶生存的最低下限温度因品种差异而不同，为-12～-8℃。</w:t>
      </w:r>
    </w:p>
    <w:p w14:paraId="1D949ECE">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b w:val="0"/>
          <w:kern w:val="2"/>
          <w:sz w:val="21"/>
          <w:szCs w:val="21"/>
          <w:lang w:val="en-US" w:eastAsia="zh-CN" w:bidi="ar-SA"/>
        </w:rPr>
        <w:t>茶树有机体中90％～95％的干物质是靠光合作用合成的。光对茶树生长、茶叶质量有较大的影响，红光、黄光易被茶树吸收利用。在海拔500～800米的中山区，随着高度的增加，云雾、降雨日也相应增加，因而多漫射光，且所含红、黄光多有利于氨基酸、维生素形成</w:t>
      </w:r>
      <w:r>
        <w:rPr>
          <w:rFonts w:hint="eastAsia" w:ascii="Times New Roman" w:hAnsi="Times New Roman" w:eastAsia="宋体" w:cs="Times New Roman"/>
          <w:szCs w:val="21"/>
          <w:lang w:val="en-US" w:eastAsia="zh-CN"/>
        </w:rPr>
        <w:t>，茶叶芽嫩、叶肥、香味浓，这正是“高山云雾出好茶”的气候原因。</w:t>
      </w:r>
    </w:p>
    <w:p w14:paraId="724E5CAB">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茶树适宜的降水量在年平均1000~2000毫米，生长季节的月降水量在100毫米以上，相对湿度一般以80%~90%为佳。土壤相对含水量以70%~80%为宜。这样的雨量和湿度最适宜茶树生长。茶叶生长最适宜的土壤PH值4.5~6.5（4.5~5.5为最适宜）。春季低温阴雨、盛夏高温少雨、干旱都会影响茶叶的产量和品质。</w:t>
      </w:r>
    </w:p>
    <w:p w14:paraId="798B7B21">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bookmarkStart w:id="10" w:name="_Toc28827"/>
      <w:bookmarkStart w:id="11" w:name="_Toc3611"/>
      <w:bookmarkStart w:id="12" w:name="_Toc6252"/>
      <w:r>
        <w:rPr>
          <w:rFonts w:hint="eastAsia" w:ascii="Times New Roman" w:hAnsi="Times New Roman" w:eastAsia="宋体" w:cs="Times New Roman"/>
          <w:szCs w:val="21"/>
          <w:lang w:val="en-US" w:eastAsia="zh-CN"/>
        </w:rPr>
        <w:t>（2）茶叶气候品质评价模型</w:t>
      </w:r>
      <w:bookmarkEnd w:id="10"/>
      <w:bookmarkEnd w:id="11"/>
      <w:bookmarkEnd w:id="12"/>
    </w:p>
    <w:p w14:paraId="525EFFCB">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依据茶叶气候品质评价行业标准，评价方法如公式1所示，</w:t>
      </w:r>
    </w:p>
    <w:p w14:paraId="46565EFF">
      <w:pPr>
        <w:spacing w:line="360" w:lineRule="auto"/>
        <w:ind w:firstLine="420" w:firstLineChars="200"/>
        <w:rPr>
          <w:rFonts w:hint="eastAsia" w:ascii="宋体" w:hAnsi="宋体"/>
          <w:sz w:val="21"/>
          <w:szCs w:val="21"/>
        </w:rPr>
      </w:pP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 xml:space="preserve"> </w:t>
      </w:r>
      <w:r>
        <w:rPr>
          <w:rFonts w:ascii="Times New Roman" w:hAnsi="Times New Roman"/>
          <w:position w:val="-28"/>
          <w:sz w:val="21"/>
          <w:szCs w:val="21"/>
        </w:rPr>
        <w:object>
          <v:shape id="_x0000_i1025" o:spt="75" type="#_x0000_t75" style="height:34pt;width:68pt;" o:ole="t" filled="f" coordsize="21600,21600">
            <v:path/>
            <v:fill on="f" focussize="0,0"/>
            <v:stroke/>
            <v:imagedata r:id="rId6" o:title=""/>
            <o:lock v:ext="edit" aspectratio="t"/>
            <w10:wrap type="none"/>
            <w10:anchorlock/>
          </v:shape>
          <o:OLEObject Type="Embed" ProgID="Equation.DSMT4" ShapeID="_x0000_i1025" DrawAspect="Content" ObjectID="_1468075725" r:id="rId5">
            <o:LockedField>false</o:LockedField>
          </o:OLEObject>
        </w:object>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 xml:space="preserve"> （1）</w:t>
      </w:r>
    </w:p>
    <w:p w14:paraId="25123A0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式中</w:t>
      </w:r>
      <w:r>
        <w:rPr>
          <w:rFonts w:hint="eastAsia" w:ascii="Times New Roman" w:hAnsi="Times New Roman" w:eastAsia="宋体" w:cs="Times New Roman"/>
          <w:b w:val="0"/>
          <w:kern w:val="2"/>
          <w:sz w:val="21"/>
          <w:szCs w:val="21"/>
          <w:lang w:val="en-US" w:eastAsia="zh-CN" w:bidi="ar-SA"/>
        </w:rPr>
        <w:object>
          <v:shape id="_x0000_i1026" o:spt="75" type="#_x0000_t75" style="height:19pt;width:18pt;" o:ole="t" filled="f" stroked="f" coordsize="21600,21600">
            <v:path/>
            <v:fill on="f" focussize="0,0"/>
            <v:stroke on="f"/>
            <v:imagedata r:id="rId8" o:title=""/>
            <o:lock v:ext="edit" aspectratio="t"/>
            <w10:wrap type="none"/>
            <w10:anchorlock/>
          </v:shape>
          <o:OLEObject Type="Embed" ProgID="Equation.DSMT4" ShapeID="_x0000_i1026" DrawAspect="Content" ObjectID="_1468075726" r:id="rId7">
            <o:LockedField>false</o:LockedField>
          </o:OLEObject>
        </w:object>
      </w:r>
      <w:r>
        <w:rPr>
          <w:rFonts w:hint="eastAsia" w:ascii="Times New Roman" w:hAnsi="Times New Roman" w:eastAsia="宋体" w:cs="Times New Roman"/>
          <w:b w:val="0"/>
          <w:kern w:val="2"/>
          <w:sz w:val="21"/>
          <w:szCs w:val="21"/>
          <w:lang w:val="en-US" w:eastAsia="zh-CN" w:bidi="ar-SA"/>
        </w:rPr>
        <w:t>为茶叶气候品质指数；</w:t>
      </w:r>
      <w:r>
        <w:rPr>
          <w:rFonts w:hint="eastAsia" w:ascii="Times New Roman" w:hAnsi="Times New Roman" w:eastAsia="宋体" w:cs="Times New Roman"/>
          <w:b w:val="0"/>
          <w:kern w:val="2"/>
          <w:sz w:val="21"/>
          <w:szCs w:val="21"/>
          <w:lang w:val="en-US" w:eastAsia="zh-CN" w:bidi="ar-SA"/>
        </w:rPr>
        <w:object>
          <v:shape id="_x0000_i1027" o:spt="75" type="#_x0000_t75" style="height:18pt;width:12pt;" o:ole="t" filled="f" stroked="f" coordsize="21600,21600">
            <v:path/>
            <v:fill on="f" focussize="0,0"/>
            <v:stroke on="f"/>
            <v:imagedata r:id="rId10" o:title=""/>
            <o:lock v:ext="edit" aspectratio="t"/>
            <w10:wrap type="none"/>
            <w10:anchorlock/>
          </v:shape>
          <o:OLEObject Type="Embed" ProgID="Equation.DSMT4" ShapeID="_x0000_i1027" DrawAspect="Content" ObjectID="_1468075727" r:id="rId9">
            <o:LockedField>false</o:LockedField>
          </o:OLEObject>
        </w:object>
      </w:r>
      <w:r>
        <w:rPr>
          <w:rFonts w:hint="eastAsia" w:ascii="Times New Roman" w:hAnsi="Times New Roman" w:eastAsia="宋体" w:cs="Times New Roman"/>
          <w:b w:val="0"/>
          <w:kern w:val="2"/>
          <w:sz w:val="21"/>
          <w:szCs w:val="21"/>
          <w:lang w:val="en-US" w:eastAsia="zh-CN" w:bidi="ar-SA"/>
        </w:rPr>
        <w:t>为平均气温、平均相对湿度和平均日照时数的权重，分别为0.6、0.2和0.2；</w:t>
      </w:r>
      <w:r>
        <w:rPr>
          <w:rFonts w:hint="eastAsia" w:ascii="Times New Roman" w:hAnsi="Times New Roman" w:eastAsia="宋体" w:cs="Times New Roman"/>
          <w:b w:val="0"/>
          <w:kern w:val="2"/>
          <w:sz w:val="21"/>
          <w:szCs w:val="21"/>
          <w:lang w:val="en-US" w:eastAsia="zh-CN" w:bidi="ar-SA"/>
        </w:rPr>
        <w:object>
          <v:shape id="_x0000_i1028" o:spt="75" type="#_x0000_t75" style="height:18pt;width:17pt;" o:ole="t" filled="f" stroked="f" coordsize="21600,21600">
            <v:path/>
            <v:fill on="f" focussize="0,0"/>
            <v:stroke on="f"/>
            <v:imagedata r:id="rId12" o:title=""/>
            <o:lock v:ext="edit" aspectratio="t"/>
            <w10:wrap type="none"/>
            <w10:anchorlock/>
          </v:shape>
          <o:OLEObject Type="Embed" ProgID="Equation.DSMT4" ShapeID="_x0000_i1028" DrawAspect="Content" ObjectID="_1468075728" r:id="rId11">
            <o:LockedField>false</o:LockedField>
          </o:OLEObject>
        </w:object>
      </w:r>
      <w:r>
        <w:rPr>
          <w:rFonts w:hint="eastAsia" w:ascii="Times New Roman" w:hAnsi="Times New Roman" w:eastAsia="宋体" w:cs="Times New Roman"/>
          <w:b w:val="0"/>
          <w:kern w:val="2"/>
          <w:sz w:val="21"/>
          <w:szCs w:val="21"/>
          <w:lang w:val="en-US" w:eastAsia="zh-CN" w:bidi="ar-SA"/>
        </w:rPr>
        <w:t>为采收前15天无农业气象灾害影响条件下的平均气温、平均相对湿度和平均日照时数的分级值。见下表。</w:t>
      </w:r>
    </w:p>
    <w:p w14:paraId="4C06AA56">
      <w:pPr>
        <w:spacing w:line="360" w:lineRule="auto"/>
        <w:ind w:firstLine="0" w:firstLineChars="0"/>
        <w:jc w:val="center"/>
        <w:rPr>
          <w:rFonts w:ascii="Times New Roman" w:hAnsi="Times New Roman"/>
          <w:sz w:val="21"/>
          <w:szCs w:val="21"/>
        </w:rPr>
      </w:pPr>
      <w:r>
        <w:rPr>
          <w:rFonts w:hint="eastAsia" w:ascii="Times New Roman" w:hAnsi="Times New Roman"/>
          <w:sz w:val="21"/>
          <w:szCs w:val="21"/>
        </w:rPr>
        <w:t>表</w:t>
      </w:r>
      <w:bookmarkStart w:id="13" w:name="OLE_LINK7"/>
      <w:r>
        <w:rPr>
          <w:rFonts w:hint="eastAsia" w:ascii="Times New Roman" w:hAnsi="Times New Roman"/>
          <w:sz w:val="21"/>
          <w:szCs w:val="21"/>
          <w:lang w:val="en-US" w:eastAsia="zh-CN"/>
        </w:rPr>
        <w:t>1.</w:t>
      </w:r>
      <w:r>
        <w:rPr>
          <w:rFonts w:hint="eastAsia" w:ascii="Times New Roman" w:hAnsi="Times New Roman"/>
          <w:sz w:val="21"/>
          <w:szCs w:val="21"/>
        </w:rPr>
        <w:t xml:space="preserve"> 茶叶</w:t>
      </w:r>
      <w:bookmarkStart w:id="14" w:name="OLE_LINK5"/>
      <w:r>
        <w:rPr>
          <w:rFonts w:hint="eastAsia" w:ascii="Times New Roman" w:hAnsi="Times New Roman"/>
          <w:sz w:val="21"/>
          <w:szCs w:val="21"/>
        </w:rPr>
        <w:t>气候品质评价模型</w:t>
      </w:r>
      <w:bookmarkEnd w:id="13"/>
      <w:bookmarkEnd w:id="14"/>
    </w:p>
    <w:tbl>
      <w:tblPr>
        <w:tblStyle w:val="8"/>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3447"/>
        <w:gridCol w:w="1942"/>
        <w:gridCol w:w="2560"/>
      </w:tblGrid>
      <w:tr w14:paraId="1211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06" w:type="dxa"/>
            <w:shd w:val="clear" w:color="auto" w:fill="auto"/>
          </w:tcPr>
          <w:p w14:paraId="6A7F0988">
            <w:pPr>
              <w:spacing w:line="360" w:lineRule="auto"/>
              <w:ind w:firstLine="0" w:firstLineChars="0"/>
              <w:jc w:val="center"/>
              <w:rPr>
                <w:rFonts w:ascii="Times New Roman" w:hAnsi="Times New Roman"/>
                <w:sz w:val="21"/>
                <w:szCs w:val="21"/>
              </w:rPr>
            </w:pPr>
            <w:r>
              <w:rPr>
                <w:rFonts w:ascii="Times New Roman" w:hAnsi="Times New Roman"/>
                <w:position w:val="-12"/>
                <w:sz w:val="21"/>
                <w:szCs w:val="21"/>
              </w:rPr>
              <w:object>
                <v:shape id="_x0000_i1029" o:spt="75" type="#_x0000_t75" style="height:18.1pt;width:16.8pt;" o:ole="t" filled="f" coordsize="21600,21600">
                  <v:path/>
                  <v:fill on="f" focussize="0,0"/>
                  <v:stroke/>
                  <v:imagedata r:id="rId14" o:title=""/>
                  <o:lock v:ext="edit" aspectratio="t"/>
                  <w10:wrap type="none"/>
                  <w10:anchorlock/>
                </v:shape>
                <o:OLEObject Type="Embed" ProgID="Equation.DSMT4" ShapeID="_x0000_i1029" DrawAspect="Content" ObjectID="_1468075729" r:id="rId13">
                  <o:LockedField>false</o:LockedField>
                </o:OLEObject>
              </w:object>
            </w:r>
          </w:p>
        </w:tc>
        <w:tc>
          <w:tcPr>
            <w:tcW w:w="3447" w:type="dxa"/>
            <w:shd w:val="clear" w:color="auto" w:fill="auto"/>
            <w:vAlign w:val="top"/>
          </w:tcPr>
          <w:p w14:paraId="013D5314">
            <w:pPr>
              <w:spacing w:line="360" w:lineRule="auto"/>
              <w:ind w:firstLine="0" w:firstLineChars="0"/>
              <w:jc w:val="center"/>
              <w:rPr>
                <w:rFonts w:ascii="Times New Roman" w:hAnsi="Times New Roman"/>
                <w:sz w:val="21"/>
                <w:szCs w:val="21"/>
              </w:rPr>
            </w:pPr>
            <w:r>
              <w:rPr>
                <w:rFonts w:ascii="Times New Roman" w:hAnsi="Times New Roman"/>
                <w:sz w:val="21"/>
                <w:szCs w:val="21"/>
              </w:rPr>
              <w:t>平均气温(</w:t>
            </w:r>
            <w:r>
              <w:rPr>
                <w:position w:val="-14"/>
                <w:sz w:val="21"/>
                <w:szCs w:val="21"/>
              </w:rPr>
              <w:object>
                <v:shape id="_x0000_i1030" o:spt="75" type="#_x0000_t75" style="height:19pt;width:19pt;" o:ole="t" filled="f" o:preferrelative="t" stroked="f" coordsize="21600,21600">
                  <v:path/>
                  <v:fill on="f" alignshape="1" focussize="0,0"/>
                  <v:stroke on="f"/>
                  <v:imagedata r:id="rId16" o:title=""/>
                  <o:lock v:ext="edit" aspectratio="t"/>
                  <w10:wrap type="none"/>
                  <w10:anchorlock/>
                </v:shape>
                <o:OLEObject Type="Embed" ProgID="Equation.DSMT4" ShapeID="_x0000_i1030" DrawAspect="Content" ObjectID="_1468075730" r:id="rId15">
                  <o:LockedField>false</o:LockedField>
                </o:OLEObject>
              </w:object>
            </w:r>
            <w:r>
              <w:rPr>
                <w:rFonts w:ascii="Times New Roman" w:hAnsi="Times New Roman"/>
                <w:sz w:val="21"/>
                <w:szCs w:val="21"/>
              </w:rPr>
              <w:t>)</w:t>
            </w:r>
          </w:p>
        </w:tc>
        <w:tc>
          <w:tcPr>
            <w:tcW w:w="1942" w:type="dxa"/>
            <w:shd w:val="clear" w:color="auto" w:fill="auto"/>
          </w:tcPr>
          <w:p w14:paraId="014DBDC9">
            <w:pPr>
              <w:spacing w:line="360" w:lineRule="auto"/>
              <w:ind w:firstLine="0" w:firstLineChars="0"/>
              <w:jc w:val="center"/>
              <w:rPr>
                <w:rFonts w:ascii="Times New Roman" w:hAnsi="Times New Roman"/>
                <w:sz w:val="21"/>
                <w:szCs w:val="21"/>
              </w:rPr>
            </w:pPr>
            <w:r>
              <w:rPr>
                <w:rFonts w:ascii="Times New Roman" w:hAnsi="Times New Roman"/>
                <w:sz w:val="21"/>
                <w:szCs w:val="21"/>
              </w:rPr>
              <w:t>平均相对湿度(U)</w:t>
            </w:r>
          </w:p>
        </w:tc>
        <w:tc>
          <w:tcPr>
            <w:tcW w:w="2560" w:type="dxa"/>
            <w:shd w:val="clear" w:color="auto" w:fill="auto"/>
          </w:tcPr>
          <w:p w14:paraId="6FCA95AE">
            <w:pPr>
              <w:spacing w:line="360" w:lineRule="auto"/>
              <w:ind w:firstLine="0" w:firstLineChars="0"/>
              <w:jc w:val="center"/>
              <w:rPr>
                <w:rFonts w:ascii="Times New Roman" w:hAnsi="Times New Roman"/>
                <w:sz w:val="21"/>
                <w:szCs w:val="21"/>
              </w:rPr>
            </w:pPr>
            <w:r>
              <w:rPr>
                <w:rFonts w:hint="eastAsia" w:ascii="Times New Roman" w:hAnsi="Times New Roman"/>
                <w:sz w:val="21"/>
                <w:szCs w:val="21"/>
              </w:rPr>
              <w:t>平均日照时数</w:t>
            </w:r>
            <w:r>
              <w:rPr>
                <w:rFonts w:ascii="Times New Roman" w:hAnsi="Times New Roman"/>
                <w:sz w:val="21"/>
                <w:szCs w:val="21"/>
              </w:rPr>
              <w:t>(S)</w:t>
            </w:r>
          </w:p>
        </w:tc>
      </w:tr>
      <w:tr w14:paraId="45F5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shd w:val="clear" w:color="auto" w:fill="auto"/>
          </w:tcPr>
          <w:p w14:paraId="64CC8402">
            <w:pPr>
              <w:spacing w:line="360" w:lineRule="auto"/>
              <w:ind w:firstLine="0" w:firstLineChars="0"/>
              <w:jc w:val="center"/>
              <w:rPr>
                <w:rFonts w:ascii="Times New Roman" w:hAnsi="Times New Roman"/>
                <w:sz w:val="21"/>
                <w:szCs w:val="21"/>
              </w:rPr>
            </w:pPr>
            <w:r>
              <w:rPr>
                <w:rFonts w:ascii="Times New Roman" w:hAnsi="Times New Roman"/>
                <w:sz w:val="21"/>
                <w:szCs w:val="21"/>
              </w:rPr>
              <w:t>3</w:t>
            </w:r>
          </w:p>
        </w:tc>
        <w:tc>
          <w:tcPr>
            <w:tcW w:w="3447" w:type="dxa"/>
            <w:shd w:val="clear" w:color="auto" w:fill="auto"/>
            <w:vAlign w:val="top"/>
          </w:tcPr>
          <w:p w14:paraId="397BD4CB">
            <w:pPr>
              <w:adjustRightInd w:val="0"/>
              <w:snapToGrid w:val="0"/>
              <w:spacing w:before="156" w:beforeLines="50" w:line="360" w:lineRule="auto"/>
              <w:jc w:val="center"/>
              <w:rPr>
                <w:rFonts w:ascii="Times New Roman" w:hAnsi="Times New Roman"/>
                <w:sz w:val="21"/>
                <w:szCs w:val="21"/>
              </w:rPr>
            </w:pPr>
            <w:r>
              <w:rPr>
                <w:rFonts w:hint="eastAsia"/>
                <w:sz w:val="21"/>
                <w:szCs w:val="21"/>
              </w:rPr>
              <w:t>1</w:t>
            </w:r>
            <w:r>
              <w:rPr>
                <w:sz w:val="21"/>
                <w:szCs w:val="21"/>
              </w:rPr>
              <w:t>2.0</w:t>
            </w:r>
            <w:r>
              <w:rPr>
                <w:rFonts w:hint="eastAsia"/>
                <w:sz w:val="21"/>
                <w:szCs w:val="21"/>
              </w:rPr>
              <w:t>≤</w:t>
            </w:r>
            <w:r>
              <w:rPr>
                <w:position w:val="-14"/>
                <w:sz w:val="21"/>
                <w:szCs w:val="21"/>
              </w:rPr>
              <w:object>
                <v:shape id="_x0000_i1031" o:spt="75" type="#_x0000_t75" style="height:19pt;width:19pt;" o:ole="t" filled="f" o:preferrelative="t" stroked="f" coordsize="21600,21600">
                  <v:path/>
                  <v:fill on="f" alignshape="1" focussize="0,0"/>
                  <v:stroke on="f"/>
                  <v:imagedata r:id="rId16" o:title=""/>
                  <o:lock v:ext="edit" aspectratio="t"/>
                  <w10:wrap type="none"/>
                  <w10:anchorlock/>
                </v:shape>
                <o:OLEObject Type="Embed" ProgID="Equation.DSMT4" ShapeID="_x0000_i1031" DrawAspect="Content" ObjectID="_1468075731" r:id="rId17">
                  <o:LockedField>false</o:LockedField>
                </o:OLEObject>
              </w:object>
            </w:r>
            <w:r>
              <w:rPr>
                <w:rFonts w:hint="eastAsia"/>
                <w:sz w:val="21"/>
                <w:szCs w:val="21"/>
              </w:rPr>
              <w:t>≤1</w:t>
            </w:r>
            <w:r>
              <w:rPr>
                <w:sz w:val="21"/>
                <w:szCs w:val="21"/>
              </w:rPr>
              <w:t>8.0</w:t>
            </w:r>
          </w:p>
        </w:tc>
        <w:tc>
          <w:tcPr>
            <w:tcW w:w="1942" w:type="dxa"/>
            <w:shd w:val="clear" w:color="auto" w:fill="auto"/>
          </w:tcPr>
          <w:p w14:paraId="6DF340ED">
            <w:pPr>
              <w:spacing w:line="360" w:lineRule="auto"/>
              <w:ind w:firstLine="0" w:firstLineChars="0"/>
              <w:jc w:val="center"/>
              <w:rPr>
                <w:rFonts w:ascii="Times New Roman" w:hAnsi="Times New Roman"/>
                <w:sz w:val="21"/>
                <w:szCs w:val="21"/>
              </w:rPr>
            </w:pPr>
            <w:r>
              <w:rPr>
                <w:rFonts w:ascii="Times New Roman" w:hAnsi="Times New Roman"/>
                <w:sz w:val="21"/>
                <w:szCs w:val="21"/>
              </w:rPr>
              <w:t>U</w:t>
            </w:r>
            <w:r>
              <w:rPr>
                <w:rFonts w:hint="eastAsia" w:ascii="Times New Roman" w:hAnsi="Times New Roman"/>
                <w:sz w:val="21"/>
                <w:szCs w:val="21"/>
              </w:rPr>
              <w:t>≥</w:t>
            </w:r>
            <w:r>
              <w:rPr>
                <w:rFonts w:ascii="Times New Roman" w:hAnsi="Times New Roman"/>
                <w:sz w:val="21"/>
                <w:szCs w:val="21"/>
              </w:rPr>
              <w:t>80.0</w:t>
            </w:r>
          </w:p>
        </w:tc>
        <w:tc>
          <w:tcPr>
            <w:tcW w:w="2560" w:type="dxa"/>
            <w:shd w:val="clear" w:color="auto" w:fill="auto"/>
          </w:tcPr>
          <w:p w14:paraId="01D6A20A">
            <w:pPr>
              <w:spacing w:line="360" w:lineRule="auto"/>
              <w:ind w:firstLine="0" w:firstLineChars="0"/>
              <w:jc w:val="center"/>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w:t>
            </w:r>
            <w:r>
              <w:rPr>
                <w:rFonts w:ascii="Times New Roman" w:hAnsi="Times New Roman"/>
                <w:sz w:val="21"/>
                <w:szCs w:val="21"/>
              </w:rPr>
              <w:t>S</w:t>
            </w:r>
            <w:r>
              <w:rPr>
                <w:rFonts w:hint="eastAsia" w:ascii="Times New Roman" w:hAnsi="Times New Roman"/>
                <w:sz w:val="21"/>
                <w:szCs w:val="21"/>
              </w:rPr>
              <w:t>≤</w:t>
            </w:r>
            <w:r>
              <w:rPr>
                <w:rFonts w:ascii="Times New Roman" w:hAnsi="Times New Roman"/>
                <w:sz w:val="21"/>
                <w:szCs w:val="21"/>
              </w:rPr>
              <w:t>6.0</w:t>
            </w:r>
          </w:p>
        </w:tc>
      </w:tr>
      <w:tr w14:paraId="49DF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shd w:val="clear" w:color="auto" w:fill="auto"/>
          </w:tcPr>
          <w:p w14:paraId="3969550F">
            <w:pPr>
              <w:spacing w:line="360" w:lineRule="auto"/>
              <w:ind w:firstLine="0" w:firstLineChars="0"/>
              <w:jc w:val="center"/>
              <w:rPr>
                <w:rFonts w:ascii="Times New Roman" w:hAnsi="Times New Roman"/>
                <w:sz w:val="21"/>
                <w:szCs w:val="21"/>
              </w:rPr>
            </w:pPr>
            <w:r>
              <w:rPr>
                <w:rFonts w:ascii="Times New Roman" w:hAnsi="Times New Roman"/>
                <w:sz w:val="21"/>
                <w:szCs w:val="21"/>
              </w:rPr>
              <w:t>2</w:t>
            </w:r>
          </w:p>
        </w:tc>
        <w:tc>
          <w:tcPr>
            <w:tcW w:w="3447" w:type="dxa"/>
            <w:shd w:val="clear" w:color="auto" w:fill="auto"/>
            <w:vAlign w:val="top"/>
          </w:tcPr>
          <w:p w14:paraId="5C7CDAC0">
            <w:pPr>
              <w:adjustRightInd w:val="0"/>
              <w:snapToGrid w:val="0"/>
              <w:spacing w:before="156" w:beforeLines="50" w:line="360" w:lineRule="auto"/>
              <w:jc w:val="center"/>
              <w:rPr>
                <w:rFonts w:ascii="Times New Roman" w:hAnsi="Times New Roman"/>
                <w:sz w:val="21"/>
                <w:szCs w:val="21"/>
              </w:rPr>
            </w:pPr>
            <w:r>
              <w:rPr>
                <w:rFonts w:hint="eastAsia"/>
                <w:sz w:val="21"/>
                <w:szCs w:val="21"/>
              </w:rPr>
              <w:t>1</w:t>
            </w:r>
            <w:r>
              <w:rPr>
                <w:sz w:val="21"/>
                <w:szCs w:val="21"/>
              </w:rPr>
              <w:t>1.0</w:t>
            </w:r>
            <w:r>
              <w:rPr>
                <w:rFonts w:hint="eastAsia"/>
                <w:sz w:val="21"/>
                <w:szCs w:val="21"/>
              </w:rPr>
              <w:t>≤</w:t>
            </w:r>
            <w:r>
              <w:rPr>
                <w:position w:val="-14"/>
                <w:sz w:val="21"/>
                <w:szCs w:val="21"/>
              </w:rPr>
              <w:object>
                <v:shape id="_x0000_i1032" o:spt="75" type="#_x0000_t75" style="height:19pt;width:19pt;" o:ole="t" filled="f" o:preferrelative="t" stroked="f" coordsize="21600,21600">
                  <v:path/>
                  <v:fill on="f" alignshape="1" focussize="0,0"/>
                  <v:stroke on="f"/>
                  <v:imagedata r:id="rId16" o:title=""/>
                  <o:lock v:ext="edit" aspectratio="t"/>
                  <w10:wrap type="none"/>
                  <w10:anchorlock/>
                </v:shape>
                <o:OLEObject Type="Embed" ProgID="Equation.DSMT4" ShapeID="_x0000_i1032" DrawAspect="Content" ObjectID="_1468075732" r:id="rId18">
                  <o:LockedField>false</o:LockedField>
                </o:OLEObject>
              </w:object>
            </w:r>
            <w:r>
              <w:rPr>
                <w:rFonts w:hint="eastAsia"/>
                <w:sz w:val="21"/>
                <w:szCs w:val="21"/>
              </w:rPr>
              <w:t>＜1</w:t>
            </w:r>
            <w:r>
              <w:rPr>
                <w:sz w:val="21"/>
                <w:szCs w:val="21"/>
              </w:rPr>
              <w:t>2.0</w:t>
            </w:r>
            <w:r>
              <w:rPr>
                <w:rFonts w:hint="eastAsia"/>
                <w:sz w:val="21"/>
                <w:szCs w:val="21"/>
              </w:rPr>
              <w:t>或1</w:t>
            </w:r>
            <w:r>
              <w:rPr>
                <w:sz w:val="21"/>
                <w:szCs w:val="21"/>
              </w:rPr>
              <w:t>8.0</w:t>
            </w:r>
            <w:r>
              <w:rPr>
                <w:rFonts w:hint="eastAsia"/>
                <w:sz w:val="21"/>
                <w:szCs w:val="21"/>
              </w:rPr>
              <w:t>＜</w:t>
            </w:r>
            <w:r>
              <w:rPr>
                <w:position w:val="-14"/>
                <w:sz w:val="21"/>
                <w:szCs w:val="21"/>
              </w:rPr>
              <w:object>
                <v:shape id="_x0000_i1033" o:spt="75" type="#_x0000_t75" style="height:19pt;width:19pt;" o:ole="t" filled="f" o:preferrelative="t" stroked="f" coordsize="21600,21600">
                  <v:path/>
                  <v:fill on="f" alignshape="1" focussize="0,0"/>
                  <v:stroke on="f"/>
                  <v:imagedata r:id="rId16" o:title=""/>
                  <o:lock v:ext="edit" aspectratio="t"/>
                  <w10:wrap type="none"/>
                  <w10:anchorlock/>
                </v:shape>
                <o:OLEObject Type="Embed" ProgID="Equation.DSMT4" ShapeID="_x0000_i1033" DrawAspect="Content" ObjectID="_1468075733" r:id="rId19">
                  <o:LockedField>false</o:LockedField>
                </o:OLEObject>
              </w:object>
            </w:r>
            <w:r>
              <w:rPr>
                <w:rFonts w:hint="eastAsia"/>
                <w:sz w:val="21"/>
                <w:szCs w:val="21"/>
              </w:rPr>
              <w:t>≤</w:t>
            </w:r>
            <w:r>
              <w:rPr>
                <w:sz w:val="21"/>
                <w:szCs w:val="21"/>
              </w:rPr>
              <w:t>20.0</w:t>
            </w:r>
          </w:p>
        </w:tc>
        <w:tc>
          <w:tcPr>
            <w:tcW w:w="1942" w:type="dxa"/>
            <w:shd w:val="clear" w:color="auto" w:fill="auto"/>
          </w:tcPr>
          <w:p w14:paraId="36A40981">
            <w:pPr>
              <w:spacing w:line="360" w:lineRule="auto"/>
              <w:ind w:firstLine="0" w:firstLineChars="0"/>
              <w:jc w:val="center"/>
              <w:rPr>
                <w:rFonts w:ascii="Times New Roman" w:hAnsi="Times New Roman"/>
                <w:sz w:val="21"/>
                <w:szCs w:val="21"/>
              </w:rPr>
            </w:pPr>
            <w:r>
              <w:rPr>
                <w:rFonts w:ascii="Times New Roman" w:hAnsi="Times New Roman"/>
                <w:sz w:val="21"/>
                <w:szCs w:val="21"/>
              </w:rPr>
              <w:t>70.0</w:t>
            </w:r>
            <w:r>
              <w:rPr>
                <w:rFonts w:hint="eastAsia" w:ascii="Times New Roman" w:hAnsi="Times New Roman"/>
                <w:sz w:val="21"/>
                <w:szCs w:val="21"/>
              </w:rPr>
              <w:t>≤</w:t>
            </w:r>
            <w:r>
              <w:rPr>
                <w:rFonts w:ascii="Times New Roman" w:hAnsi="Times New Roman"/>
                <w:sz w:val="21"/>
                <w:szCs w:val="21"/>
              </w:rPr>
              <w:t>U＜80.0</w:t>
            </w:r>
          </w:p>
        </w:tc>
        <w:tc>
          <w:tcPr>
            <w:tcW w:w="2560" w:type="dxa"/>
            <w:shd w:val="clear" w:color="auto" w:fill="auto"/>
          </w:tcPr>
          <w:p w14:paraId="2093AFD0">
            <w:pPr>
              <w:spacing w:line="360" w:lineRule="auto"/>
              <w:ind w:firstLine="0" w:firstLineChars="0"/>
              <w:jc w:val="center"/>
              <w:rPr>
                <w:rFonts w:ascii="Times New Roman" w:hAnsi="Times New Roman"/>
                <w:sz w:val="21"/>
                <w:szCs w:val="21"/>
              </w:rPr>
            </w:pPr>
            <w:r>
              <w:rPr>
                <w:rFonts w:ascii="Times New Roman" w:hAnsi="Times New Roman"/>
                <w:sz w:val="21"/>
                <w:szCs w:val="21"/>
              </w:rPr>
              <w:t>1.5</w:t>
            </w:r>
            <w:r>
              <w:rPr>
                <w:rFonts w:hint="eastAsia" w:ascii="Times New Roman" w:hAnsi="Times New Roman"/>
                <w:sz w:val="21"/>
                <w:szCs w:val="21"/>
              </w:rPr>
              <w:t>≤</w:t>
            </w:r>
            <w:r>
              <w:rPr>
                <w:rFonts w:ascii="Times New Roman" w:hAnsi="Times New Roman"/>
                <w:sz w:val="21"/>
                <w:szCs w:val="21"/>
              </w:rPr>
              <w:t>S＜3.0或6.0＜S</w:t>
            </w:r>
            <w:r>
              <w:rPr>
                <w:rFonts w:hint="eastAsia" w:ascii="Times New Roman" w:hAnsi="Times New Roman"/>
                <w:sz w:val="21"/>
                <w:szCs w:val="21"/>
              </w:rPr>
              <w:t>≤</w:t>
            </w:r>
            <w:r>
              <w:rPr>
                <w:rFonts w:ascii="Times New Roman" w:hAnsi="Times New Roman"/>
                <w:sz w:val="21"/>
                <w:szCs w:val="21"/>
              </w:rPr>
              <w:t>8.0</w:t>
            </w:r>
          </w:p>
        </w:tc>
      </w:tr>
      <w:tr w14:paraId="1F71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shd w:val="clear" w:color="auto" w:fill="auto"/>
          </w:tcPr>
          <w:p w14:paraId="6B0AE47E">
            <w:pPr>
              <w:spacing w:line="360" w:lineRule="auto"/>
              <w:ind w:firstLine="0" w:firstLineChars="0"/>
              <w:jc w:val="center"/>
              <w:rPr>
                <w:rFonts w:ascii="Times New Roman" w:hAnsi="Times New Roman"/>
                <w:sz w:val="21"/>
                <w:szCs w:val="21"/>
              </w:rPr>
            </w:pPr>
            <w:r>
              <w:rPr>
                <w:rFonts w:ascii="Times New Roman" w:hAnsi="Times New Roman"/>
                <w:sz w:val="21"/>
                <w:szCs w:val="21"/>
              </w:rPr>
              <w:t>1</w:t>
            </w:r>
          </w:p>
        </w:tc>
        <w:tc>
          <w:tcPr>
            <w:tcW w:w="3447" w:type="dxa"/>
            <w:shd w:val="clear" w:color="auto" w:fill="auto"/>
            <w:vAlign w:val="top"/>
          </w:tcPr>
          <w:p w14:paraId="602E3591">
            <w:pPr>
              <w:adjustRightInd w:val="0"/>
              <w:snapToGrid w:val="0"/>
              <w:spacing w:before="156" w:beforeLines="50" w:line="360" w:lineRule="auto"/>
              <w:jc w:val="center"/>
              <w:rPr>
                <w:rFonts w:ascii="Times New Roman" w:hAnsi="Times New Roman"/>
                <w:sz w:val="21"/>
                <w:szCs w:val="21"/>
              </w:rPr>
            </w:pPr>
            <w:r>
              <w:rPr>
                <w:rFonts w:hint="eastAsia"/>
                <w:sz w:val="21"/>
                <w:szCs w:val="21"/>
              </w:rPr>
              <w:t>1</w:t>
            </w:r>
            <w:r>
              <w:rPr>
                <w:sz w:val="21"/>
                <w:szCs w:val="21"/>
              </w:rPr>
              <w:t>0.0</w:t>
            </w:r>
            <w:r>
              <w:rPr>
                <w:rFonts w:hint="eastAsia"/>
                <w:sz w:val="21"/>
                <w:szCs w:val="21"/>
              </w:rPr>
              <w:t>≤</w:t>
            </w:r>
            <w:r>
              <w:rPr>
                <w:position w:val="-14"/>
                <w:sz w:val="21"/>
                <w:szCs w:val="21"/>
              </w:rPr>
              <w:object>
                <v:shape id="_x0000_i1034" o:spt="75" type="#_x0000_t75" style="height:19pt;width:19pt;" o:ole="t" filled="f" o:preferrelative="t" stroked="f" coordsize="21600,21600">
                  <v:path/>
                  <v:fill on="f" alignshape="1" focussize="0,0"/>
                  <v:stroke on="f"/>
                  <v:imagedata r:id="rId16" o:title=""/>
                  <o:lock v:ext="edit" aspectratio="t"/>
                  <w10:wrap type="none"/>
                  <w10:anchorlock/>
                </v:shape>
                <o:OLEObject Type="Embed" ProgID="Equation.DSMT4" ShapeID="_x0000_i1034" DrawAspect="Content" ObjectID="_1468075734" r:id="rId20">
                  <o:LockedField>false</o:LockedField>
                </o:OLEObject>
              </w:object>
            </w:r>
            <w:r>
              <w:rPr>
                <w:rFonts w:hint="eastAsia"/>
                <w:sz w:val="21"/>
                <w:szCs w:val="21"/>
              </w:rPr>
              <w:t>＜1</w:t>
            </w:r>
            <w:r>
              <w:rPr>
                <w:sz w:val="21"/>
                <w:szCs w:val="21"/>
              </w:rPr>
              <w:t>1.0</w:t>
            </w:r>
            <w:r>
              <w:rPr>
                <w:rFonts w:hint="eastAsia"/>
                <w:sz w:val="21"/>
                <w:szCs w:val="21"/>
              </w:rPr>
              <w:t>或</w:t>
            </w:r>
            <w:r>
              <w:rPr>
                <w:sz w:val="21"/>
                <w:szCs w:val="21"/>
              </w:rPr>
              <w:t>20.0</w:t>
            </w:r>
            <w:r>
              <w:rPr>
                <w:rFonts w:hint="eastAsia"/>
                <w:sz w:val="21"/>
                <w:szCs w:val="21"/>
              </w:rPr>
              <w:t>＜</w:t>
            </w:r>
            <w:r>
              <w:rPr>
                <w:position w:val="-14"/>
                <w:sz w:val="21"/>
                <w:szCs w:val="21"/>
              </w:rPr>
              <w:object>
                <v:shape id="_x0000_i1035" o:spt="75" type="#_x0000_t75" style="height:19pt;width:19pt;" o:ole="t" filled="f" o:preferrelative="t" stroked="f" coordsize="21600,21600">
                  <v:path/>
                  <v:fill on="f" alignshape="1" focussize="0,0"/>
                  <v:stroke on="f"/>
                  <v:imagedata r:id="rId16" o:title=""/>
                  <o:lock v:ext="edit" aspectratio="t"/>
                  <w10:wrap type="none"/>
                  <w10:anchorlock/>
                </v:shape>
                <o:OLEObject Type="Embed" ProgID="Equation.DSMT4" ShapeID="_x0000_i1035" DrawAspect="Content" ObjectID="_1468075735" r:id="rId21">
                  <o:LockedField>false</o:LockedField>
                </o:OLEObject>
              </w:object>
            </w:r>
            <w:r>
              <w:rPr>
                <w:rFonts w:hint="eastAsia"/>
                <w:sz w:val="21"/>
                <w:szCs w:val="21"/>
              </w:rPr>
              <w:t>≤</w:t>
            </w:r>
            <w:r>
              <w:rPr>
                <w:sz w:val="21"/>
                <w:szCs w:val="21"/>
              </w:rPr>
              <w:t>25.0</w:t>
            </w:r>
          </w:p>
        </w:tc>
        <w:tc>
          <w:tcPr>
            <w:tcW w:w="1942" w:type="dxa"/>
            <w:shd w:val="clear" w:color="auto" w:fill="auto"/>
          </w:tcPr>
          <w:p w14:paraId="77932CF1">
            <w:pPr>
              <w:spacing w:line="360" w:lineRule="auto"/>
              <w:ind w:firstLine="0" w:firstLineChars="0"/>
              <w:jc w:val="center"/>
              <w:rPr>
                <w:rFonts w:ascii="Times New Roman" w:hAnsi="Times New Roman"/>
                <w:sz w:val="21"/>
                <w:szCs w:val="21"/>
              </w:rPr>
            </w:pPr>
            <w:r>
              <w:rPr>
                <w:rFonts w:ascii="Times New Roman" w:hAnsi="Times New Roman"/>
                <w:sz w:val="21"/>
                <w:szCs w:val="21"/>
              </w:rPr>
              <w:t>60.0</w:t>
            </w:r>
            <w:r>
              <w:rPr>
                <w:rFonts w:hint="eastAsia" w:ascii="Times New Roman" w:hAnsi="Times New Roman"/>
                <w:sz w:val="21"/>
                <w:szCs w:val="21"/>
              </w:rPr>
              <w:t>≤</w:t>
            </w:r>
            <w:r>
              <w:rPr>
                <w:rFonts w:ascii="Times New Roman" w:hAnsi="Times New Roman"/>
                <w:sz w:val="21"/>
                <w:szCs w:val="21"/>
              </w:rPr>
              <w:t>U＜70.0</w:t>
            </w:r>
          </w:p>
        </w:tc>
        <w:tc>
          <w:tcPr>
            <w:tcW w:w="2560" w:type="dxa"/>
            <w:shd w:val="clear" w:color="auto" w:fill="auto"/>
          </w:tcPr>
          <w:p w14:paraId="276295DE">
            <w:pPr>
              <w:spacing w:line="360" w:lineRule="auto"/>
              <w:ind w:firstLine="0" w:firstLineChars="0"/>
              <w:jc w:val="center"/>
              <w:rPr>
                <w:rFonts w:ascii="Times New Roman" w:hAnsi="Times New Roman"/>
                <w:sz w:val="21"/>
                <w:szCs w:val="21"/>
              </w:rPr>
            </w:pPr>
            <w:r>
              <w:rPr>
                <w:rFonts w:ascii="Times New Roman" w:hAnsi="Times New Roman"/>
                <w:sz w:val="21"/>
                <w:szCs w:val="21"/>
              </w:rPr>
              <w:t>0＜S＜1.5或8.0＜S</w:t>
            </w:r>
            <w:r>
              <w:rPr>
                <w:rFonts w:hint="eastAsia" w:ascii="Times New Roman" w:hAnsi="Times New Roman"/>
                <w:sz w:val="21"/>
                <w:szCs w:val="21"/>
              </w:rPr>
              <w:t>≤</w:t>
            </w:r>
            <w:r>
              <w:rPr>
                <w:rFonts w:ascii="Times New Roman" w:hAnsi="Times New Roman"/>
                <w:sz w:val="21"/>
                <w:szCs w:val="21"/>
              </w:rPr>
              <w:t>10.0</w:t>
            </w:r>
          </w:p>
        </w:tc>
      </w:tr>
      <w:tr w14:paraId="26D8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shd w:val="clear" w:color="auto" w:fill="auto"/>
          </w:tcPr>
          <w:p w14:paraId="0523B828">
            <w:pPr>
              <w:spacing w:line="360" w:lineRule="auto"/>
              <w:ind w:firstLine="0" w:firstLineChars="0"/>
              <w:jc w:val="center"/>
              <w:rPr>
                <w:rFonts w:ascii="Times New Roman" w:hAnsi="Times New Roman"/>
                <w:sz w:val="21"/>
                <w:szCs w:val="21"/>
              </w:rPr>
            </w:pPr>
            <w:r>
              <w:rPr>
                <w:rFonts w:ascii="Times New Roman" w:hAnsi="Times New Roman"/>
                <w:sz w:val="21"/>
                <w:szCs w:val="21"/>
              </w:rPr>
              <w:t>0</w:t>
            </w:r>
          </w:p>
        </w:tc>
        <w:tc>
          <w:tcPr>
            <w:tcW w:w="3447" w:type="dxa"/>
            <w:shd w:val="clear" w:color="auto" w:fill="auto"/>
            <w:vAlign w:val="top"/>
          </w:tcPr>
          <w:p w14:paraId="134FE4F5">
            <w:pPr>
              <w:adjustRightInd w:val="0"/>
              <w:snapToGrid w:val="0"/>
              <w:spacing w:before="156" w:beforeLines="50" w:line="360" w:lineRule="auto"/>
              <w:jc w:val="center"/>
              <w:rPr>
                <w:rFonts w:ascii="Times New Roman" w:hAnsi="Times New Roman"/>
                <w:sz w:val="21"/>
                <w:szCs w:val="21"/>
              </w:rPr>
            </w:pPr>
            <w:r>
              <w:rPr>
                <w:position w:val="-14"/>
                <w:sz w:val="21"/>
                <w:szCs w:val="21"/>
              </w:rPr>
              <w:object>
                <v:shape id="_x0000_i1036" o:spt="75" type="#_x0000_t75" style="height:19pt;width:19pt;" o:ole="t" filled="f" o:preferrelative="t" stroked="f" coordsize="21600,21600">
                  <v:path/>
                  <v:fill on="f" alignshape="1" focussize="0,0"/>
                  <v:stroke on="f"/>
                  <v:imagedata r:id="rId16" o:title=""/>
                  <o:lock v:ext="edit" aspectratio="t"/>
                  <w10:wrap type="none"/>
                  <w10:anchorlock/>
                </v:shape>
                <o:OLEObject Type="Embed" ProgID="Equation.DSMT4" ShapeID="_x0000_i1036" DrawAspect="Content" ObjectID="_1468075736" r:id="rId22">
                  <o:LockedField>false</o:LockedField>
                </o:OLEObject>
              </w:object>
            </w:r>
            <w:r>
              <w:rPr>
                <w:rFonts w:hint="eastAsia"/>
                <w:sz w:val="21"/>
                <w:szCs w:val="21"/>
              </w:rPr>
              <w:t>＜1</w:t>
            </w:r>
            <w:r>
              <w:rPr>
                <w:sz w:val="21"/>
                <w:szCs w:val="21"/>
              </w:rPr>
              <w:t>0.0</w:t>
            </w:r>
            <w:r>
              <w:rPr>
                <w:rFonts w:hint="eastAsia"/>
                <w:sz w:val="21"/>
                <w:szCs w:val="21"/>
              </w:rPr>
              <w:t>或</w:t>
            </w:r>
            <w:r>
              <w:rPr>
                <w:position w:val="-14"/>
                <w:sz w:val="21"/>
                <w:szCs w:val="21"/>
              </w:rPr>
              <w:object>
                <v:shape id="_x0000_i1037" o:spt="75" type="#_x0000_t75" style="height:19pt;width:19pt;" o:ole="t" filled="f" o:preferrelative="t" stroked="f" coordsize="21600,21600">
                  <v:path/>
                  <v:fill on="f" alignshape="1" focussize="0,0"/>
                  <v:stroke on="f"/>
                  <v:imagedata r:id="rId16" o:title=""/>
                  <o:lock v:ext="edit" aspectratio="t"/>
                  <w10:wrap type="none"/>
                  <w10:anchorlock/>
                </v:shape>
                <o:OLEObject Type="Embed" ProgID="Equation.DSMT4" ShapeID="_x0000_i1037" DrawAspect="Content" ObjectID="_1468075737" r:id="rId23">
                  <o:LockedField>false</o:LockedField>
                </o:OLEObject>
              </w:object>
            </w:r>
            <w:r>
              <w:rPr>
                <w:rFonts w:hint="eastAsia"/>
                <w:sz w:val="21"/>
                <w:szCs w:val="21"/>
              </w:rPr>
              <w:t>＞2</w:t>
            </w:r>
            <w:r>
              <w:rPr>
                <w:sz w:val="21"/>
                <w:szCs w:val="21"/>
              </w:rPr>
              <w:t>5.0</w:t>
            </w:r>
          </w:p>
        </w:tc>
        <w:tc>
          <w:tcPr>
            <w:tcW w:w="1942" w:type="dxa"/>
            <w:shd w:val="clear" w:color="auto" w:fill="auto"/>
          </w:tcPr>
          <w:p w14:paraId="0CA44D9E">
            <w:pPr>
              <w:spacing w:line="360" w:lineRule="auto"/>
              <w:ind w:firstLine="0" w:firstLineChars="0"/>
              <w:jc w:val="center"/>
              <w:rPr>
                <w:rFonts w:ascii="Times New Roman" w:hAnsi="Times New Roman"/>
                <w:sz w:val="21"/>
                <w:szCs w:val="21"/>
              </w:rPr>
            </w:pPr>
            <w:r>
              <w:rPr>
                <w:rFonts w:ascii="Times New Roman" w:hAnsi="Times New Roman"/>
                <w:sz w:val="21"/>
                <w:szCs w:val="21"/>
              </w:rPr>
              <w:t>U＜60.0</w:t>
            </w:r>
          </w:p>
        </w:tc>
        <w:tc>
          <w:tcPr>
            <w:tcW w:w="2560" w:type="dxa"/>
            <w:shd w:val="clear" w:color="auto" w:fill="auto"/>
          </w:tcPr>
          <w:p w14:paraId="429628B4">
            <w:pPr>
              <w:spacing w:line="360" w:lineRule="auto"/>
              <w:ind w:firstLine="0" w:firstLineChars="0"/>
              <w:jc w:val="center"/>
              <w:rPr>
                <w:rFonts w:ascii="Times New Roman" w:hAnsi="Times New Roman"/>
                <w:sz w:val="21"/>
                <w:szCs w:val="21"/>
              </w:rPr>
            </w:pPr>
            <w:r>
              <w:rPr>
                <w:rFonts w:ascii="Times New Roman" w:hAnsi="Times New Roman"/>
                <w:sz w:val="21"/>
                <w:szCs w:val="21"/>
              </w:rPr>
              <w:t>S=0.0或S＞10.0</w:t>
            </w:r>
          </w:p>
        </w:tc>
      </w:tr>
    </w:tbl>
    <w:p w14:paraId="5428B343">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bookmarkStart w:id="15" w:name="_Toc27079"/>
      <w:bookmarkStart w:id="16" w:name="_Toc24243"/>
      <w:bookmarkStart w:id="17" w:name="_Toc24889"/>
      <w:r>
        <w:rPr>
          <w:rFonts w:hint="eastAsia" w:ascii="Times New Roman" w:hAnsi="Times New Roman" w:eastAsia="宋体" w:cs="Times New Roman"/>
          <w:szCs w:val="21"/>
          <w:lang w:val="en-US" w:eastAsia="zh-CN"/>
        </w:rPr>
        <w:t>（3）茶叶气候品质等级划分</w:t>
      </w:r>
      <w:bookmarkEnd w:id="15"/>
      <w:bookmarkEnd w:id="16"/>
      <w:bookmarkEnd w:id="17"/>
    </w:p>
    <w:p w14:paraId="19D44EA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center"/>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根据茶叶气候品质指数数据，将茶叶气候品质划分为4个等级，见表2。</w:t>
      </w:r>
    </w:p>
    <w:p w14:paraId="5DEE89B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center"/>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表2  茶叶气候品质评价等级划分</w:t>
      </w:r>
    </w:p>
    <w:tbl>
      <w:tblPr>
        <w:tblStyle w:val="8"/>
        <w:tblW w:w="7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0"/>
        <w:gridCol w:w="5097"/>
      </w:tblGrid>
      <w:tr w14:paraId="6F99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0" w:type="dxa"/>
            <w:shd w:val="clear" w:color="auto" w:fill="auto"/>
          </w:tcPr>
          <w:p w14:paraId="711108CC">
            <w:pPr>
              <w:spacing w:line="360" w:lineRule="auto"/>
              <w:ind w:firstLine="420" w:firstLineChars="200"/>
              <w:jc w:val="center"/>
              <w:rPr>
                <w:rFonts w:ascii="Times New Roman" w:hAnsi="Times New Roman"/>
                <w:sz w:val="21"/>
                <w:szCs w:val="21"/>
              </w:rPr>
            </w:pPr>
            <w:r>
              <w:rPr>
                <w:rFonts w:ascii="Times New Roman" w:hAnsi="Times New Roman"/>
                <w:sz w:val="21"/>
                <w:szCs w:val="21"/>
              </w:rPr>
              <w:t>等级</w:t>
            </w:r>
          </w:p>
        </w:tc>
        <w:tc>
          <w:tcPr>
            <w:tcW w:w="5097" w:type="dxa"/>
            <w:shd w:val="clear" w:color="auto" w:fill="auto"/>
          </w:tcPr>
          <w:p w14:paraId="47CCC437">
            <w:pPr>
              <w:spacing w:line="360" w:lineRule="auto"/>
              <w:ind w:firstLine="420" w:firstLineChars="200"/>
              <w:jc w:val="center"/>
              <w:rPr>
                <w:rFonts w:ascii="Times New Roman" w:hAnsi="Times New Roman"/>
                <w:sz w:val="21"/>
                <w:szCs w:val="21"/>
              </w:rPr>
            </w:pPr>
            <w:r>
              <w:rPr>
                <w:rFonts w:ascii="Times New Roman" w:hAnsi="Times New Roman"/>
                <w:sz w:val="21"/>
                <w:szCs w:val="21"/>
              </w:rPr>
              <w:t>茶叶气候品质指数(I</w:t>
            </w:r>
            <w:r>
              <w:rPr>
                <w:rFonts w:ascii="Times New Roman" w:hAnsi="Times New Roman"/>
                <w:sz w:val="21"/>
                <w:szCs w:val="21"/>
                <w:vertAlign w:val="subscript"/>
              </w:rPr>
              <w:t>tcp</w:t>
            </w:r>
            <w:r>
              <w:rPr>
                <w:rFonts w:ascii="Times New Roman" w:hAnsi="Times New Roman"/>
                <w:sz w:val="21"/>
                <w:szCs w:val="21"/>
              </w:rPr>
              <w:t>)</w:t>
            </w:r>
          </w:p>
        </w:tc>
      </w:tr>
      <w:tr w14:paraId="68F1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0" w:type="dxa"/>
            <w:shd w:val="clear" w:color="auto" w:fill="auto"/>
          </w:tcPr>
          <w:p w14:paraId="0BDDBC32">
            <w:pPr>
              <w:spacing w:line="360" w:lineRule="auto"/>
              <w:ind w:firstLine="420" w:firstLineChars="200"/>
              <w:jc w:val="center"/>
              <w:rPr>
                <w:rFonts w:ascii="Times New Roman" w:hAnsi="Times New Roman"/>
                <w:sz w:val="21"/>
                <w:szCs w:val="21"/>
              </w:rPr>
            </w:pPr>
            <w:r>
              <w:rPr>
                <w:rFonts w:ascii="Times New Roman" w:hAnsi="Times New Roman"/>
                <w:sz w:val="21"/>
                <w:szCs w:val="21"/>
              </w:rPr>
              <w:t>特优</w:t>
            </w:r>
          </w:p>
        </w:tc>
        <w:tc>
          <w:tcPr>
            <w:tcW w:w="5097" w:type="dxa"/>
            <w:shd w:val="clear" w:color="auto" w:fill="auto"/>
          </w:tcPr>
          <w:p w14:paraId="6B917D70">
            <w:pPr>
              <w:spacing w:line="360" w:lineRule="auto"/>
              <w:ind w:firstLine="420" w:firstLineChars="200"/>
              <w:jc w:val="center"/>
              <w:rPr>
                <w:rFonts w:ascii="Times New Roman" w:hAnsi="Times New Roman"/>
                <w:sz w:val="21"/>
                <w:szCs w:val="21"/>
              </w:rPr>
            </w:pPr>
            <w:r>
              <w:rPr>
                <w:rFonts w:ascii="Times New Roman" w:hAnsi="Times New Roman"/>
                <w:sz w:val="21"/>
                <w:szCs w:val="21"/>
              </w:rPr>
              <w:t>I</w:t>
            </w:r>
            <w:r>
              <w:rPr>
                <w:rFonts w:ascii="Times New Roman" w:hAnsi="Times New Roman"/>
                <w:sz w:val="21"/>
                <w:szCs w:val="21"/>
                <w:vertAlign w:val="subscript"/>
              </w:rPr>
              <w:t>tcp</w:t>
            </w:r>
            <w:r>
              <w:rPr>
                <w:rFonts w:hint="eastAsia" w:ascii="Times New Roman" w:hAnsi="Times New Roman"/>
                <w:sz w:val="21"/>
                <w:szCs w:val="21"/>
              </w:rPr>
              <w:t>≥</w:t>
            </w:r>
            <w:r>
              <w:rPr>
                <w:rFonts w:ascii="Times New Roman" w:hAnsi="Times New Roman"/>
                <w:sz w:val="21"/>
                <w:szCs w:val="21"/>
              </w:rPr>
              <w:t>2.5</w:t>
            </w:r>
          </w:p>
        </w:tc>
      </w:tr>
      <w:tr w14:paraId="6E8E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0" w:type="dxa"/>
            <w:shd w:val="clear" w:color="auto" w:fill="auto"/>
          </w:tcPr>
          <w:p w14:paraId="6E37C7BD">
            <w:pPr>
              <w:spacing w:line="360" w:lineRule="auto"/>
              <w:ind w:firstLine="420" w:firstLineChars="200"/>
              <w:jc w:val="center"/>
              <w:rPr>
                <w:rFonts w:ascii="Times New Roman" w:hAnsi="Times New Roman"/>
                <w:sz w:val="21"/>
                <w:szCs w:val="21"/>
              </w:rPr>
            </w:pPr>
            <w:r>
              <w:rPr>
                <w:rFonts w:ascii="Times New Roman" w:hAnsi="Times New Roman"/>
                <w:sz w:val="21"/>
                <w:szCs w:val="21"/>
              </w:rPr>
              <w:t>优</w:t>
            </w:r>
          </w:p>
        </w:tc>
        <w:tc>
          <w:tcPr>
            <w:tcW w:w="5097" w:type="dxa"/>
            <w:shd w:val="clear" w:color="auto" w:fill="auto"/>
          </w:tcPr>
          <w:p w14:paraId="0C69DF29">
            <w:pPr>
              <w:spacing w:line="360" w:lineRule="auto"/>
              <w:ind w:firstLine="420" w:firstLineChars="200"/>
              <w:jc w:val="center"/>
              <w:rPr>
                <w:rFonts w:ascii="Times New Roman" w:hAnsi="Times New Roman"/>
                <w:sz w:val="21"/>
                <w:szCs w:val="21"/>
              </w:rPr>
            </w:pPr>
            <w:r>
              <w:rPr>
                <w:rFonts w:ascii="Times New Roman" w:hAnsi="Times New Roman"/>
                <w:sz w:val="21"/>
                <w:szCs w:val="21"/>
              </w:rPr>
              <w:t>1.5</w:t>
            </w:r>
            <w:r>
              <w:rPr>
                <w:rFonts w:hint="eastAsia" w:ascii="Times New Roman" w:hAnsi="Times New Roman"/>
                <w:sz w:val="21"/>
                <w:szCs w:val="21"/>
              </w:rPr>
              <w:t>≤</w:t>
            </w:r>
            <w:r>
              <w:rPr>
                <w:rFonts w:ascii="Times New Roman" w:hAnsi="Times New Roman"/>
                <w:sz w:val="21"/>
                <w:szCs w:val="21"/>
              </w:rPr>
              <w:t>I</w:t>
            </w:r>
            <w:r>
              <w:rPr>
                <w:rFonts w:ascii="Times New Roman" w:hAnsi="Times New Roman"/>
                <w:sz w:val="21"/>
                <w:szCs w:val="21"/>
                <w:vertAlign w:val="subscript"/>
              </w:rPr>
              <w:t>tcp</w:t>
            </w:r>
            <w:r>
              <w:rPr>
                <w:rFonts w:ascii="Times New Roman" w:hAnsi="Times New Roman"/>
                <w:sz w:val="21"/>
                <w:szCs w:val="21"/>
              </w:rPr>
              <w:t>＜2.5</w:t>
            </w:r>
          </w:p>
        </w:tc>
      </w:tr>
      <w:tr w14:paraId="03F0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0" w:type="dxa"/>
            <w:shd w:val="clear" w:color="auto" w:fill="auto"/>
          </w:tcPr>
          <w:p w14:paraId="7D9FAC11">
            <w:pPr>
              <w:spacing w:line="360" w:lineRule="auto"/>
              <w:ind w:firstLine="420" w:firstLineChars="200"/>
              <w:jc w:val="center"/>
              <w:rPr>
                <w:rFonts w:ascii="Times New Roman" w:hAnsi="Times New Roman"/>
                <w:sz w:val="21"/>
                <w:szCs w:val="21"/>
              </w:rPr>
            </w:pPr>
            <w:r>
              <w:rPr>
                <w:rFonts w:ascii="Times New Roman" w:hAnsi="Times New Roman"/>
                <w:sz w:val="21"/>
                <w:szCs w:val="21"/>
              </w:rPr>
              <w:t>良</w:t>
            </w:r>
          </w:p>
        </w:tc>
        <w:tc>
          <w:tcPr>
            <w:tcW w:w="5097" w:type="dxa"/>
            <w:shd w:val="clear" w:color="auto" w:fill="auto"/>
          </w:tcPr>
          <w:p w14:paraId="29F4D323">
            <w:pPr>
              <w:spacing w:line="360" w:lineRule="auto"/>
              <w:ind w:firstLine="420" w:firstLineChars="200"/>
              <w:jc w:val="center"/>
              <w:rPr>
                <w:rFonts w:ascii="Times New Roman" w:hAnsi="Times New Roman"/>
                <w:sz w:val="21"/>
                <w:szCs w:val="21"/>
              </w:rPr>
            </w:pPr>
            <w:r>
              <w:rPr>
                <w:rFonts w:ascii="Times New Roman" w:hAnsi="Times New Roman"/>
                <w:sz w:val="21"/>
                <w:szCs w:val="21"/>
              </w:rPr>
              <w:t>0.5</w:t>
            </w:r>
            <w:r>
              <w:rPr>
                <w:rFonts w:hint="eastAsia" w:ascii="Times New Roman" w:hAnsi="Times New Roman"/>
                <w:sz w:val="21"/>
                <w:szCs w:val="21"/>
              </w:rPr>
              <w:t>≤</w:t>
            </w:r>
            <w:r>
              <w:rPr>
                <w:rFonts w:ascii="Times New Roman" w:hAnsi="Times New Roman"/>
                <w:sz w:val="21"/>
                <w:szCs w:val="21"/>
              </w:rPr>
              <w:t>I</w:t>
            </w:r>
            <w:r>
              <w:rPr>
                <w:rFonts w:ascii="Times New Roman" w:hAnsi="Times New Roman"/>
                <w:sz w:val="21"/>
                <w:szCs w:val="21"/>
                <w:vertAlign w:val="subscript"/>
              </w:rPr>
              <w:t>tcp</w:t>
            </w:r>
            <w:r>
              <w:rPr>
                <w:rFonts w:ascii="Times New Roman" w:hAnsi="Times New Roman"/>
                <w:sz w:val="21"/>
                <w:szCs w:val="21"/>
              </w:rPr>
              <w:t>＜1.5</w:t>
            </w:r>
          </w:p>
        </w:tc>
      </w:tr>
      <w:tr w14:paraId="4E35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0" w:type="dxa"/>
            <w:shd w:val="clear" w:color="auto" w:fill="auto"/>
          </w:tcPr>
          <w:p w14:paraId="2ADA28EB">
            <w:pPr>
              <w:spacing w:line="360" w:lineRule="auto"/>
              <w:ind w:firstLine="420" w:firstLineChars="200"/>
              <w:jc w:val="center"/>
              <w:rPr>
                <w:rFonts w:ascii="Times New Roman" w:hAnsi="Times New Roman"/>
                <w:sz w:val="21"/>
                <w:szCs w:val="21"/>
              </w:rPr>
            </w:pPr>
            <w:r>
              <w:rPr>
                <w:rFonts w:ascii="Times New Roman" w:hAnsi="Times New Roman"/>
                <w:sz w:val="21"/>
                <w:szCs w:val="21"/>
              </w:rPr>
              <w:t>一般</w:t>
            </w:r>
          </w:p>
        </w:tc>
        <w:tc>
          <w:tcPr>
            <w:tcW w:w="5097" w:type="dxa"/>
            <w:shd w:val="clear" w:color="auto" w:fill="auto"/>
          </w:tcPr>
          <w:p w14:paraId="37E84267">
            <w:pPr>
              <w:spacing w:line="360" w:lineRule="auto"/>
              <w:ind w:firstLine="420" w:firstLineChars="200"/>
              <w:jc w:val="center"/>
              <w:rPr>
                <w:rFonts w:ascii="Times New Roman" w:hAnsi="Times New Roman"/>
                <w:sz w:val="21"/>
                <w:szCs w:val="21"/>
              </w:rPr>
            </w:pPr>
            <w:r>
              <w:rPr>
                <w:rFonts w:ascii="Times New Roman" w:hAnsi="Times New Roman"/>
                <w:sz w:val="21"/>
                <w:szCs w:val="21"/>
              </w:rPr>
              <w:t>I</w:t>
            </w:r>
            <w:r>
              <w:rPr>
                <w:rFonts w:ascii="Times New Roman" w:hAnsi="Times New Roman"/>
                <w:sz w:val="21"/>
                <w:szCs w:val="21"/>
                <w:vertAlign w:val="subscript"/>
              </w:rPr>
              <w:t>tcp</w:t>
            </w:r>
            <w:r>
              <w:rPr>
                <w:rFonts w:ascii="Times New Roman" w:hAnsi="Times New Roman"/>
                <w:sz w:val="21"/>
                <w:szCs w:val="21"/>
              </w:rPr>
              <w:t>＜0.5</w:t>
            </w:r>
          </w:p>
        </w:tc>
      </w:tr>
    </w:tbl>
    <w:p w14:paraId="0B8CA29B">
      <w:pPr>
        <w:autoSpaceDE w:val="0"/>
        <w:autoSpaceDN w:val="0"/>
        <w:adjustRightInd w:val="0"/>
        <w:spacing w:line="360" w:lineRule="auto"/>
        <w:ind w:firstLine="420" w:firstLineChars="200"/>
        <w:jc w:val="left"/>
        <w:rPr>
          <w:rFonts w:hint="eastAsia" w:ascii="Times New Roman" w:hAnsi="Times New Roman" w:eastAsia="宋体" w:cs="Times New Roman"/>
          <w:b w:val="0"/>
          <w:kern w:val="2"/>
          <w:sz w:val="21"/>
          <w:szCs w:val="21"/>
          <w:lang w:val="en-US" w:eastAsia="zh-CN" w:bidi="ar-SA"/>
        </w:rPr>
      </w:pPr>
      <w:bookmarkStart w:id="18" w:name="_Toc18440"/>
      <w:bookmarkStart w:id="19" w:name="_Toc2081"/>
      <w:bookmarkStart w:id="20" w:name="_Toc32646"/>
      <w:bookmarkStart w:id="21" w:name="_Toc199"/>
      <w:bookmarkStart w:id="22" w:name="_Toc7955"/>
      <w:r>
        <w:rPr>
          <w:rFonts w:hint="eastAsia" w:ascii="Times New Roman" w:hAnsi="Times New Roman" w:eastAsia="宋体" w:cs="Times New Roman"/>
          <w:b w:val="0"/>
          <w:kern w:val="2"/>
          <w:sz w:val="21"/>
          <w:szCs w:val="21"/>
          <w:lang w:val="en-US" w:eastAsia="zh-CN" w:bidi="ar-SA"/>
        </w:rPr>
        <w:t>（4） 区域茶叶气候品质评价</w:t>
      </w:r>
      <w:bookmarkEnd w:id="18"/>
      <w:bookmarkEnd w:id="19"/>
      <w:bookmarkEnd w:id="20"/>
      <w:bookmarkEnd w:id="21"/>
      <w:bookmarkEnd w:id="22"/>
    </w:p>
    <w:p w14:paraId="6D647BCE">
      <w:pPr>
        <w:autoSpaceDE w:val="0"/>
        <w:autoSpaceDN w:val="0"/>
        <w:adjustRightInd w:val="0"/>
        <w:spacing w:line="360" w:lineRule="auto"/>
        <w:ind w:firstLine="420" w:firstLineChars="200"/>
        <w:jc w:val="left"/>
        <w:rPr>
          <w:rFonts w:hint="eastAsia" w:ascii="Times New Roman" w:hAnsi="Times New Roman" w:eastAsia="宋体" w:cs="Times New Roman"/>
          <w:b/>
          <w:bCs/>
          <w:szCs w:val="21"/>
          <w:lang w:val="en-US" w:eastAsia="zh-CN"/>
        </w:rPr>
      </w:pPr>
      <w:bookmarkStart w:id="23" w:name="_Toc24399"/>
      <w:bookmarkStart w:id="24" w:name="_Toc21926"/>
      <w:r>
        <w:rPr>
          <w:rFonts w:hint="eastAsia" w:ascii="Times New Roman" w:hAnsi="Times New Roman" w:eastAsia="宋体" w:cs="Times New Roman"/>
          <w:b w:val="0"/>
          <w:kern w:val="2"/>
          <w:sz w:val="21"/>
          <w:szCs w:val="21"/>
          <w:lang w:val="en-US" w:eastAsia="zh-CN" w:bidi="ar-SA"/>
        </w:rPr>
        <w:t>区域茶叶气候品质评价方法见《全国茶叶气候品质评价技术规范（试行）》中的5.7节。</w:t>
      </w:r>
      <w:bookmarkStart w:id="25" w:name="_Toc23110"/>
      <w:r>
        <w:rPr>
          <w:rFonts w:hint="eastAsia" w:ascii="Times New Roman" w:hAnsi="Times New Roman" w:eastAsia="宋体" w:cs="Times New Roman"/>
          <w:b/>
          <w:bCs/>
          <w:szCs w:val="21"/>
          <w:lang w:val="en-US" w:eastAsia="zh-CN"/>
        </w:rPr>
        <w:t>（三）基于气象观测资料的评价</w:t>
      </w:r>
      <w:bookmarkEnd w:id="23"/>
      <w:bookmarkEnd w:id="24"/>
      <w:bookmarkEnd w:id="25"/>
    </w:p>
    <w:p w14:paraId="6C806281">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bookmarkStart w:id="26" w:name="_Toc25246"/>
      <w:bookmarkStart w:id="27" w:name="_Toc870"/>
      <w:bookmarkStart w:id="28" w:name="_Toc12292"/>
      <w:bookmarkStart w:id="29" w:name="_Toc2512"/>
      <w:r>
        <w:rPr>
          <w:rFonts w:hint="eastAsia" w:ascii="Times New Roman" w:hAnsi="Times New Roman" w:eastAsia="宋体" w:cs="Times New Roman"/>
          <w:szCs w:val="21"/>
          <w:lang w:val="en-US" w:eastAsia="zh-CN"/>
        </w:rPr>
        <w:t>（1）近10年都匀茶叶气候品质评价指数</w:t>
      </w:r>
      <w:bookmarkEnd w:id="26"/>
      <w:bookmarkEnd w:id="27"/>
      <w:bookmarkEnd w:id="28"/>
      <w:bookmarkEnd w:id="29"/>
    </w:p>
    <w:p w14:paraId="79C0FC55">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利用气象要素数据，将近10年（2015-2024年）都匀市各气象要素值进行整理统计，计算出每年春茶采摘期间（表3）逐日前15天的平均气温、平均相对湿度和平均日照时数的平均值，见表4。</w:t>
      </w:r>
    </w:p>
    <w:p w14:paraId="13EAC796">
      <w:pPr>
        <w:spacing w:line="360" w:lineRule="auto"/>
        <w:ind w:firstLine="0" w:firstLineChars="0"/>
        <w:jc w:val="center"/>
        <w:rPr>
          <w:rFonts w:hint="eastAsia" w:ascii="Times New Roman" w:hAnsi="Times New Roman"/>
          <w:sz w:val="21"/>
          <w:szCs w:val="21"/>
        </w:rPr>
      </w:pPr>
      <w:r>
        <w:rPr>
          <w:rFonts w:hint="eastAsia" w:ascii="Times New Roman" w:hAnsi="Times New Roman"/>
          <w:sz w:val="21"/>
          <w:szCs w:val="21"/>
          <w:lang w:val="en-US" w:eastAsia="zh-CN"/>
        </w:rPr>
        <w:t>表3 都匀毛尖茶近10年春茶采摘日期</w:t>
      </w:r>
    </w:p>
    <w:tbl>
      <w:tblPr>
        <w:tblStyle w:val="9"/>
        <w:tblW w:w="6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9"/>
        <w:gridCol w:w="1026"/>
        <w:gridCol w:w="1080"/>
        <w:gridCol w:w="2642"/>
      </w:tblGrid>
      <w:tr w14:paraId="7CD8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0CED6E3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eastAsia="宋体"/>
                <w:b/>
                <w:bCs/>
                <w:sz w:val="21"/>
                <w:szCs w:val="21"/>
                <w:vertAlign w:val="baseline"/>
                <w:lang w:eastAsia="zh-CN"/>
              </w:rPr>
            </w:pPr>
            <w:r>
              <w:rPr>
                <w:rFonts w:hint="eastAsia"/>
                <w:b/>
                <w:bCs/>
                <w:sz w:val="21"/>
                <w:szCs w:val="21"/>
                <w:vertAlign w:val="baseline"/>
                <w:lang w:eastAsia="zh-CN"/>
              </w:rPr>
              <w:t>年份</w:t>
            </w:r>
          </w:p>
        </w:tc>
        <w:tc>
          <w:tcPr>
            <w:tcW w:w="1026" w:type="dxa"/>
            <w:noWrap w:val="0"/>
            <w:vAlign w:val="top"/>
          </w:tcPr>
          <w:p w14:paraId="04FAB24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eastAsia="宋体"/>
                <w:b/>
                <w:bCs/>
                <w:sz w:val="21"/>
                <w:szCs w:val="21"/>
                <w:vertAlign w:val="baseline"/>
                <w:lang w:eastAsia="zh-CN"/>
              </w:rPr>
            </w:pPr>
            <w:r>
              <w:rPr>
                <w:rFonts w:hint="eastAsia"/>
                <w:b/>
                <w:bCs/>
                <w:sz w:val="21"/>
                <w:szCs w:val="21"/>
                <w:vertAlign w:val="baseline"/>
                <w:lang w:eastAsia="zh-CN"/>
              </w:rPr>
              <w:t>开采日</w:t>
            </w:r>
          </w:p>
        </w:tc>
        <w:tc>
          <w:tcPr>
            <w:tcW w:w="1080" w:type="dxa"/>
            <w:noWrap w:val="0"/>
            <w:vAlign w:val="top"/>
          </w:tcPr>
          <w:p w14:paraId="1227F61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eastAsia="宋体"/>
                <w:b/>
                <w:bCs/>
                <w:sz w:val="21"/>
                <w:szCs w:val="21"/>
                <w:vertAlign w:val="baseline"/>
                <w:lang w:eastAsia="zh-CN"/>
              </w:rPr>
            </w:pPr>
            <w:r>
              <w:rPr>
                <w:rFonts w:hint="eastAsia"/>
                <w:b/>
                <w:bCs/>
                <w:sz w:val="21"/>
                <w:szCs w:val="21"/>
                <w:vertAlign w:val="baseline"/>
                <w:lang w:eastAsia="zh-CN"/>
              </w:rPr>
              <w:t>结束时间</w:t>
            </w:r>
          </w:p>
        </w:tc>
        <w:tc>
          <w:tcPr>
            <w:tcW w:w="2642" w:type="dxa"/>
            <w:noWrap w:val="0"/>
            <w:vAlign w:val="top"/>
          </w:tcPr>
          <w:p w14:paraId="31C6EFC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eastAsia="宋体"/>
                <w:b/>
                <w:bCs/>
                <w:sz w:val="21"/>
                <w:szCs w:val="21"/>
                <w:vertAlign w:val="baseline"/>
                <w:lang w:eastAsia="zh-CN"/>
              </w:rPr>
            </w:pPr>
            <w:r>
              <w:rPr>
                <w:rFonts w:hint="eastAsia"/>
                <w:b/>
                <w:bCs/>
                <w:sz w:val="21"/>
                <w:szCs w:val="21"/>
                <w:vertAlign w:val="baseline"/>
                <w:lang w:eastAsia="zh-CN"/>
              </w:rPr>
              <w:t>备注</w:t>
            </w:r>
          </w:p>
        </w:tc>
      </w:tr>
      <w:tr w14:paraId="2E92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69" w:type="dxa"/>
            <w:noWrap w:val="0"/>
            <w:vAlign w:val="top"/>
          </w:tcPr>
          <w:p w14:paraId="05B31330">
            <w:pPr>
              <w:spacing w:line="520" w:lineRule="exact"/>
              <w:jc w:val="left"/>
              <w:rPr>
                <w:rFonts w:hint="eastAsia"/>
                <w:sz w:val="21"/>
                <w:szCs w:val="21"/>
                <w:vertAlign w:val="baseline"/>
                <w:lang w:val="en-US" w:eastAsia="zh-CN"/>
              </w:rPr>
            </w:pPr>
            <w:r>
              <w:rPr>
                <w:rFonts w:hint="eastAsia"/>
                <w:sz w:val="21"/>
                <w:szCs w:val="21"/>
                <w:vertAlign w:val="baseline"/>
                <w:lang w:val="en-US" w:eastAsia="zh-CN"/>
              </w:rPr>
              <w:t>2015</w:t>
            </w:r>
          </w:p>
        </w:tc>
        <w:tc>
          <w:tcPr>
            <w:tcW w:w="1026" w:type="dxa"/>
            <w:noWrap w:val="0"/>
            <w:vAlign w:val="top"/>
          </w:tcPr>
          <w:p w14:paraId="7C977BED">
            <w:pPr>
              <w:spacing w:line="520" w:lineRule="exact"/>
              <w:jc w:val="left"/>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1080" w:type="dxa"/>
            <w:noWrap w:val="0"/>
            <w:vAlign w:val="top"/>
          </w:tcPr>
          <w:p w14:paraId="07153BF4">
            <w:pPr>
              <w:spacing w:line="520" w:lineRule="exact"/>
              <w:jc w:val="left"/>
              <w:rPr>
                <w:rFonts w:hint="eastAsia"/>
                <w:kern w:val="2"/>
                <w:sz w:val="21"/>
                <w:szCs w:val="21"/>
                <w:vertAlign w:val="baseline"/>
                <w:lang w:val="en-US" w:eastAsia="zh-CN" w:bidi="ar-SA"/>
              </w:rPr>
            </w:pPr>
            <w:r>
              <w:rPr>
                <w:rFonts w:hint="eastAsia" w:eastAsia="宋体"/>
                <w:sz w:val="21"/>
                <w:szCs w:val="21"/>
                <w:vertAlign w:val="baseline"/>
                <w:lang w:val="en-US" w:eastAsia="zh-CN"/>
              </w:rPr>
              <w:t>-</w:t>
            </w:r>
          </w:p>
        </w:tc>
        <w:tc>
          <w:tcPr>
            <w:tcW w:w="2642" w:type="dxa"/>
            <w:noWrap w:val="0"/>
            <w:vAlign w:val="bottom"/>
          </w:tcPr>
          <w:p w14:paraId="76B1FEA9">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default"/>
                <w:sz w:val="21"/>
                <w:szCs w:val="21"/>
                <w:vertAlign w:val="baseline"/>
                <w:lang w:val="en-US" w:eastAsia="zh-CN"/>
              </w:rPr>
            </w:pPr>
            <w:r>
              <w:rPr>
                <w:rFonts w:hint="eastAsia"/>
                <w:sz w:val="21"/>
                <w:szCs w:val="21"/>
                <w:vertAlign w:val="baseline"/>
                <w:lang w:val="en-US" w:eastAsia="zh-CN"/>
              </w:rPr>
              <w:t>采用平均日期</w:t>
            </w:r>
          </w:p>
        </w:tc>
      </w:tr>
      <w:tr w14:paraId="0256F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3A9AAE22">
            <w:pPr>
              <w:spacing w:line="520" w:lineRule="exact"/>
              <w:jc w:val="left"/>
              <w:rPr>
                <w:rFonts w:hint="eastAsia"/>
                <w:sz w:val="21"/>
                <w:szCs w:val="21"/>
                <w:vertAlign w:val="baseline"/>
                <w:lang w:val="en-US" w:eastAsia="zh-CN"/>
              </w:rPr>
            </w:pPr>
            <w:r>
              <w:rPr>
                <w:rFonts w:hint="eastAsia"/>
                <w:sz w:val="21"/>
                <w:szCs w:val="21"/>
                <w:vertAlign w:val="baseline"/>
                <w:lang w:val="en-US" w:eastAsia="zh-CN"/>
              </w:rPr>
              <w:t>2016</w:t>
            </w:r>
          </w:p>
        </w:tc>
        <w:tc>
          <w:tcPr>
            <w:tcW w:w="1026" w:type="dxa"/>
            <w:noWrap w:val="0"/>
            <w:vAlign w:val="top"/>
          </w:tcPr>
          <w:p w14:paraId="16CD16F3">
            <w:pPr>
              <w:spacing w:line="520" w:lineRule="exact"/>
              <w:jc w:val="left"/>
              <w:rPr>
                <w:rFonts w:hint="eastAsia"/>
                <w:kern w:val="2"/>
                <w:sz w:val="21"/>
                <w:szCs w:val="21"/>
                <w:vertAlign w:val="baseline"/>
                <w:lang w:val="en-US" w:eastAsia="zh-CN" w:bidi="ar-SA"/>
              </w:rPr>
            </w:pPr>
            <w:r>
              <w:rPr>
                <w:rFonts w:hint="eastAsia"/>
                <w:kern w:val="2"/>
                <w:sz w:val="21"/>
                <w:szCs w:val="21"/>
                <w:vertAlign w:val="baseline"/>
                <w:lang w:val="en-US" w:eastAsia="zh-CN" w:bidi="ar-SA"/>
              </w:rPr>
              <w:t>3.24</w:t>
            </w:r>
          </w:p>
        </w:tc>
        <w:tc>
          <w:tcPr>
            <w:tcW w:w="1080" w:type="dxa"/>
            <w:noWrap w:val="0"/>
            <w:vAlign w:val="top"/>
          </w:tcPr>
          <w:p w14:paraId="70820C57">
            <w:pPr>
              <w:spacing w:line="520" w:lineRule="exact"/>
              <w:jc w:val="left"/>
              <w:rPr>
                <w:rFonts w:hint="eastAsia"/>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30EFDD13">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eastAsia" w:ascii="Calibri" w:hAnsi="Calibri" w:eastAsia="宋体" w:cs="Times New Roman"/>
                <w:kern w:val="2"/>
                <w:sz w:val="21"/>
                <w:szCs w:val="21"/>
                <w:vertAlign w:val="baseline"/>
                <w:lang w:val="en-US" w:eastAsia="zh-CN" w:bidi="ar-SA"/>
              </w:rPr>
            </w:pPr>
            <w:r>
              <w:rPr>
                <w:rFonts w:hint="eastAsia"/>
                <w:sz w:val="21"/>
                <w:szCs w:val="21"/>
                <w:lang w:val="en-US" w:eastAsia="zh-CN"/>
              </w:rPr>
              <w:t>采用具体观测日期</w:t>
            </w:r>
          </w:p>
        </w:tc>
      </w:tr>
      <w:tr w14:paraId="31D2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64DE55B4">
            <w:pPr>
              <w:spacing w:line="520" w:lineRule="exact"/>
              <w:jc w:val="left"/>
              <w:rPr>
                <w:rFonts w:hint="eastAsia"/>
                <w:sz w:val="21"/>
                <w:szCs w:val="21"/>
                <w:vertAlign w:val="baseline"/>
                <w:lang w:val="en-US" w:eastAsia="zh-CN"/>
              </w:rPr>
            </w:pPr>
            <w:r>
              <w:rPr>
                <w:rFonts w:hint="eastAsia"/>
                <w:sz w:val="21"/>
                <w:szCs w:val="21"/>
                <w:vertAlign w:val="baseline"/>
                <w:lang w:val="en-US" w:eastAsia="zh-CN"/>
              </w:rPr>
              <w:t>2017</w:t>
            </w:r>
          </w:p>
        </w:tc>
        <w:tc>
          <w:tcPr>
            <w:tcW w:w="1026" w:type="dxa"/>
            <w:noWrap w:val="0"/>
            <w:vAlign w:val="top"/>
          </w:tcPr>
          <w:p w14:paraId="49BDE61D">
            <w:pPr>
              <w:spacing w:line="520" w:lineRule="exact"/>
              <w:jc w:val="left"/>
              <w:rPr>
                <w:rFonts w:hint="eastAsia"/>
                <w:kern w:val="2"/>
                <w:sz w:val="21"/>
                <w:szCs w:val="21"/>
                <w:vertAlign w:val="baseline"/>
                <w:lang w:val="en-US" w:eastAsia="zh-CN" w:bidi="ar-SA"/>
              </w:rPr>
            </w:pPr>
            <w:r>
              <w:rPr>
                <w:rFonts w:hint="eastAsia"/>
                <w:kern w:val="2"/>
                <w:sz w:val="21"/>
                <w:szCs w:val="21"/>
                <w:vertAlign w:val="baseline"/>
                <w:lang w:val="en-US" w:eastAsia="zh-CN" w:bidi="ar-SA"/>
              </w:rPr>
              <w:t>3.20</w:t>
            </w:r>
          </w:p>
        </w:tc>
        <w:tc>
          <w:tcPr>
            <w:tcW w:w="1080" w:type="dxa"/>
            <w:noWrap w:val="0"/>
            <w:vAlign w:val="top"/>
          </w:tcPr>
          <w:p w14:paraId="086EFE93">
            <w:pPr>
              <w:spacing w:line="520" w:lineRule="exact"/>
              <w:jc w:val="left"/>
              <w:rPr>
                <w:rFonts w:hint="eastAsia"/>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4CA3CCA1">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eastAsia" w:ascii="Calibri" w:hAnsi="Calibri" w:eastAsia="宋体" w:cs="Times New Roman"/>
                <w:kern w:val="2"/>
                <w:sz w:val="21"/>
                <w:szCs w:val="21"/>
                <w:vertAlign w:val="baseline"/>
                <w:lang w:val="en-US" w:eastAsia="zh-CN" w:bidi="ar-SA"/>
              </w:rPr>
            </w:pPr>
            <w:r>
              <w:rPr>
                <w:rFonts w:hint="eastAsia"/>
                <w:sz w:val="21"/>
                <w:szCs w:val="21"/>
                <w:lang w:val="en-US" w:eastAsia="zh-CN"/>
              </w:rPr>
              <w:t>采用具体观测日期</w:t>
            </w:r>
          </w:p>
        </w:tc>
      </w:tr>
      <w:tr w14:paraId="1767B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3ABEA223">
            <w:pPr>
              <w:spacing w:line="520" w:lineRule="exact"/>
              <w:jc w:val="left"/>
              <w:rPr>
                <w:rFonts w:hint="eastAsia"/>
                <w:sz w:val="21"/>
                <w:szCs w:val="21"/>
                <w:vertAlign w:val="baseline"/>
                <w:lang w:val="en-US" w:eastAsia="zh-CN"/>
              </w:rPr>
            </w:pPr>
            <w:r>
              <w:rPr>
                <w:rFonts w:hint="eastAsia"/>
                <w:sz w:val="21"/>
                <w:szCs w:val="21"/>
                <w:vertAlign w:val="baseline"/>
                <w:lang w:val="en-US" w:eastAsia="zh-CN"/>
              </w:rPr>
              <w:t>2018</w:t>
            </w:r>
          </w:p>
        </w:tc>
        <w:tc>
          <w:tcPr>
            <w:tcW w:w="1026" w:type="dxa"/>
            <w:noWrap w:val="0"/>
            <w:vAlign w:val="top"/>
          </w:tcPr>
          <w:p w14:paraId="0B263A92">
            <w:pPr>
              <w:spacing w:line="520" w:lineRule="exact"/>
              <w:jc w:val="left"/>
              <w:rPr>
                <w:rFonts w:hint="eastAsia"/>
                <w:kern w:val="2"/>
                <w:sz w:val="21"/>
                <w:szCs w:val="21"/>
                <w:vertAlign w:val="baseline"/>
                <w:lang w:val="en-US" w:eastAsia="zh-CN" w:bidi="ar-SA"/>
              </w:rPr>
            </w:pPr>
            <w:r>
              <w:rPr>
                <w:rFonts w:hint="eastAsia"/>
                <w:kern w:val="2"/>
                <w:sz w:val="21"/>
                <w:szCs w:val="21"/>
                <w:vertAlign w:val="baseline"/>
                <w:lang w:val="en-US" w:eastAsia="zh-CN" w:bidi="ar-SA"/>
              </w:rPr>
              <w:t>3.13</w:t>
            </w:r>
          </w:p>
        </w:tc>
        <w:tc>
          <w:tcPr>
            <w:tcW w:w="1080" w:type="dxa"/>
            <w:noWrap w:val="0"/>
            <w:vAlign w:val="top"/>
          </w:tcPr>
          <w:p w14:paraId="70B5BDD6">
            <w:pPr>
              <w:spacing w:line="520" w:lineRule="exact"/>
              <w:jc w:val="left"/>
              <w:rPr>
                <w:rFonts w:hint="eastAsia"/>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28356FF1">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eastAsia" w:ascii="Calibri" w:hAnsi="Calibri" w:eastAsia="宋体" w:cs="Times New Roman"/>
                <w:kern w:val="2"/>
                <w:sz w:val="21"/>
                <w:szCs w:val="21"/>
                <w:vertAlign w:val="baseline"/>
                <w:lang w:val="en-US" w:eastAsia="zh-CN" w:bidi="ar-SA"/>
              </w:rPr>
            </w:pPr>
            <w:r>
              <w:rPr>
                <w:rFonts w:hint="eastAsia"/>
                <w:sz w:val="21"/>
                <w:szCs w:val="21"/>
                <w:lang w:val="en-US" w:eastAsia="zh-CN"/>
              </w:rPr>
              <w:t>采用具体观测日期</w:t>
            </w:r>
          </w:p>
        </w:tc>
      </w:tr>
      <w:tr w14:paraId="6586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47B7E519">
            <w:pPr>
              <w:spacing w:line="520" w:lineRule="exact"/>
              <w:jc w:val="left"/>
              <w:rPr>
                <w:rFonts w:hint="default"/>
                <w:sz w:val="21"/>
                <w:szCs w:val="21"/>
                <w:vertAlign w:val="baseline"/>
                <w:lang w:val="en-US" w:eastAsia="zh-CN"/>
              </w:rPr>
            </w:pPr>
            <w:r>
              <w:rPr>
                <w:rFonts w:hint="eastAsia"/>
                <w:sz w:val="21"/>
                <w:szCs w:val="21"/>
                <w:vertAlign w:val="baseline"/>
                <w:lang w:val="en-US" w:eastAsia="zh-CN"/>
              </w:rPr>
              <w:t>2019</w:t>
            </w:r>
          </w:p>
        </w:tc>
        <w:tc>
          <w:tcPr>
            <w:tcW w:w="1026" w:type="dxa"/>
            <w:noWrap w:val="0"/>
            <w:vAlign w:val="top"/>
          </w:tcPr>
          <w:p w14:paraId="47653D67">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3.15</w:t>
            </w:r>
          </w:p>
        </w:tc>
        <w:tc>
          <w:tcPr>
            <w:tcW w:w="1080" w:type="dxa"/>
            <w:noWrap w:val="0"/>
            <w:vAlign w:val="top"/>
          </w:tcPr>
          <w:p w14:paraId="071A2CEA">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0267B083">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default" w:ascii="Calibri" w:hAnsi="Calibri" w:eastAsia="宋体" w:cs="Times New Roman"/>
                <w:kern w:val="2"/>
                <w:sz w:val="21"/>
                <w:szCs w:val="21"/>
                <w:vertAlign w:val="baseline"/>
                <w:lang w:val="en-US" w:eastAsia="zh-CN" w:bidi="ar-SA"/>
              </w:rPr>
            </w:pPr>
            <w:r>
              <w:rPr>
                <w:rFonts w:hint="eastAsia"/>
                <w:sz w:val="21"/>
                <w:szCs w:val="21"/>
                <w:lang w:val="en-US" w:eastAsia="zh-CN"/>
              </w:rPr>
              <w:t>采用具体观测日期</w:t>
            </w:r>
          </w:p>
        </w:tc>
      </w:tr>
      <w:tr w14:paraId="4EDE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24FC9EF5">
            <w:pPr>
              <w:spacing w:line="520" w:lineRule="exact"/>
              <w:jc w:val="left"/>
              <w:rPr>
                <w:rFonts w:hint="default"/>
                <w:sz w:val="21"/>
                <w:szCs w:val="21"/>
                <w:vertAlign w:val="baseline"/>
                <w:lang w:val="en-US" w:eastAsia="zh-CN"/>
              </w:rPr>
            </w:pPr>
            <w:r>
              <w:rPr>
                <w:rFonts w:hint="eastAsia"/>
                <w:sz w:val="21"/>
                <w:szCs w:val="21"/>
                <w:vertAlign w:val="baseline"/>
                <w:lang w:val="en-US" w:eastAsia="zh-CN"/>
              </w:rPr>
              <w:t>2020</w:t>
            </w:r>
          </w:p>
        </w:tc>
        <w:tc>
          <w:tcPr>
            <w:tcW w:w="1026" w:type="dxa"/>
            <w:noWrap w:val="0"/>
            <w:vAlign w:val="top"/>
          </w:tcPr>
          <w:p w14:paraId="17C53149">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3.20</w:t>
            </w:r>
          </w:p>
        </w:tc>
        <w:tc>
          <w:tcPr>
            <w:tcW w:w="1080" w:type="dxa"/>
            <w:noWrap w:val="0"/>
            <w:vAlign w:val="top"/>
          </w:tcPr>
          <w:p w14:paraId="6B40A1E7">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22E2E5EA">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default" w:ascii="Calibri" w:hAnsi="Calibri" w:eastAsia="宋体" w:cs="Times New Roman"/>
                <w:kern w:val="2"/>
                <w:sz w:val="21"/>
                <w:szCs w:val="21"/>
                <w:vertAlign w:val="baseline"/>
                <w:lang w:val="en-US" w:eastAsia="zh-CN" w:bidi="ar-SA"/>
              </w:rPr>
            </w:pPr>
            <w:r>
              <w:rPr>
                <w:rFonts w:hint="eastAsia"/>
                <w:sz w:val="21"/>
                <w:szCs w:val="21"/>
                <w:lang w:val="en-US" w:eastAsia="zh-CN"/>
              </w:rPr>
              <w:t>采用具体观测日期</w:t>
            </w:r>
          </w:p>
        </w:tc>
      </w:tr>
      <w:tr w14:paraId="5656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66F710CC">
            <w:pPr>
              <w:spacing w:line="520" w:lineRule="exact"/>
              <w:jc w:val="left"/>
              <w:rPr>
                <w:rFonts w:hint="default"/>
                <w:sz w:val="21"/>
                <w:szCs w:val="21"/>
                <w:vertAlign w:val="baseline"/>
                <w:lang w:val="en-US" w:eastAsia="zh-CN"/>
              </w:rPr>
            </w:pPr>
            <w:r>
              <w:rPr>
                <w:rFonts w:hint="eastAsia"/>
                <w:sz w:val="21"/>
                <w:szCs w:val="21"/>
                <w:vertAlign w:val="baseline"/>
                <w:lang w:val="en-US" w:eastAsia="zh-CN"/>
              </w:rPr>
              <w:t>2021</w:t>
            </w:r>
          </w:p>
        </w:tc>
        <w:tc>
          <w:tcPr>
            <w:tcW w:w="1026" w:type="dxa"/>
            <w:noWrap w:val="0"/>
            <w:vAlign w:val="top"/>
          </w:tcPr>
          <w:p w14:paraId="370FDBFC">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3.15</w:t>
            </w:r>
          </w:p>
        </w:tc>
        <w:tc>
          <w:tcPr>
            <w:tcW w:w="1080" w:type="dxa"/>
            <w:noWrap w:val="0"/>
            <w:vAlign w:val="top"/>
          </w:tcPr>
          <w:p w14:paraId="4052D45D">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1B47DBF8">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default" w:eastAsia="宋体"/>
                <w:sz w:val="21"/>
                <w:szCs w:val="21"/>
                <w:lang w:val="en-US" w:eastAsia="zh-CN"/>
              </w:rPr>
            </w:pPr>
            <w:r>
              <w:rPr>
                <w:rFonts w:hint="eastAsia"/>
                <w:sz w:val="21"/>
                <w:szCs w:val="21"/>
                <w:lang w:val="en-US" w:eastAsia="zh-CN"/>
              </w:rPr>
              <w:t>采用具体观测日期</w:t>
            </w:r>
          </w:p>
        </w:tc>
      </w:tr>
      <w:tr w14:paraId="261A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4B602008">
            <w:pPr>
              <w:spacing w:line="520" w:lineRule="exact"/>
              <w:jc w:val="left"/>
              <w:rPr>
                <w:rFonts w:hint="default"/>
                <w:sz w:val="21"/>
                <w:szCs w:val="21"/>
                <w:vertAlign w:val="baseline"/>
                <w:lang w:val="en-US" w:eastAsia="zh-CN"/>
              </w:rPr>
            </w:pPr>
            <w:r>
              <w:rPr>
                <w:rFonts w:hint="eastAsia"/>
                <w:sz w:val="21"/>
                <w:szCs w:val="21"/>
                <w:vertAlign w:val="baseline"/>
                <w:lang w:val="en-US" w:eastAsia="zh-CN"/>
              </w:rPr>
              <w:t>2022</w:t>
            </w:r>
          </w:p>
        </w:tc>
        <w:tc>
          <w:tcPr>
            <w:tcW w:w="1026" w:type="dxa"/>
            <w:noWrap w:val="0"/>
            <w:vAlign w:val="top"/>
          </w:tcPr>
          <w:p w14:paraId="43F0E4C4">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3.20</w:t>
            </w:r>
          </w:p>
        </w:tc>
        <w:tc>
          <w:tcPr>
            <w:tcW w:w="1080" w:type="dxa"/>
            <w:noWrap w:val="0"/>
            <w:vAlign w:val="top"/>
          </w:tcPr>
          <w:p w14:paraId="5CEEB98F">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46178300">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default" w:ascii="Calibri" w:hAnsi="Calibri" w:eastAsia="宋体" w:cs="Times New Roman"/>
                <w:kern w:val="2"/>
                <w:sz w:val="21"/>
                <w:szCs w:val="21"/>
                <w:lang w:val="en-US" w:eastAsia="zh-CN" w:bidi="ar-SA"/>
              </w:rPr>
            </w:pPr>
            <w:r>
              <w:rPr>
                <w:rFonts w:hint="eastAsia"/>
                <w:sz w:val="21"/>
                <w:szCs w:val="21"/>
                <w:lang w:val="en-US" w:eastAsia="zh-CN"/>
              </w:rPr>
              <w:t>采用具体观测日期</w:t>
            </w:r>
          </w:p>
        </w:tc>
      </w:tr>
      <w:tr w14:paraId="162E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6B59E0F2">
            <w:pPr>
              <w:spacing w:line="520" w:lineRule="exact"/>
              <w:jc w:val="left"/>
              <w:rPr>
                <w:rFonts w:hint="default"/>
                <w:sz w:val="21"/>
                <w:szCs w:val="21"/>
                <w:vertAlign w:val="baseline"/>
                <w:lang w:val="en-US" w:eastAsia="zh-CN"/>
              </w:rPr>
            </w:pPr>
            <w:r>
              <w:rPr>
                <w:rFonts w:hint="eastAsia"/>
                <w:sz w:val="21"/>
                <w:szCs w:val="21"/>
                <w:vertAlign w:val="baseline"/>
                <w:lang w:val="en-US" w:eastAsia="zh-CN"/>
              </w:rPr>
              <w:t>2023</w:t>
            </w:r>
          </w:p>
        </w:tc>
        <w:tc>
          <w:tcPr>
            <w:tcW w:w="1026" w:type="dxa"/>
            <w:noWrap w:val="0"/>
            <w:vAlign w:val="top"/>
          </w:tcPr>
          <w:p w14:paraId="2A672437">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3.20</w:t>
            </w:r>
          </w:p>
        </w:tc>
        <w:tc>
          <w:tcPr>
            <w:tcW w:w="1080" w:type="dxa"/>
            <w:noWrap w:val="0"/>
            <w:vAlign w:val="top"/>
          </w:tcPr>
          <w:p w14:paraId="2384A6BC">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3DA68DA6">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default" w:ascii="Calibri" w:hAnsi="Calibri" w:eastAsia="宋体" w:cs="Times New Roman"/>
                <w:kern w:val="2"/>
                <w:sz w:val="21"/>
                <w:szCs w:val="21"/>
                <w:lang w:val="en-US" w:eastAsia="zh-CN" w:bidi="ar-SA"/>
              </w:rPr>
            </w:pPr>
            <w:r>
              <w:rPr>
                <w:rFonts w:hint="eastAsia"/>
                <w:sz w:val="21"/>
                <w:szCs w:val="21"/>
                <w:lang w:val="en-US" w:eastAsia="zh-CN"/>
              </w:rPr>
              <w:t>采用具体观测日期</w:t>
            </w:r>
          </w:p>
        </w:tc>
      </w:tr>
      <w:tr w14:paraId="78DAD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1F6E33FA">
            <w:pPr>
              <w:spacing w:line="520" w:lineRule="exact"/>
              <w:jc w:val="left"/>
              <w:rPr>
                <w:rFonts w:hint="default"/>
                <w:sz w:val="21"/>
                <w:szCs w:val="21"/>
                <w:vertAlign w:val="baseline"/>
                <w:lang w:val="en-US" w:eastAsia="zh-CN"/>
              </w:rPr>
            </w:pPr>
            <w:r>
              <w:rPr>
                <w:rFonts w:hint="eastAsia"/>
                <w:sz w:val="21"/>
                <w:szCs w:val="21"/>
                <w:vertAlign w:val="baseline"/>
                <w:lang w:val="en-US" w:eastAsia="zh-CN"/>
              </w:rPr>
              <w:t>2024</w:t>
            </w:r>
          </w:p>
        </w:tc>
        <w:tc>
          <w:tcPr>
            <w:tcW w:w="1026" w:type="dxa"/>
            <w:noWrap w:val="0"/>
            <w:vAlign w:val="top"/>
          </w:tcPr>
          <w:p w14:paraId="24C4A425">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3.24</w:t>
            </w:r>
          </w:p>
        </w:tc>
        <w:tc>
          <w:tcPr>
            <w:tcW w:w="1080" w:type="dxa"/>
            <w:noWrap w:val="0"/>
            <w:vAlign w:val="top"/>
          </w:tcPr>
          <w:p w14:paraId="32E6C055">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7022BC8C">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default" w:ascii="Calibri" w:hAnsi="Calibri" w:eastAsia="宋体" w:cs="Times New Roman"/>
                <w:kern w:val="2"/>
                <w:sz w:val="21"/>
                <w:szCs w:val="21"/>
                <w:lang w:val="en-US" w:eastAsia="zh-CN" w:bidi="ar-SA"/>
              </w:rPr>
            </w:pPr>
            <w:r>
              <w:rPr>
                <w:rFonts w:hint="eastAsia"/>
                <w:sz w:val="21"/>
                <w:szCs w:val="21"/>
                <w:lang w:val="en-US" w:eastAsia="zh-CN"/>
              </w:rPr>
              <w:t>采用具体观测日期</w:t>
            </w:r>
          </w:p>
        </w:tc>
      </w:tr>
      <w:tr w14:paraId="6C8B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430D0E4A">
            <w:pPr>
              <w:spacing w:line="520" w:lineRule="exact"/>
              <w:jc w:val="left"/>
              <w:rPr>
                <w:rFonts w:hint="default"/>
                <w:sz w:val="21"/>
                <w:szCs w:val="21"/>
                <w:vertAlign w:val="baseline"/>
                <w:lang w:val="en-US" w:eastAsia="zh-CN"/>
              </w:rPr>
            </w:pPr>
            <w:r>
              <w:rPr>
                <w:rFonts w:hint="eastAsia"/>
                <w:sz w:val="21"/>
                <w:szCs w:val="21"/>
                <w:vertAlign w:val="baseline"/>
                <w:lang w:val="en-US" w:eastAsia="zh-CN"/>
              </w:rPr>
              <w:t>2015-2024年平均</w:t>
            </w:r>
          </w:p>
        </w:tc>
        <w:tc>
          <w:tcPr>
            <w:tcW w:w="1026" w:type="dxa"/>
            <w:noWrap w:val="0"/>
            <w:vAlign w:val="top"/>
          </w:tcPr>
          <w:p w14:paraId="02DE4545">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3.19</w:t>
            </w:r>
          </w:p>
        </w:tc>
        <w:tc>
          <w:tcPr>
            <w:tcW w:w="1080" w:type="dxa"/>
            <w:noWrap w:val="0"/>
            <w:vAlign w:val="top"/>
          </w:tcPr>
          <w:p w14:paraId="254AC60A">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6448FA05">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default"/>
                <w:sz w:val="21"/>
                <w:szCs w:val="21"/>
                <w:lang w:val="en-US" w:eastAsia="zh-CN"/>
              </w:rPr>
            </w:pPr>
            <w:r>
              <w:rPr>
                <w:rFonts w:hint="eastAsia"/>
                <w:sz w:val="21"/>
                <w:szCs w:val="21"/>
                <w:lang w:val="en-US" w:eastAsia="zh-CN"/>
              </w:rPr>
              <w:t>-</w:t>
            </w:r>
          </w:p>
        </w:tc>
      </w:tr>
    </w:tbl>
    <w:p w14:paraId="0C34959E">
      <w:pPr>
        <w:adjustRightInd w:val="0"/>
        <w:snapToGrid w:val="0"/>
        <w:spacing w:before="156" w:beforeLines="50" w:line="360" w:lineRule="auto"/>
        <w:ind w:firstLine="0" w:firstLineChars="0"/>
        <w:jc w:val="center"/>
        <w:rPr>
          <w:rFonts w:ascii="Times New Roman" w:hAnsi="Times New Roman"/>
          <w:sz w:val="21"/>
          <w:szCs w:val="21"/>
        </w:rPr>
      </w:pPr>
      <w:r>
        <w:rPr>
          <w:rFonts w:hint="eastAsia" w:ascii="Times New Roman" w:hAnsi="Times New Roman"/>
          <w:sz w:val="21"/>
          <w:szCs w:val="21"/>
        </w:rPr>
        <w:t>表</w:t>
      </w:r>
      <w:r>
        <w:rPr>
          <w:rFonts w:hint="eastAsia" w:ascii="Times New Roman" w:hAnsi="Times New Roman"/>
          <w:sz w:val="21"/>
          <w:szCs w:val="21"/>
          <w:lang w:val="en-US" w:eastAsia="zh-CN"/>
        </w:rPr>
        <w:t>4</w:t>
      </w:r>
      <w:r>
        <w:rPr>
          <w:rFonts w:hint="eastAsia" w:ascii="Times New Roman" w:hAnsi="Times New Roman"/>
          <w:sz w:val="21"/>
          <w:szCs w:val="21"/>
        </w:rPr>
        <w:t xml:space="preserve"> </w:t>
      </w:r>
      <w:r>
        <w:rPr>
          <w:rFonts w:hint="eastAsia" w:ascii="Times New Roman" w:hAnsi="Times New Roman"/>
          <w:sz w:val="21"/>
          <w:szCs w:val="21"/>
          <w:lang w:eastAsia="zh-CN"/>
        </w:rPr>
        <w:t>都匀</w:t>
      </w:r>
      <w:r>
        <w:rPr>
          <w:rFonts w:hint="eastAsia" w:ascii="Times New Roman" w:hAnsi="Times New Roman"/>
          <w:sz w:val="21"/>
          <w:szCs w:val="21"/>
          <w:lang w:val="en-US" w:eastAsia="zh-CN"/>
        </w:rPr>
        <w:t>毛尖茶</w:t>
      </w:r>
      <w:r>
        <w:rPr>
          <w:rFonts w:hint="eastAsia" w:ascii="Times New Roman" w:hAnsi="Times New Roman"/>
          <w:sz w:val="21"/>
          <w:szCs w:val="21"/>
          <w:lang w:eastAsia="zh-CN"/>
        </w:rPr>
        <w:t>近10年</w:t>
      </w:r>
      <w:r>
        <w:rPr>
          <w:rFonts w:hint="eastAsia" w:ascii="Times New Roman" w:hAnsi="Times New Roman"/>
          <w:sz w:val="21"/>
          <w:szCs w:val="21"/>
          <w:lang w:val="en-US" w:eastAsia="zh-CN"/>
        </w:rPr>
        <w:t>春茶采摘期间</w:t>
      </w:r>
      <w:r>
        <w:rPr>
          <w:rFonts w:hint="eastAsia" w:ascii="Times New Roman" w:hAnsi="Times New Roman"/>
          <w:sz w:val="21"/>
          <w:szCs w:val="21"/>
        </w:rPr>
        <w:t>采摘前15天各气象要素平均值</w:t>
      </w:r>
    </w:p>
    <w:tbl>
      <w:tblPr>
        <w:tblStyle w:val="9"/>
        <w:tblW w:w="6728" w:type="dxa"/>
        <w:tblInd w:w="8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999"/>
        <w:gridCol w:w="1895"/>
        <w:gridCol w:w="1928"/>
      </w:tblGrid>
      <w:tr w14:paraId="4445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tcPr>
          <w:p w14:paraId="611F463E">
            <w:pPr>
              <w:adjustRightInd w:val="0"/>
              <w:snapToGrid w:val="0"/>
              <w:spacing w:before="156" w:beforeLines="50"/>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年份</w:t>
            </w:r>
          </w:p>
        </w:tc>
        <w:tc>
          <w:tcPr>
            <w:tcW w:w="1999" w:type="dxa"/>
          </w:tcPr>
          <w:p w14:paraId="238756A3">
            <w:pPr>
              <w:adjustRightInd w:val="0"/>
              <w:snapToGrid w:val="0"/>
              <w:spacing w:before="156" w:beforeLines="50"/>
              <w:ind w:firstLine="0" w:firstLineChars="0"/>
              <w:jc w:val="center"/>
              <w:rPr>
                <w:rFonts w:ascii="Times New Roman" w:hAnsi="Times New Roman"/>
                <w:b/>
                <w:bCs/>
                <w:kern w:val="0"/>
                <w:sz w:val="21"/>
                <w:szCs w:val="21"/>
              </w:rPr>
            </w:pPr>
            <w:r>
              <w:rPr>
                <w:rFonts w:ascii="Times New Roman" w:hAnsi="Times New Roman"/>
                <w:b/>
                <w:bCs/>
                <w:kern w:val="0"/>
                <w:sz w:val="21"/>
                <w:szCs w:val="21"/>
              </w:rPr>
              <w:t>平均气温(</w:t>
            </w:r>
            <w:r>
              <w:rPr>
                <w:rFonts w:hint="eastAsia" w:ascii="宋体" w:hAnsi="宋体" w:cs="宋体"/>
                <w:b/>
                <w:bCs/>
                <w:kern w:val="0"/>
                <w:sz w:val="21"/>
                <w:szCs w:val="21"/>
              </w:rPr>
              <w:t>℃</w:t>
            </w:r>
            <w:r>
              <w:rPr>
                <w:rFonts w:ascii="Times New Roman" w:hAnsi="Times New Roman"/>
                <w:b/>
                <w:bCs/>
                <w:kern w:val="0"/>
                <w:sz w:val="21"/>
                <w:szCs w:val="21"/>
              </w:rPr>
              <w:t>)</w:t>
            </w:r>
          </w:p>
        </w:tc>
        <w:tc>
          <w:tcPr>
            <w:tcW w:w="1895" w:type="dxa"/>
          </w:tcPr>
          <w:p w14:paraId="418959EF">
            <w:pPr>
              <w:adjustRightInd w:val="0"/>
              <w:snapToGrid w:val="0"/>
              <w:spacing w:before="156" w:beforeLines="50"/>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平均</w:t>
            </w:r>
            <w:r>
              <w:rPr>
                <w:rFonts w:ascii="Times New Roman" w:hAnsi="Times New Roman"/>
                <w:b/>
                <w:bCs/>
                <w:kern w:val="0"/>
                <w:sz w:val="21"/>
                <w:szCs w:val="21"/>
              </w:rPr>
              <w:t>相对湿度(%)</w:t>
            </w:r>
          </w:p>
        </w:tc>
        <w:tc>
          <w:tcPr>
            <w:tcW w:w="1928" w:type="dxa"/>
          </w:tcPr>
          <w:p w14:paraId="43E056E8">
            <w:pPr>
              <w:adjustRightInd w:val="0"/>
              <w:snapToGrid w:val="0"/>
              <w:spacing w:before="156" w:beforeLines="50"/>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平均</w:t>
            </w:r>
            <w:r>
              <w:rPr>
                <w:rFonts w:ascii="Times New Roman" w:hAnsi="Times New Roman"/>
                <w:b/>
                <w:bCs/>
                <w:kern w:val="0"/>
                <w:sz w:val="21"/>
                <w:szCs w:val="21"/>
              </w:rPr>
              <w:t>日照时数(h)</w:t>
            </w:r>
          </w:p>
        </w:tc>
      </w:tr>
      <w:tr w14:paraId="0C99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09188657">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default" w:ascii="Times New Roman" w:hAnsi="Times New Roman"/>
                <w:b/>
                <w:bCs/>
                <w:kern w:val="0"/>
                <w:sz w:val="21"/>
                <w:szCs w:val="21"/>
                <w:lang w:val="en-US" w:eastAsia="zh-CN"/>
              </w:rPr>
              <w:t>2015</w:t>
            </w:r>
          </w:p>
        </w:tc>
        <w:tc>
          <w:tcPr>
            <w:tcW w:w="1999" w:type="dxa"/>
            <w:vAlign w:val="center"/>
          </w:tcPr>
          <w:p w14:paraId="6BFF8A2C">
            <w:pPr>
              <w:keepNext w:val="0"/>
              <w:keepLines w:val="0"/>
              <w:widowControl/>
              <w:suppressLineNumbers w:val="0"/>
              <w:jc w:val="center"/>
              <w:textAlignment w:val="center"/>
              <w:rPr>
                <w:rFonts w:hint="eastAsia" w:ascii="宋体" w:hAnsi="宋体" w:cs="宋体"/>
                <w:b w:val="0"/>
                <w:b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15.1</w:t>
            </w:r>
          </w:p>
        </w:tc>
        <w:tc>
          <w:tcPr>
            <w:tcW w:w="1895" w:type="dxa"/>
            <w:vAlign w:val="center"/>
          </w:tcPr>
          <w:p w14:paraId="651F234A">
            <w:pPr>
              <w:keepNext w:val="0"/>
              <w:keepLines w:val="0"/>
              <w:widowControl/>
              <w:suppressLineNumbers w:val="0"/>
              <w:jc w:val="center"/>
              <w:textAlignment w:val="center"/>
              <w:rPr>
                <w:rFonts w:hint="eastAsia" w:ascii="宋体" w:hAnsi="宋体" w:cs="宋体"/>
                <w:b w:val="0"/>
                <w:b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82.6</w:t>
            </w:r>
          </w:p>
        </w:tc>
        <w:tc>
          <w:tcPr>
            <w:tcW w:w="1928" w:type="dxa"/>
            <w:vAlign w:val="center"/>
          </w:tcPr>
          <w:p w14:paraId="09DF50B1">
            <w:pPr>
              <w:keepNext w:val="0"/>
              <w:keepLines w:val="0"/>
              <w:widowControl/>
              <w:suppressLineNumbers w:val="0"/>
              <w:jc w:val="center"/>
              <w:textAlignment w:val="center"/>
              <w:rPr>
                <w:rFonts w:hint="eastAsia" w:ascii="宋体" w:hAnsi="宋体" w:cs="宋体"/>
                <w:b w:val="0"/>
                <w:b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2.5</w:t>
            </w:r>
          </w:p>
        </w:tc>
      </w:tr>
      <w:tr w14:paraId="6C1C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5B03DDF2">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default" w:ascii="Times New Roman" w:hAnsi="Times New Roman"/>
                <w:b/>
                <w:bCs/>
                <w:kern w:val="0"/>
                <w:sz w:val="21"/>
                <w:szCs w:val="21"/>
                <w:lang w:val="en-US" w:eastAsia="zh-CN"/>
              </w:rPr>
              <w:t>2016</w:t>
            </w:r>
          </w:p>
        </w:tc>
        <w:tc>
          <w:tcPr>
            <w:tcW w:w="1999" w:type="dxa"/>
            <w:vAlign w:val="center"/>
          </w:tcPr>
          <w:p w14:paraId="5746A18F">
            <w:pPr>
              <w:keepNext w:val="0"/>
              <w:keepLines w:val="0"/>
              <w:widowControl/>
              <w:suppressLineNumbers w:val="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14.4</w:t>
            </w:r>
          </w:p>
        </w:tc>
        <w:tc>
          <w:tcPr>
            <w:tcW w:w="1895" w:type="dxa"/>
            <w:vAlign w:val="center"/>
          </w:tcPr>
          <w:p w14:paraId="51406F01">
            <w:pPr>
              <w:keepNext w:val="0"/>
              <w:keepLines w:val="0"/>
              <w:widowControl/>
              <w:suppressLineNumbers w:val="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88.5</w:t>
            </w:r>
          </w:p>
        </w:tc>
        <w:tc>
          <w:tcPr>
            <w:tcW w:w="1928" w:type="dxa"/>
            <w:vAlign w:val="center"/>
          </w:tcPr>
          <w:p w14:paraId="46D63498">
            <w:pPr>
              <w:keepNext w:val="0"/>
              <w:keepLines w:val="0"/>
              <w:widowControl/>
              <w:suppressLineNumbers w:val="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1.5</w:t>
            </w:r>
          </w:p>
        </w:tc>
      </w:tr>
      <w:tr w14:paraId="5A9C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37D38BE7">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default" w:ascii="Times New Roman" w:hAnsi="Times New Roman"/>
                <w:b/>
                <w:bCs/>
                <w:kern w:val="0"/>
                <w:sz w:val="21"/>
                <w:szCs w:val="21"/>
                <w:lang w:val="en-US" w:eastAsia="zh-CN"/>
              </w:rPr>
              <w:t>2017</w:t>
            </w:r>
          </w:p>
        </w:tc>
        <w:tc>
          <w:tcPr>
            <w:tcW w:w="1999" w:type="dxa"/>
            <w:vAlign w:val="center"/>
          </w:tcPr>
          <w:p w14:paraId="3E35E7D2">
            <w:pPr>
              <w:keepNext w:val="0"/>
              <w:keepLines w:val="0"/>
              <w:widowControl/>
              <w:suppressLineNumbers w:val="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13.6</w:t>
            </w:r>
          </w:p>
        </w:tc>
        <w:tc>
          <w:tcPr>
            <w:tcW w:w="1895" w:type="dxa"/>
            <w:vAlign w:val="center"/>
          </w:tcPr>
          <w:p w14:paraId="6C2EFEF2">
            <w:pPr>
              <w:keepNext w:val="0"/>
              <w:keepLines w:val="0"/>
              <w:widowControl/>
              <w:suppressLineNumbers w:val="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84.3</w:t>
            </w:r>
          </w:p>
        </w:tc>
        <w:tc>
          <w:tcPr>
            <w:tcW w:w="1928" w:type="dxa"/>
            <w:vAlign w:val="center"/>
          </w:tcPr>
          <w:p w14:paraId="3B42111B">
            <w:pPr>
              <w:keepNext w:val="0"/>
              <w:keepLines w:val="0"/>
              <w:widowControl/>
              <w:suppressLineNumbers w:val="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2.4</w:t>
            </w:r>
          </w:p>
        </w:tc>
      </w:tr>
      <w:tr w14:paraId="4DF5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4B9FA1FE">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2018</w:t>
            </w:r>
          </w:p>
        </w:tc>
        <w:tc>
          <w:tcPr>
            <w:tcW w:w="1999" w:type="dxa"/>
            <w:vAlign w:val="center"/>
          </w:tcPr>
          <w:p w14:paraId="17C5DF09">
            <w:pPr>
              <w:keepNext w:val="0"/>
              <w:keepLines w:val="0"/>
              <w:widowControl/>
              <w:suppressLineNumbers w:val="0"/>
              <w:jc w:val="center"/>
              <w:textAlignment w:val="center"/>
              <w:rPr>
                <w:rFonts w:hint="eastAsia"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15.0</w:t>
            </w:r>
          </w:p>
        </w:tc>
        <w:tc>
          <w:tcPr>
            <w:tcW w:w="1895" w:type="dxa"/>
            <w:vAlign w:val="center"/>
          </w:tcPr>
          <w:p w14:paraId="2534B4AE">
            <w:pPr>
              <w:keepNext w:val="0"/>
              <w:keepLines w:val="0"/>
              <w:widowControl/>
              <w:suppressLineNumbers w:val="0"/>
              <w:jc w:val="center"/>
              <w:textAlignment w:val="center"/>
              <w:rPr>
                <w:rFonts w:hint="eastAsia"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79.7</w:t>
            </w:r>
          </w:p>
        </w:tc>
        <w:tc>
          <w:tcPr>
            <w:tcW w:w="1928" w:type="dxa"/>
            <w:vAlign w:val="center"/>
          </w:tcPr>
          <w:p w14:paraId="6D74DDE8">
            <w:pPr>
              <w:keepNext w:val="0"/>
              <w:keepLines w:val="0"/>
              <w:widowControl/>
              <w:suppressLineNumbers w:val="0"/>
              <w:jc w:val="center"/>
              <w:textAlignment w:val="center"/>
              <w:rPr>
                <w:rFonts w:hint="eastAsia"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3.2</w:t>
            </w:r>
          </w:p>
        </w:tc>
      </w:tr>
      <w:tr w14:paraId="5538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53D00300">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2019</w:t>
            </w:r>
          </w:p>
        </w:tc>
        <w:tc>
          <w:tcPr>
            <w:tcW w:w="1999" w:type="dxa"/>
            <w:vAlign w:val="center"/>
          </w:tcPr>
          <w:p w14:paraId="507493BE">
            <w:pPr>
              <w:keepNext w:val="0"/>
              <w:keepLines w:val="0"/>
              <w:widowControl/>
              <w:suppressLineNumbers w:val="0"/>
              <w:jc w:val="center"/>
              <w:textAlignment w:val="center"/>
              <w:rPr>
                <w:rFonts w:hint="eastAsia"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14.2</w:t>
            </w:r>
          </w:p>
        </w:tc>
        <w:tc>
          <w:tcPr>
            <w:tcW w:w="1895" w:type="dxa"/>
            <w:vAlign w:val="center"/>
          </w:tcPr>
          <w:p w14:paraId="7B742128">
            <w:pPr>
              <w:keepNext w:val="0"/>
              <w:keepLines w:val="0"/>
              <w:widowControl/>
              <w:suppressLineNumbers w:val="0"/>
              <w:jc w:val="center"/>
              <w:textAlignment w:val="center"/>
              <w:rPr>
                <w:rFonts w:hint="eastAsia"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85.0</w:t>
            </w:r>
          </w:p>
        </w:tc>
        <w:tc>
          <w:tcPr>
            <w:tcW w:w="1928" w:type="dxa"/>
            <w:vAlign w:val="center"/>
          </w:tcPr>
          <w:p w14:paraId="28C6C426">
            <w:pPr>
              <w:keepNext w:val="0"/>
              <w:keepLines w:val="0"/>
              <w:widowControl/>
              <w:suppressLineNumbers w:val="0"/>
              <w:jc w:val="center"/>
              <w:textAlignment w:val="center"/>
              <w:rPr>
                <w:rFonts w:hint="eastAsia"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2.4</w:t>
            </w:r>
          </w:p>
        </w:tc>
      </w:tr>
      <w:tr w14:paraId="22DE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26DA6E3F">
            <w:pPr>
              <w:adjustRightInd w:val="0"/>
              <w:snapToGrid w:val="0"/>
              <w:spacing w:before="156" w:beforeLines="50"/>
              <w:ind w:firstLine="0" w:firstLineChars="0"/>
              <w:jc w:val="center"/>
              <w:rPr>
                <w:rFonts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2020</w:t>
            </w:r>
          </w:p>
        </w:tc>
        <w:tc>
          <w:tcPr>
            <w:tcW w:w="1999" w:type="dxa"/>
            <w:vAlign w:val="center"/>
          </w:tcPr>
          <w:p w14:paraId="15E4197A">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13.6</w:t>
            </w:r>
          </w:p>
        </w:tc>
        <w:tc>
          <w:tcPr>
            <w:tcW w:w="1895" w:type="dxa"/>
            <w:vAlign w:val="center"/>
          </w:tcPr>
          <w:p w14:paraId="15D6B80D">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80.2</w:t>
            </w:r>
          </w:p>
        </w:tc>
        <w:tc>
          <w:tcPr>
            <w:tcW w:w="1928" w:type="dxa"/>
            <w:vAlign w:val="center"/>
          </w:tcPr>
          <w:p w14:paraId="4D4E74C7">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2.6</w:t>
            </w:r>
          </w:p>
        </w:tc>
      </w:tr>
      <w:tr w14:paraId="5BAB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012E5747">
            <w:pPr>
              <w:adjustRightInd w:val="0"/>
              <w:snapToGrid w:val="0"/>
              <w:spacing w:before="156" w:beforeLines="50"/>
              <w:ind w:firstLine="0" w:firstLineChars="0"/>
              <w:jc w:val="center"/>
              <w:rPr>
                <w:rFonts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2021</w:t>
            </w:r>
          </w:p>
        </w:tc>
        <w:tc>
          <w:tcPr>
            <w:tcW w:w="1999" w:type="dxa"/>
            <w:vAlign w:val="center"/>
          </w:tcPr>
          <w:p w14:paraId="24BE4FD4">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13.5</w:t>
            </w:r>
          </w:p>
        </w:tc>
        <w:tc>
          <w:tcPr>
            <w:tcW w:w="1895" w:type="dxa"/>
            <w:vAlign w:val="center"/>
          </w:tcPr>
          <w:p w14:paraId="376517EC">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88.0</w:t>
            </w:r>
          </w:p>
        </w:tc>
        <w:tc>
          <w:tcPr>
            <w:tcW w:w="1928" w:type="dxa"/>
            <w:vAlign w:val="center"/>
          </w:tcPr>
          <w:p w14:paraId="56D13369">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1.6</w:t>
            </w:r>
          </w:p>
        </w:tc>
      </w:tr>
      <w:tr w14:paraId="78B9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15F56E0D">
            <w:pPr>
              <w:adjustRightInd w:val="0"/>
              <w:snapToGrid w:val="0"/>
              <w:spacing w:before="156" w:beforeLines="50"/>
              <w:ind w:firstLine="0" w:firstLineChars="0"/>
              <w:jc w:val="center"/>
              <w:rPr>
                <w:rFonts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2022</w:t>
            </w:r>
          </w:p>
        </w:tc>
        <w:tc>
          <w:tcPr>
            <w:tcW w:w="1999" w:type="dxa"/>
            <w:vAlign w:val="center"/>
          </w:tcPr>
          <w:p w14:paraId="34CE2AA3">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14.6</w:t>
            </w:r>
          </w:p>
        </w:tc>
        <w:tc>
          <w:tcPr>
            <w:tcW w:w="1895" w:type="dxa"/>
            <w:vAlign w:val="center"/>
          </w:tcPr>
          <w:p w14:paraId="321CFAA7">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79.3</w:t>
            </w:r>
          </w:p>
        </w:tc>
        <w:tc>
          <w:tcPr>
            <w:tcW w:w="1928" w:type="dxa"/>
            <w:vAlign w:val="center"/>
          </w:tcPr>
          <w:p w14:paraId="2AAF33D5">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3.0</w:t>
            </w:r>
          </w:p>
        </w:tc>
      </w:tr>
      <w:tr w14:paraId="5A03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3D5E21AC">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w:t>
            </w:r>
            <w:r>
              <w:rPr>
                <w:rFonts w:hint="eastAsia" w:ascii="Times New Roman" w:hAnsi="Times New Roman"/>
                <w:b/>
                <w:bCs/>
                <w:kern w:val="0"/>
                <w:sz w:val="21"/>
                <w:szCs w:val="21"/>
                <w:lang w:val="en-US" w:eastAsia="zh-CN"/>
              </w:rPr>
              <w:t>3</w:t>
            </w:r>
          </w:p>
        </w:tc>
        <w:tc>
          <w:tcPr>
            <w:tcW w:w="1999" w:type="dxa"/>
            <w:vAlign w:val="center"/>
          </w:tcPr>
          <w:p w14:paraId="574FD809">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14.8</w:t>
            </w:r>
          </w:p>
        </w:tc>
        <w:tc>
          <w:tcPr>
            <w:tcW w:w="1895" w:type="dxa"/>
            <w:vAlign w:val="center"/>
          </w:tcPr>
          <w:p w14:paraId="106C9B10">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80.7</w:t>
            </w:r>
          </w:p>
        </w:tc>
        <w:tc>
          <w:tcPr>
            <w:tcW w:w="1928" w:type="dxa"/>
            <w:vAlign w:val="center"/>
          </w:tcPr>
          <w:p w14:paraId="0FF207E1">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2.2</w:t>
            </w:r>
          </w:p>
        </w:tc>
      </w:tr>
      <w:tr w14:paraId="6022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1F6BAC99">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w:t>
            </w:r>
            <w:r>
              <w:rPr>
                <w:rFonts w:hint="eastAsia" w:ascii="Times New Roman" w:hAnsi="Times New Roman"/>
                <w:b/>
                <w:bCs/>
                <w:kern w:val="0"/>
                <w:sz w:val="21"/>
                <w:szCs w:val="21"/>
                <w:lang w:val="en-US" w:eastAsia="zh-CN"/>
              </w:rPr>
              <w:t>4</w:t>
            </w:r>
          </w:p>
        </w:tc>
        <w:tc>
          <w:tcPr>
            <w:tcW w:w="1999" w:type="dxa"/>
            <w:vAlign w:val="center"/>
          </w:tcPr>
          <w:p w14:paraId="1CF4FE47">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17.7</w:t>
            </w:r>
          </w:p>
        </w:tc>
        <w:tc>
          <w:tcPr>
            <w:tcW w:w="1895" w:type="dxa"/>
            <w:vAlign w:val="center"/>
          </w:tcPr>
          <w:p w14:paraId="68C621D1">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79.0</w:t>
            </w:r>
          </w:p>
        </w:tc>
        <w:tc>
          <w:tcPr>
            <w:tcW w:w="1928" w:type="dxa"/>
            <w:vAlign w:val="center"/>
          </w:tcPr>
          <w:p w14:paraId="2491287A">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3.3</w:t>
            </w:r>
          </w:p>
        </w:tc>
      </w:tr>
    </w:tbl>
    <w:p w14:paraId="3B30EA4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利用公式（1），并根据评价模型（表1）和划分等级（表2），计算得出都匀市近10年种植的茶叶气候品质指数及等级，见表5。</w:t>
      </w:r>
    </w:p>
    <w:p w14:paraId="1AB74047">
      <w:pPr>
        <w:adjustRightInd w:val="0"/>
        <w:snapToGrid w:val="0"/>
        <w:spacing w:before="156" w:beforeLines="50" w:line="360" w:lineRule="auto"/>
        <w:ind w:firstLine="0" w:firstLineChars="0"/>
        <w:jc w:val="center"/>
        <w:rPr>
          <w:rFonts w:ascii="Times New Roman" w:hAnsi="Times New Roman"/>
          <w:kern w:val="0"/>
          <w:sz w:val="21"/>
          <w:szCs w:val="21"/>
        </w:rPr>
      </w:pPr>
      <w:r>
        <w:rPr>
          <w:rFonts w:hint="eastAsia" w:ascii="Times New Roman" w:hAnsi="Times New Roman"/>
          <w:sz w:val="21"/>
          <w:szCs w:val="21"/>
        </w:rPr>
        <w:t>表</w:t>
      </w:r>
      <w:r>
        <w:rPr>
          <w:rFonts w:hint="eastAsia" w:ascii="Times New Roman" w:hAnsi="Times New Roman"/>
          <w:sz w:val="21"/>
          <w:szCs w:val="21"/>
          <w:lang w:val="en-US" w:eastAsia="zh-CN"/>
        </w:rPr>
        <w:t>5</w:t>
      </w:r>
      <w:r>
        <w:rPr>
          <w:rFonts w:hint="eastAsia" w:ascii="Times New Roman" w:hAnsi="Times New Roman"/>
          <w:sz w:val="21"/>
          <w:szCs w:val="21"/>
        </w:rPr>
        <w:t xml:space="preserve"> </w:t>
      </w:r>
      <w:r>
        <w:rPr>
          <w:rFonts w:hint="eastAsia" w:ascii="Times New Roman" w:hAnsi="Times New Roman"/>
          <w:sz w:val="21"/>
          <w:szCs w:val="21"/>
          <w:lang w:eastAsia="zh-CN"/>
        </w:rPr>
        <w:t>都匀</w:t>
      </w:r>
      <w:r>
        <w:rPr>
          <w:rFonts w:hint="eastAsia" w:ascii="Times New Roman" w:hAnsi="Times New Roman"/>
          <w:sz w:val="21"/>
          <w:szCs w:val="21"/>
          <w:lang w:val="en-US" w:eastAsia="zh-CN"/>
        </w:rPr>
        <w:t>毛尖茶</w:t>
      </w:r>
      <w:r>
        <w:rPr>
          <w:rFonts w:hint="eastAsia" w:ascii="Times New Roman" w:hAnsi="Times New Roman"/>
          <w:sz w:val="21"/>
          <w:szCs w:val="21"/>
          <w:lang w:eastAsia="zh-CN"/>
        </w:rPr>
        <w:t>近10年</w:t>
      </w:r>
      <w:r>
        <w:rPr>
          <w:rFonts w:hint="eastAsia" w:ascii="Times New Roman" w:hAnsi="Times New Roman"/>
          <w:sz w:val="21"/>
          <w:szCs w:val="21"/>
        </w:rPr>
        <w:t>气候品质评价结果</w:t>
      </w:r>
    </w:p>
    <w:tbl>
      <w:tblPr>
        <w:tblStyle w:val="9"/>
        <w:tblW w:w="7872"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337"/>
        <w:gridCol w:w="1388"/>
        <w:gridCol w:w="1320"/>
        <w:gridCol w:w="978"/>
        <w:gridCol w:w="1062"/>
        <w:gridCol w:w="984"/>
      </w:tblGrid>
      <w:tr w14:paraId="7B62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6B5690BD">
            <w:pPr>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年份</w:t>
            </w:r>
          </w:p>
        </w:tc>
        <w:tc>
          <w:tcPr>
            <w:tcW w:w="1337" w:type="dxa"/>
            <w:vAlign w:val="center"/>
          </w:tcPr>
          <w:p w14:paraId="39B5D251">
            <w:pPr>
              <w:ind w:firstLine="0" w:firstLineChars="0"/>
              <w:jc w:val="center"/>
              <w:rPr>
                <w:rFonts w:ascii="Times New Roman" w:hAnsi="Times New Roman"/>
                <w:b/>
                <w:bCs/>
                <w:kern w:val="0"/>
                <w:sz w:val="21"/>
                <w:szCs w:val="21"/>
              </w:rPr>
            </w:pPr>
            <w:r>
              <w:rPr>
                <w:rFonts w:ascii="Times New Roman" w:hAnsi="Times New Roman"/>
                <w:b/>
                <w:bCs/>
                <w:kern w:val="0"/>
                <w:sz w:val="21"/>
                <w:szCs w:val="21"/>
              </w:rPr>
              <w:t>平均气温分级</w:t>
            </w:r>
          </w:p>
        </w:tc>
        <w:tc>
          <w:tcPr>
            <w:tcW w:w="1388" w:type="dxa"/>
            <w:vAlign w:val="center"/>
          </w:tcPr>
          <w:p w14:paraId="5CCABCAA">
            <w:pPr>
              <w:ind w:firstLine="0" w:firstLineChars="0"/>
              <w:jc w:val="center"/>
              <w:rPr>
                <w:rFonts w:ascii="Times New Roman" w:hAnsi="Times New Roman"/>
                <w:b/>
                <w:bCs/>
                <w:kern w:val="0"/>
                <w:sz w:val="21"/>
                <w:szCs w:val="21"/>
              </w:rPr>
            </w:pPr>
            <w:r>
              <w:rPr>
                <w:rFonts w:ascii="Times New Roman" w:hAnsi="Times New Roman"/>
                <w:b/>
                <w:bCs/>
                <w:kern w:val="0"/>
                <w:sz w:val="21"/>
                <w:szCs w:val="21"/>
              </w:rPr>
              <w:t>相对湿度分级</w:t>
            </w:r>
          </w:p>
        </w:tc>
        <w:tc>
          <w:tcPr>
            <w:tcW w:w="1320" w:type="dxa"/>
            <w:vAlign w:val="center"/>
          </w:tcPr>
          <w:p w14:paraId="50901C84">
            <w:pPr>
              <w:ind w:firstLine="0" w:firstLineChars="0"/>
              <w:jc w:val="center"/>
              <w:rPr>
                <w:rFonts w:ascii="Times New Roman" w:hAnsi="Times New Roman"/>
                <w:b/>
                <w:bCs/>
                <w:kern w:val="0"/>
                <w:sz w:val="21"/>
                <w:szCs w:val="21"/>
              </w:rPr>
            </w:pPr>
            <w:r>
              <w:rPr>
                <w:rFonts w:ascii="Times New Roman" w:hAnsi="Times New Roman"/>
                <w:b/>
                <w:bCs/>
                <w:kern w:val="0"/>
                <w:sz w:val="21"/>
                <w:szCs w:val="21"/>
              </w:rPr>
              <w:t>日照时数分级</w:t>
            </w:r>
          </w:p>
        </w:tc>
        <w:tc>
          <w:tcPr>
            <w:tcW w:w="978" w:type="dxa"/>
            <w:vAlign w:val="center"/>
          </w:tcPr>
          <w:p w14:paraId="74F3B853">
            <w:pPr>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气候品质</w:t>
            </w:r>
          </w:p>
          <w:p w14:paraId="35C960D7">
            <w:pPr>
              <w:ind w:firstLine="0" w:firstLineChars="0"/>
              <w:jc w:val="center"/>
              <w:rPr>
                <w:rFonts w:ascii="Times New Roman" w:hAnsi="Times New Roman"/>
                <w:b/>
                <w:bCs/>
                <w:kern w:val="0"/>
                <w:sz w:val="21"/>
                <w:szCs w:val="21"/>
              </w:rPr>
            </w:pPr>
            <w:r>
              <w:rPr>
                <w:rFonts w:ascii="Times New Roman" w:hAnsi="Times New Roman"/>
                <w:b/>
                <w:bCs/>
                <w:kern w:val="0"/>
                <w:sz w:val="21"/>
                <w:szCs w:val="21"/>
              </w:rPr>
              <w:t>评价指数</w:t>
            </w:r>
          </w:p>
        </w:tc>
        <w:tc>
          <w:tcPr>
            <w:tcW w:w="1062" w:type="dxa"/>
            <w:vAlign w:val="center"/>
          </w:tcPr>
          <w:p w14:paraId="0C4CBFA4">
            <w:pPr>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气候品质</w:t>
            </w:r>
          </w:p>
          <w:p w14:paraId="53CA207C">
            <w:pPr>
              <w:ind w:firstLine="0" w:firstLineChars="0"/>
              <w:jc w:val="center"/>
              <w:rPr>
                <w:rFonts w:ascii="Times New Roman" w:hAnsi="Times New Roman"/>
                <w:b/>
                <w:bCs/>
                <w:kern w:val="0"/>
                <w:sz w:val="21"/>
                <w:szCs w:val="21"/>
              </w:rPr>
            </w:pPr>
            <w:r>
              <w:rPr>
                <w:rFonts w:ascii="Times New Roman" w:hAnsi="Times New Roman"/>
                <w:b/>
                <w:bCs/>
                <w:kern w:val="0"/>
                <w:sz w:val="21"/>
                <w:szCs w:val="21"/>
              </w:rPr>
              <w:t>评价</w:t>
            </w:r>
            <w:r>
              <w:rPr>
                <w:rFonts w:hint="eastAsia" w:ascii="Times New Roman" w:hAnsi="Times New Roman"/>
                <w:b/>
                <w:bCs/>
                <w:kern w:val="0"/>
                <w:sz w:val="21"/>
                <w:szCs w:val="21"/>
              </w:rPr>
              <w:t>等级</w:t>
            </w:r>
          </w:p>
        </w:tc>
        <w:tc>
          <w:tcPr>
            <w:tcW w:w="984" w:type="dxa"/>
            <w:vAlign w:val="center"/>
          </w:tcPr>
          <w:p w14:paraId="3455E786">
            <w:pPr>
              <w:ind w:firstLine="0" w:firstLineChars="0"/>
              <w:jc w:val="center"/>
              <w:rPr>
                <w:rFonts w:hint="default" w:ascii="Times New Roman" w:hAnsi="Times New Roman" w:eastAsia="宋体"/>
                <w:b/>
                <w:bCs/>
                <w:kern w:val="0"/>
                <w:sz w:val="21"/>
                <w:szCs w:val="21"/>
                <w:lang w:val="en-US" w:eastAsia="zh-CN"/>
              </w:rPr>
            </w:pPr>
            <w:r>
              <w:rPr>
                <w:rFonts w:hint="eastAsia" w:ascii="Times New Roman" w:hAnsi="Times New Roman"/>
                <w:b/>
                <w:bCs/>
                <w:kern w:val="0"/>
                <w:sz w:val="21"/>
                <w:szCs w:val="21"/>
                <w:lang w:val="en-US" w:eastAsia="zh-CN"/>
              </w:rPr>
              <w:t>气候品质有效性</w:t>
            </w:r>
          </w:p>
        </w:tc>
      </w:tr>
      <w:tr w14:paraId="25C5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bottom"/>
          </w:tcPr>
          <w:p w14:paraId="1EEBE871">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default" w:ascii="Times New Roman" w:hAnsi="Times New Roman"/>
                <w:b/>
                <w:bCs/>
                <w:kern w:val="0"/>
                <w:sz w:val="21"/>
                <w:szCs w:val="21"/>
                <w:lang w:val="en-US" w:eastAsia="zh-CN"/>
              </w:rPr>
              <w:t>2015</w:t>
            </w:r>
          </w:p>
        </w:tc>
        <w:tc>
          <w:tcPr>
            <w:tcW w:w="1337" w:type="dxa"/>
            <w:vAlign w:val="top"/>
          </w:tcPr>
          <w:p w14:paraId="65D26BC1">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258F5166">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320" w:type="dxa"/>
            <w:vAlign w:val="top"/>
          </w:tcPr>
          <w:p w14:paraId="695FA4B2">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8" w:type="dxa"/>
            <w:vAlign w:val="top"/>
          </w:tcPr>
          <w:p w14:paraId="405D8398">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307CE16B">
            <w:pPr>
              <w:widowControl/>
              <w:ind w:firstLine="0" w:firstLineChars="0"/>
              <w:jc w:val="center"/>
              <w:textAlignment w:val="top"/>
              <w:rPr>
                <w:rFonts w:hint="eastAsia" w:ascii="Times New Roman" w:hAnsi="Times New Roman" w:eastAsia="宋体" w:cs="Times New Roman"/>
                <w:b/>
                <w:bCs/>
                <w:color w:val="000000"/>
                <w:kern w:val="0"/>
                <w:sz w:val="21"/>
                <w:szCs w:val="21"/>
                <w:lang w:val="en-US" w:eastAsia="zh-CN" w:bidi="ar"/>
              </w:rPr>
            </w:pPr>
            <w:r>
              <w:rPr>
                <w:rFonts w:hint="eastAsia" w:ascii="Times New Roman" w:hAnsi="Times New Roman"/>
                <w:b/>
                <w:bCs/>
                <w:color w:val="000000"/>
                <w:kern w:val="0"/>
                <w:sz w:val="21"/>
                <w:szCs w:val="21"/>
                <w:lang w:bidi="ar"/>
              </w:rPr>
              <w:t>特优</w:t>
            </w:r>
          </w:p>
        </w:tc>
        <w:tc>
          <w:tcPr>
            <w:tcW w:w="984" w:type="dxa"/>
            <w:vAlign w:val="center"/>
          </w:tcPr>
          <w:p w14:paraId="5A24D92E">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r w14:paraId="701E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bottom"/>
          </w:tcPr>
          <w:p w14:paraId="3AB30F63">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default" w:ascii="Times New Roman" w:hAnsi="Times New Roman"/>
                <w:b/>
                <w:bCs/>
                <w:kern w:val="0"/>
                <w:sz w:val="21"/>
                <w:szCs w:val="21"/>
                <w:lang w:val="en-US" w:eastAsia="zh-CN"/>
              </w:rPr>
              <w:t>2016</w:t>
            </w:r>
          </w:p>
        </w:tc>
        <w:tc>
          <w:tcPr>
            <w:tcW w:w="1337" w:type="dxa"/>
            <w:vAlign w:val="top"/>
          </w:tcPr>
          <w:p w14:paraId="5CAC3850">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5B640BE9">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320" w:type="dxa"/>
            <w:vAlign w:val="top"/>
          </w:tcPr>
          <w:p w14:paraId="6FA2D459">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8" w:type="dxa"/>
            <w:vAlign w:val="top"/>
          </w:tcPr>
          <w:p w14:paraId="03E6C998">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1826DC58">
            <w:pPr>
              <w:widowControl/>
              <w:ind w:firstLine="0" w:firstLineChars="0"/>
              <w:jc w:val="center"/>
              <w:textAlignment w:val="top"/>
              <w:rPr>
                <w:rFonts w:hint="eastAsia" w:ascii="Times New Roman" w:hAnsi="Times New Roman" w:eastAsia="宋体" w:cs="Times New Roman"/>
                <w:b/>
                <w:bCs/>
                <w:color w:val="000000"/>
                <w:kern w:val="0"/>
                <w:sz w:val="21"/>
                <w:szCs w:val="21"/>
                <w:lang w:val="en-US" w:eastAsia="zh-CN" w:bidi="ar"/>
              </w:rPr>
            </w:pPr>
            <w:r>
              <w:rPr>
                <w:rFonts w:hint="eastAsia" w:ascii="Times New Roman" w:hAnsi="Times New Roman"/>
                <w:b/>
                <w:bCs/>
                <w:color w:val="000000"/>
                <w:kern w:val="0"/>
                <w:sz w:val="21"/>
                <w:szCs w:val="21"/>
                <w:lang w:bidi="ar"/>
              </w:rPr>
              <w:t>特优</w:t>
            </w:r>
          </w:p>
        </w:tc>
        <w:tc>
          <w:tcPr>
            <w:tcW w:w="984" w:type="dxa"/>
            <w:vAlign w:val="center"/>
          </w:tcPr>
          <w:p w14:paraId="4464D50F">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r w14:paraId="7377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bottom"/>
          </w:tcPr>
          <w:p w14:paraId="34C89CA5">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default" w:ascii="Times New Roman" w:hAnsi="Times New Roman"/>
                <w:b/>
                <w:bCs/>
                <w:kern w:val="0"/>
                <w:sz w:val="21"/>
                <w:szCs w:val="21"/>
                <w:lang w:val="en-US" w:eastAsia="zh-CN"/>
              </w:rPr>
              <w:t>2017</w:t>
            </w:r>
          </w:p>
        </w:tc>
        <w:tc>
          <w:tcPr>
            <w:tcW w:w="1337" w:type="dxa"/>
            <w:vAlign w:val="top"/>
          </w:tcPr>
          <w:p w14:paraId="644A1D55">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2BC87D58">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320" w:type="dxa"/>
            <w:vAlign w:val="top"/>
          </w:tcPr>
          <w:p w14:paraId="467DB2BF">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8" w:type="dxa"/>
            <w:vAlign w:val="top"/>
          </w:tcPr>
          <w:p w14:paraId="6325A426">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20A9193C">
            <w:pPr>
              <w:widowControl/>
              <w:ind w:firstLine="0" w:firstLineChars="0"/>
              <w:jc w:val="center"/>
              <w:textAlignment w:val="top"/>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b/>
                <w:bCs/>
                <w:color w:val="000000"/>
                <w:kern w:val="0"/>
                <w:sz w:val="21"/>
                <w:szCs w:val="21"/>
                <w:lang w:bidi="ar"/>
              </w:rPr>
              <w:t>特优</w:t>
            </w:r>
          </w:p>
        </w:tc>
        <w:tc>
          <w:tcPr>
            <w:tcW w:w="984" w:type="dxa"/>
            <w:vAlign w:val="center"/>
          </w:tcPr>
          <w:p w14:paraId="75FBDF14">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r w14:paraId="16E9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67085B5E">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2018</w:t>
            </w:r>
          </w:p>
        </w:tc>
        <w:tc>
          <w:tcPr>
            <w:tcW w:w="1337" w:type="dxa"/>
            <w:vAlign w:val="top"/>
          </w:tcPr>
          <w:p w14:paraId="60224CEB">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220364FD">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2</w:t>
            </w:r>
          </w:p>
        </w:tc>
        <w:tc>
          <w:tcPr>
            <w:tcW w:w="1320" w:type="dxa"/>
            <w:vAlign w:val="top"/>
          </w:tcPr>
          <w:p w14:paraId="0B91E9AB">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78" w:type="dxa"/>
            <w:vAlign w:val="top"/>
          </w:tcPr>
          <w:p w14:paraId="026E79D4">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442ADADD">
            <w:pPr>
              <w:widowControl/>
              <w:ind w:firstLine="0" w:firstLineChars="0"/>
              <w:jc w:val="center"/>
              <w:textAlignment w:val="top"/>
              <w:rPr>
                <w:rFonts w:hint="eastAsia" w:ascii="Times New Roman" w:hAnsi="Times New Roman" w:eastAsia="宋体" w:cs="Times New Roman"/>
                <w:b/>
                <w:bCs/>
                <w:color w:val="000000"/>
                <w:kern w:val="0"/>
                <w:sz w:val="21"/>
                <w:szCs w:val="21"/>
                <w:lang w:val="en-US" w:eastAsia="zh-CN" w:bidi="ar"/>
              </w:rPr>
            </w:pPr>
            <w:r>
              <w:rPr>
                <w:rFonts w:hint="eastAsia" w:ascii="Times New Roman" w:hAnsi="Times New Roman"/>
                <w:b/>
                <w:bCs/>
                <w:color w:val="000000"/>
                <w:kern w:val="0"/>
                <w:sz w:val="21"/>
                <w:szCs w:val="21"/>
                <w:lang w:bidi="ar"/>
              </w:rPr>
              <w:t>特优</w:t>
            </w:r>
          </w:p>
        </w:tc>
        <w:tc>
          <w:tcPr>
            <w:tcW w:w="984" w:type="dxa"/>
            <w:vAlign w:val="center"/>
          </w:tcPr>
          <w:p w14:paraId="6A29D935">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r w14:paraId="596F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22B3103D">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2019</w:t>
            </w:r>
          </w:p>
        </w:tc>
        <w:tc>
          <w:tcPr>
            <w:tcW w:w="1337" w:type="dxa"/>
            <w:vAlign w:val="top"/>
          </w:tcPr>
          <w:p w14:paraId="41232736">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267C0C9E">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320" w:type="dxa"/>
            <w:vAlign w:val="top"/>
          </w:tcPr>
          <w:p w14:paraId="1F97ACD8">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8" w:type="dxa"/>
            <w:vAlign w:val="top"/>
          </w:tcPr>
          <w:p w14:paraId="61B08D82">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48A3C200">
            <w:pPr>
              <w:widowControl/>
              <w:ind w:firstLine="0" w:firstLineChars="0"/>
              <w:jc w:val="center"/>
              <w:textAlignment w:val="top"/>
              <w:rPr>
                <w:rFonts w:hint="eastAsia" w:ascii="Times New Roman" w:hAnsi="Times New Roman" w:eastAsia="宋体" w:cs="Times New Roman"/>
                <w:b/>
                <w:bCs/>
                <w:color w:val="000000"/>
                <w:kern w:val="0"/>
                <w:sz w:val="21"/>
                <w:szCs w:val="21"/>
                <w:lang w:val="en-US" w:eastAsia="zh-CN" w:bidi="ar"/>
              </w:rPr>
            </w:pPr>
            <w:r>
              <w:rPr>
                <w:rFonts w:hint="eastAsia" w:ascii="Times New Roman" w:hAnsi="Times New Roman"/>
                <w:b/>
                <w:bCs/>
                <w:color w:val="000000"/>
                <w:kern w:val="0"/>
                <w:sz w:val="21"/>
                <w:szCs w:val="21"/>
                <w:lang w:bidi="ar"/>
              </w:rPr>
              <w:t>特优</w:t>
            </w:r>
          </w:p>
        </w:tc>
        <w:tc>
          <w:tcPr>
            <w:tcW w:w="984" w:type="dxa"/>
            <w:vAlign w:val="center"/>
          </w:tcPr>
          <w:p w14:paraId="292B5956">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r w14:paraId="7EF1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0721BE11">
            <w:pPr>
              <w:adjustRightInd w:val="0"/>
              <w:snapToGrid w:val="0"/>
              <w:spacing w:before="156" w:beforeLines="50"/>
              <w:ind w:firstLine="0" w:firstLineChars="0"/>
              <w:jc w:val="center"/>
              <w:rPr>
                <w:rFonts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2020</w:t>
            </w:r>
          </w:p>
        </w:tc>
        <w:tc>
          <w:tcPr>
            <w:tcW w:w="1337" w:type="dxa"/>
            <w:vAlign w:val="top"/>
          </w:tcPr>
          <w:p w14:paraId="79F92070">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64A21CB4">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w:t>
            </w:r>
          </w:p>
        </w:tc>
        <w:tc>
          <w:tcPr>
            <w:tcW w:w="1320" w:type="dxa"/>
            <w:vAlign w:val="top"/>
          </w:tcPr>
          <w:p w14:paraId="0A31A49A">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p>
        </w:tc>
        <w:tc>
          <w:tcPr>
            <w:tcW w:w="978" w:type="dxa"/>
            <w:vAlign w:val="top"/>
          </w:tcPr>
          <w:p w14:paraId="229B4273">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4EC081E3">
            <w:pPr>
              <w:widowControl/>
              <w:ind w:firstLine="0" w:firstLineChars="0"/>
              <w:jc w:val="center"/>
              <w:textAlignment w:val="top"/>
              <w:rPr>
                <w:rFonts w:ascii="Times New Roman" w:hAnsi="Times New Roman"/>
                <w:b/>
                <w:bCs/>
                <w:color w:val="000000"/>
                <w:kern w:val="0"/>
                <w:sz w:val="21"/>
                <w:szCs w:val="21"/>
                <w:lang w:bidi="ar"/>
              </w:rPr>
            </w:pPr>
            <w:r>
              <w:rPr>
                <w:rFonts w:hint="eastAsia" w:ascii="Times New Roman" w:hAnsi="Times New Roman"/>
                <w:b/>
                <w:bCs/>
                <w:color w:val="000000"/>
                <w:kern w:val="0"/>
                <w:sz w:val="21"/>
                <w:szCs w:val="21"/>
                <w:lang w:bidi="ar"/>
              </w:rPr>
              <w:t>特优</w:t>
            </w:r>
          </w:p>
        </w:tc>
        <w:tc>
          <w:tcPr>
            <w:tcW w:w="984" w:type="dxa"/>
            <w:vAlign w:val="center"/>
          </w:tcPr>
          <w:p w14:paraId="7D440CD0">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r w14:paraId="589D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77625A08">
            <w:pPr>
              <w:adjustRightInd w:val="0"/>
              <w:snapToGrid w:val="0"/>
              <w:spacing w:before="156" w:beforeLines="50"/>
              <w:ind w:firstLine="0" w:firstLineChars="0"/>
              <w:jc w:val="center"/>
              <w:rPr>
                <w:rFonts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2021</w:t>
            </w:r>
          </w:p>
        </w:tc>
        <w:tc>
          <w:tcPr>
            <w:tcW w:w="1337" w:type="dxa"/>
            <w:vAlign w:val="top"/>
          </w:tcPr>
          <w:p w14:paraId="6BE411F1">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3221CE0F">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w:t>
            </w:r>
          </w:p>
        </w:tc>
        <w:tc>
          <w:tcPr>
            <w:tcW w:w="1320" w:type="dxa"/>
            <w:vAlign w:val="top"/>
          </w:tcPr>
          <w:p w14:paraId="0F8D1A42">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p>
        </w:tc>
        <w:tc>
          <w:tcPr>
            <w:tcW w:w="978" w:type="dxa"/>
            <w:vAlign w:val="top"/>
          </w:tcPr>
          <w:p w14:paraId="200C93BA">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4174F3F2">
            <w:pPr>
              <w:widowControl/>
              <w:ind w:firstLine="0" w:firstLineChars="0"/>
              <w:jc w:val="center"/>
              <w:textAlignment w:val="top"/>
              <w:rPr>
                <w:rFonts w:ascii="Times New Roman" w:hAnsi="Times New Roman"/>
                <w:b/>
                <w:bCs/>
                <w:color w:val="000000"/>
                <w:kern w:val="0"/>
                <w:sz w:val="21"/>
                <w:szCs w:val="21"/>
                <w:lang w:bidi="ar"/>
              </w:rPr>
            </w:pPr>
            <w:r>
              <w:rPr>
                <w:rFonts w:hint="eastAsia" w:ascii="Times New Roman" w:hAnsi="Times New Roman"/>
                <w:b/>
                <w:bCs/>
                <w:color w:val="000000"/>
                <w:kern w:val="0"/>
                <w:sz w:val="21"/>
                <w:szCs w:val="21"/>
                <w:lang w:bidi="ar"/>
              </w:rPr>
              <w:t>特优</w:t>
            </w:r>
          </w:p>
        </w:tc>
        <w:tc>
          <w:tcPr>
            <w:tcW w:w="984" w:type="dxa"/>
            <w:vAlign w:val="center"/>
          </w:tcPr>
          <w:p w14:paraId="774B8AE5">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r w14:paraId="2473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299C7736">
            <w:pPr>
              <w:adjustRightInd w:val="0"/>
              <w:snapToGrid w:val="0"/>
              <w:spacing w:before="156" w:beforeLines="50"/>
              <w:ind w:firstLine="0" w:firstLineChars="0"/>
              <w:jc w:val="center"/>
              <w:rPr>
                <w:rFonts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2022</w:t>
            </w:r>
          </w:p>
        </w:tc>
        <w:tc>
          <w:tcPr>
            <w:tcW w:w="1337" w:type="dxa"/>
            <w:vAlign w:val="top"/>
          </w:tcPr>
          <w:p w14:paraId="4177AE4E">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07705179">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p>
        </w:tc>
        <w:tc>
          <w:tcPr>
            <w:tcW w:w="1320" w:type="dxa"/>
            <w:vAlign w:val="top"/>
          </w:tcPr>
          <w:p w14:paraId="075AC1FC">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w:t>
            </w:r>
          </w:p>
        </w:tc>
        <w:tc>
          <w:tcPr>
            <w:tcW w:w="978" w:type="dxa"/>
            <w:vAlign w:val="top"/>
          </w:tcPr>
          <w:p w14:paraId="4C91EA39">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246C843C">
            <w:pPr>
              <w:widowControl/>
              <w:ind w:firstLine="0" w:firstLineChars="0"/>
              <w:jc w:val="center"/>
              <w:textAlignment w:val="top"/>
              <w:rPr>
                <w:rFonts w:ascii="Times New Roman" w:hAnsi="Times New Roman"/>
                <w:color w:val="000000"/>
                <w:kern w:val="0"/>
                <w:sz w:val="21"/>
                <w:szCs w:val="21"/>
                <w:lang w:bidi="ar"/>
              </w:rPr>
            </w:pPr>
            <w:r>
              <w:rPr>
                <w:rFonts w:hint="eastAsia" w:ascii="Times New Roman" w:hAnsi="Times New Roman"/>
                <w:b/>
                <w:bCs/>
                <w:color w:val="000000"/>
                <w:kern w:val="0"/>
                <w:sz w:val="21"/>
                <w:szCs w:val="21"/>
                <w:lang w:bidi="ar"/>
              </w:rPr>
              <w:t>特优</w:t>
            </w:r>
          </w:p>
        </w:tc>
        <w:tc>
          <w:tcPr>
            <w:tcW w:w="984" w:type="dxa"/>
            <w:vAlign w:val="center"/>
          </w:tcPr>
          <w:p w14:paraId="2F4A5B97">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r w14:paraId="59D0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2DF7606F">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w:t>
            </w:r>
            <w:r>
              <w:rPr>
                <w:rFonts w:hint="eastAsia" w:ascii="Times New Roman" w:hAnsi="Times New Roman"/>
                <w:b/>
                <w:bCs/>
                <w:kern w:val="0"/>
                <w:sz w:val="21"/>
                <w:szCs w:val="21"/>
                <w:lang w:val="en-US" w:eastAsia="zh-CN"/>
              </w:rPr>
              <w:t>3</w:t>
            </w:r>
          </w:p>
        </w:tc>
        <w:tc>
          <w:tcPr>
            <w:tcW w:w="1337" w:type="dxa"/>
            <w:vAlign w:val="top"/>
          </w:tcPr>
          <w:p w14:paraId="7B4129FD">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06D54CF8">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w:t>
            </w:r>
          </w:p>
        </w:tc>
        <w:tc>
          <w:tcPr>
            <w:tcW w:w="1320" w:type="dxa"/>
            <w:vAlign w:val="top"/>
          </w:tcPr>
          <w:p w14:paraId="37B3A920">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p>
        </w:tc>
        <w:tc>
          <w:tcPr>
            <w:tcW w:w="978" w:type="dxa"/>
            <w:vAlign w:val="top"/>
          </w:tcPr>
          <w:p w14:paraId="665D52B3">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33C18848">
            <w:pPr>
              <w:widowControl/>
              <w:ind w:firstLine="0" w:firstLineChars="0"/>
              <w:jc w:val="center"/>
              <w:textAlignment w:val="top"/>
              <w:rPr>
                <w:rFonts w:ascii="Times New Roman" w:hAnsi="Times New Roman"/>
                <w:b/>
                <w:bCs/>
                <w:color w:val="000000"/>
                <w:kern w:val="0"/>
                <w:sz w:val="21"/>
                <w:szCs w:val="21"/>
                <w:lang w:bidi="ar"/>
              </w:rPr>
            </w:pPr>
            <w:r>
              <w:rPr>
                <w:rFonts w:hint="eastAsia" w:ascii="Times New Roman" w:hAnsi="Times New Roman"/>
                <w:b/>
                <w:bCs/>
                <w:color w:val="000000"/>
                <w:kern w:val="0"/>
                <w:sz w:val="21"/>
                <w:szCs w:val="21"/>
                <w:lang w:bidi="ar"/>
              </w:rPr>
              <w:t>特优</w:t>
            </w:r>
          </w:p>
        </w:tc>
        <w:tc>
          <w:tcPr>
            <w:tcW w:w="984" w:type="dxa"/>
            <w:vAlign w:val="center"/>
          </w:tcPr>
          <w:p w14:paraId="10FD36D8">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r w14:paraId="08BE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3185599B">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w:t>
            </w:r>
            <w:r>
              <w:rPr>
                <w:rFonts w:hint="eastAsia" w:ascii="Times New Roman" w:hAnsi="Times New Roman"/>
                <w:b/>
                <w:bCs/>
                <w:kern w:val="0"/>
                <w:sz w:val="21"/>
                <w:szCs w:val="21"/>
                <w:lang w:val="en-US" w:eastAsia="zh-CN"/>
              </w:rPr>
              <w:t>4</w:t>
            </w:r>
          </w:p>
        </w:tc>
        <w:tc>
          <w:tcPr>
            <w:tcW w:w="1337" w:type="dxa"/>
            <w:vAlign w:val="top"/>
          </w:tcPr>
          <w:p w14:paraId="2207A6F6">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12A7C465">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p>
        </w:tc>
        <w:tc>
          <w:tcPr>
            <w:tcW w:w="1320" w:type="dxa"/>
            <w:vAlign w:val="top"/>
          </w:tcPr>
          <w:p w14:paraId="3CE824A7">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w:t>
            </w:r>
          </w:p>
        </w:tc>
        <w:tc>
          <w:tcPr>
            <w:tcW w:w="978" w:type="dxa"/>
            <w:vAlign w:val="top"/>
          </w:tcPr>
          <w:p w14:paraId="752DC82E">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7A1C2DE4">
            <w:pPr>
              <w:widowControl/>
              <w:ind w:firstLine="0" w:firstLineChars="0"/>
              <w:jc w:val="center"/>
              <w:textAlignment w:val="top"/>
              <w:rPr>
                <w:rFonts w:ascii="Times New Roman" w:hAnsi="Times New Roman"/>
                <w:b/>
                <w:bCs/>
                <w:color w:val="000000"/>
                <w:kern w:val="0"/>
                <w:sz w:val="21"/>
                <w:szCs w:val="21"/>
                <w:lang w:bidi="ar"/>
              </w:rPr>
            </w:pPr>
            <w:r>
              <w:rPr>
                <w:rFonts w:hint="eastAsia" w:ascii="Times New Roman" w:hAnsi="Times New Roman"/>
                <w:b/>
                <w:bCs/>
                <w:color w:val="000000"/>
                <w:kern w:val="0"/>
                <w:sz w:val="21"/>
                <w:szCs w:val="21"/>
                <w:lang w:bidi="ar"/>
              </w:rPr>
              <w:t>特优</w:t>
            </w:r>
          </w:p>
        </w:tc>
        <w:tc>
          <w:tcPr>
            <w:tcW w:w="984" w:type="dxa"/>
            <w:vAlign w:val="center"/>
          </w:tcPr>
          <w:p w14:paraId="6A7673CB">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bl>
    <w:p w14:paraId="55A461B6">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评价结果表明，近10年（2015-2024年）都匀茶叶气候品质均为“特优”，“优”以上气候品质指数有效性赋值的总和F为10，大于7（最低阈值），因此，都匀茶叶气候品质评价结果为“气候生态农产品”。</w:t>
      </w:r>
    </w:p>
    <w:p w14:paraId="4639D616">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bookmarkStart w:id="30" w:name="_Toc131747854"/>
      <w:bookmarkStart w:id="31" w:name="_Toc5506"/>
      <w:bookmarkStart w:id="32" w:name="_Toc8545"/>
      <w:bookmarkStart w:id="33" w:name="_Toc19801"/>
      <w:bookmarkStart w:id="34" w:name="_Toc131506332"/>
      <w:bookmarkStart w:id="35" w:name="_Toc19821"/>
      <w:r>
        <w:rPr>
          <w:rFonts w:hint="eastAsia" w:ascii="Times New Roman" w:hAnsi="Times New Roman" w:eastAsia="宋体" w:cs="Times New Roman"/>
          <w:szCs w:val="21"/>
          <w:lang w:val="en-US" w:eastAsia="zh-CN"/>
        </w:rPr>
        <w:t>（2）2024年都匀茶叶全域气候品质评价指数</w:t>
      </w:r>
      <w:bookmarkEnd w:id="30"/>
      <w:bookmarkEnd w:id="31"/>
      <w:bookmarkEnd w:id="32"/>
      <w:bookmarkEnd w:id="33"/>
      <w:bookmarkEnd w:id="34"/>
      <w:bookmarkEnd w:id="35"/>
    </w:p>
    <w:p w14:paraId="090E7984">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利用公式1，计算2024年都匀茶叶的气候品质指数。滚动统计2024年都匀茶叶采摘期内所有气象考核站（1个国家级气象站和20个区域气象考核站）的逐日前15天的各气象要素值（见附录2），平均气温为都匀市各自动站实测资料，各区域自动站平均相对湿度为本站实测资料（缺值用都匀市国家站同期值代替值），日照时数均采用都匀市国家站同期值，计算得出茶叶全采摘期采摘前15天的平均气温、平均相对湿度和平均日照时数，见表6。</w:t>
      </w:r>
    </w:p>
    <w:p w14:paraId="23A32A63">
      <w:pPr>
        <w:adjustRightInd w:val="0"/>
        <w:snapToGrid w:val="0"/>
        <w:spacing w:line="360" w:lineRule="auto"/>
        <w:ind w:firstLine="0" w:firstLineChars="0"/>
        <w:jc w:val="center"/>
        <w:rPr>
          <w:rFonts w:ascii="Times New Roman" w:hAnsi="Times New Roman"/>
          <w:sz w:val="21"/>
          <w:szCs w:val="21"/>
        </w:rPr>
      </w:pPr>
      <w:r>
        <w:rPr>
          <w:rFonts w:hint="eastAsia" w:ascii="Times New Roman" w:hAnsi="Times New Roman"/>
          <w:sz w:val="21"/>
          <w:szCs w:val="21"/>
        </w:rPr>
        <w:t>表</w:t>
      </w:r>
      <w:r>
        <w:rPr>
          <w:rFonts w:hint="eastAsia" w:ascii="Times New Roman" w:hAnsi="Times New Roman"/>
          <w:sz w:val="21"/>
          <w:szCs w:val="21"/>
          <w:lang w:val="en-US" w:eastAsia="zh-CN"/>
        </w:rPr>
        <w:t>6</w:t>
      </w:r>
      <w:r>
        <w:rPr>
          <w:rFonts w:hint="eastAsia" w:ascii="Times New Roman" w:hAnsi="Times New Roman"/>
          <w:sz w:val="21"/>
          <w:szCs w:val="21"/>
        </w:rPr>
        <w:t xml:space="preserve">  </w:t>
      </w:r>
      <w:r>
        <w:rPr>
          <w:rFonts w:hint="eastAsia" w:ascii="Times New Roman" w:hAnsi="Times New Roman"/>
          <w:sz w:val="21"/>
          <w:szCs w:val="21"/>
          <w:lang w:val="en-US" w:eastAsia="zh-CN"/>
        </w:rPr>
        <w:t>2024</w:t>
      </w:r>
      <w:r>
        <w:rPr>
          <w:rFonts w:hint="eastAsia" w:ascii="Times New Roman" w:hAnsi="Times New Roman"/>
          <w:sz w:val="21"/>
          <w:szCs w:val="21"/>
        </w:rPr>
        <w:t>年</w:t>
      </w:r>
      <w:r>
        <w:rPr>
          <w:rFonts w:hint="eastAsia" w:ascii="Times New Roman" w:hAnsi="Times New Roman"/>
          <w:sz w:val="21"/>
          <w:szCs w:val="21"/>
          <w:lang w:eastAsia="zh-CN"/>
        </w:rPr>
        <w:t>都匀</w:t>
      </w:r>
      <w:r>
        <w:rPr>
          <w:rFonts w:hint="eastAsia" w:ascii="Times New Roman" w:hAnsi="Times New Roman"/>
          <w:sz w:val="21"/>
          <w:szCs w:val="21"/>
          <w:lang w:val="en-US" w:eastAsia="zh-CN"/>
        </w:rPr>
        <w:t>毛尖茶</w:t>
      </w:r>
      <w:r>
        <w:rPr>
          <w:rFonts w:hint="eastAsia" w:ascii="Times New Roman" w:hAnsi="Times New Roman"/>
          <w:sz w:val="21"/>
          <w:szCs w:val="21"/>
        </w:rPr>
        <w:t>采摘前15天各气象要素平均值</w:t>
      </w:r>
    </w:p>
    <w:tbl>
      <w:tblPr>
        <w:tblStyle w:val="8"/>
        <w:tblW w:w="6600" w:type="dxa"/>
        <w:jc w:val="center"/>
        <w:tblLayout w:type="autofit"/>
        <w:tblCellMar>
          <w:top w:w="0" w:type="dxa"/>
          <w:left w:w="108" w:type="dxa"/>
          <w:bottom w:w="0" w:type="dxa"/>
          <w:right w:w="108" w:type="dxa"/>
        </w:tblCellMar>
      </w:tblPr>
      <w:tblGrid>
        <w:gridCol w:w="960"/>
        <w:gridCol w:w="1608"/>
        <w:gridCol w:w="1956"/>
        <w:gridCol w:w="2076"/>
      </w:tblGrid>
      <w:tr w14:paraId="34358ADF">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3B5692">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站名</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09D360">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平均气温</w:t>
            </w:r>
            <w:r>
              <w:rPr>
                <w:rFonts w:ascii="Times New Roman" w:hAnsi="Times New Roman"/>
                <w:b/>
                <w:bCs/>
                <w:color w:val="000000"/>
                <w:kern w:val="0"/>
                <w:sz w:val="21"/>
                <w:szCs w:val="21"/>
                <w:lang w:bidi="ar"/>
              </w:rPr>
              <w:t>(</w:t>
            </w:r>
            <w:r>
              <w:rPr>
                <w:rFonts w:hint="eastAsia" w:ascii="宋体" w:hAnsi="宋体" w:cs="宋体"/>
                <w:b/>
                <w:bCs/>
                <w:color w:val="000000"/>
                <w:kern w:val="0"/>
                <w:sz w:val="21"/>
                <w:szCs w:val="21"/>
                <w:lang w:bidi="ar"/>
              </w:rPr>
              <w:t>℃</w:t>
            </w:r>
            <w:r>
              <w:rPr>
                <w:rFonts w:ascii="Times New Roman" w:hAnsi="Times New Roman"/>
                <w:b/>
                <w:bCs/>
                <w:color w:val="000000"/>
                <w:kern w:val="0"/>
                <w:sz w:val="21"/>
                <w:szCs w:val="21"/>
                <w:lang w:bidi="ar"/>
              </w:rPr>
              <w:t>)</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E17404">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平均相对湿度（%）</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12F95C">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平均日照时数（h）</w:t>
            </w:r>
          </w:p>
        </w:tc>
      </w:tr>
      <w:tr w14:paraId="0966908D">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4FD948">
            <w:pPr>
              <w:keepNext w:val="0"/>
              <w:keepLines w:val="0"/>
              <w:widowControl/>
              <w:suppressLineNumbers w:val="0"/>
              <w:jc w:val="left"/>
              <w:textAlignment w:val="center"/>
              <w:rPr>
                <w:rFonts w:hint="eastAsia" w:ascii="宋体" w:hAnsi="宋体" w:eastAsia="宋体" w:cs="宋体"/>
                <w:b/>
                <w:bCs/>
                <w:color w:val="000000"/>
                <w:sz w:val="21"/>
                <w:szCs w:val="21"/>
                <w:lang w:eastAsia="zh-CN"/>
              </w:rPr>
            </w:pPr>
            <w:r>
              <w:rPr>
                <w:rFonts w:hint="eastAsia" w:ascii="宋体" w:hAnsi="宋体" w:eastAsia="宋体" w:cs="宋体"/>
                <w:b/>
                <w:bCs/>
                <w:i w:val="0"/>
                <w:iCs w:val="0"/>
                <w:color w:val="000000"/>
                <w:kern w:val="0"/>
                <w:sz w:val="21"/>
                <w:szCs w:val="21"/>
                <w:u w:val="none"/>
                <w:lang w:val="en-US" w:eastAsia="zh-CN" w:bidi="ar"/>
              </w:rPr>
              <w:t>都匀</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22D97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17.7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FBC718">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CD80A9">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68AB8392">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103A94">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斗篷山</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86346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16.5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6E7C6E">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79.3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370C3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7A5A4DCC">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D90422">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甘塘</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CA743E">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17.8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18968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666CBA">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0FFDB13A">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E981AD">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摆忙</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75A014">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15.7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6329D9">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85.3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32848A">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50A1FA03">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74DEC4">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墨冲</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AAD0F6">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19.0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2816E0">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BD7833">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6B8C6E9A">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77CD35">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平浪</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202E38">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18.6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125770">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45E069">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2BDE707F">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82CD23">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凯口</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2BD298">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18.0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B0B68E">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77.9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0EA3EC">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2EBBBB3A">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7480F0">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洛邦</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B73D87">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17.5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50041B">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81.3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031F938">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0C4B595A">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7CF78C">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大坪</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70111C">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18.4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C28620">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3CBF77">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778AB1D6">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F51668">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坝固</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A2AF8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18.9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A4E61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77.6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06B4B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7053216A">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EBCA57">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阳和</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DE5310">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19.0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3C32B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DCCA84">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1C6F2713">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1F28CA">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王司</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5DB28BB">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18.9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346600">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77.1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413F2D">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41C11F47">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3CF27B">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奉合</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38CEA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18.3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9519CD">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D3DA2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3345F551">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BA3E34">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石龙</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552056">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18.1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2170D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8EEFC7">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21261F6E">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CB2C8EC">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江洲</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0C755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17.4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2D9144">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81.6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AEC960">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712402BB">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EC5E7C">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河阳</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E142C9">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18.0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FEFD66">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80.4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7C4082">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576691FA">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2AA733">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沙寨</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02AFAE">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18.9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00416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77.9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4C3B7D">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1F19EB7C">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4237A5">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良亩</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4FC6549">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19.0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D40E8A">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AFAEFBA">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607EC999">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8D98E1">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新坪</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073F37">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18.8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08DAFA">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80.4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405353">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6D191B5F">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198854">
            <w:pPr>
              <w:keepNext w:val="0"/>
              <w:keepLines w:val="0"/>
              <w:widowControl/>
              <w:suppressLineNumbers w:val="0"/>
              <w:jc w:val="left"/>
              <w:textAlignment w:val="center"/>
              <w:rPr>
                <w:rFonts w:hint="eastAsia" w:ascii="宋体" w:hAnsi="宋体" w:cs="宋体"/>
                <w:b/>
                <w:bCs/>
                <w:color w:val="000000"/>
                <w:kern w:val="0"/>
                <w:sz w:val="21"/>
                <w:szCs w:val="21"/>
                <w:lang w:bidi="ar"/>
              </w:rPr>
            </w:pPr>
            <w:r>
              <w:rPr>
                <w:rFonts w:hint="eastAsia" w:ascii="宋体" w:hAnsi="宋体" w:eastAsia="宋体" w:cs="宋体"/>
                <w:b/>
                <w:bCs/>
                <w:i w:val="0"/>
                <w:iCs w:val="0"/>
                <w:color w:val="000000"/>
                <w:kern w:val="0"/>
                <w:sz w:val="21"/>
                <w:szCs w:val="21"/>
                <w:u w:val="none"/>
                <w:lang w:val="en-US" w:eastAsia="zh-CN" w:bidi="ar"/>
              </w:rPr>
              <w:t>茶农</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07D7A1">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 xml:space="preserve">17.4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9FE549">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69A32B">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 xml:space="preserve">3.3 </w:t>
            </w:r>
          </w:p>
        </w:tc>
      </w:tr>
      <w:tr w14:paraId="3283FA9F">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F85A18">
            <w:pPr>
              <w:keepNext w:val="0"/>
              <w:keepLines w:val="0"/>
              <w:widowControl/>
              <w:suppressLineNumbers w:val="0"/>
              <w:jc w:val="left"/>
              <w:textAlignment w:val="center"/>
              <w:rPr>
                <w:rFonts w:hint="eastAsia" w:ascii="宋体" w:hAnsi="宋体" w:cs="宋体"/>
                <w:b/>
                <w:bCs/>
                <w:color w:val="000000"/>
                <w:kern w:val="0"/>
                <w:sz w:val="21"/>
                <w:szCs w:val="21"/>
                <w:lang w:bidi="ar"/>
              </w:rPr>
            </w:pPr>
            <w:r>
              <w:rPr>
                <w:rFonts w:hint="eastAsia" w:ascii="宋体" w:hAnsi="宋体" w:eastAsia="宋体" w:cs="宋体"/>
                <w:b/>
                <w:bCs/>
                <w:i w:val="0"/>
                <w:iCs w:val="0"/>
                <w:color w:val="000000"/>
                <w:kern w:val="0"/>
                <w:sz w:val="21"/>
                <w:szCs w:val="21"/>
                <w:u w:val="none"/>
                <w:lang w:val="en-US" w:eastAsia="zh-CN" w:bidi="ar"/>
              </w:rPr>
              <w:t>马尾</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70AFE6">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 xml:space="preserve">19.0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ABF87E">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 xml:space="preserve">78.9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37FDF2">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 xml:space="preserve">3.3 </w:t>
            </w:r>
          </w:p>
        </w:tc>
      </w:tr>
    </w:tbl>
    <w:p w14:paraId="2509E4B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利用公式1，并根据评价标准（表4.1）和划分等级（表4.2），计算得出都匀市2024年的茶叶气候品质指数，如表7所示</w:t>
      </w:r>
    </w:p>
    <w:p w14:paraId="3282CE36">
      <w:pPr>
        <w:spacing w:line="360" w:lineRule="auto"/>
        <w:ind w:firstLine="0" w:firstLineChars="0"/>
        <w:jc w:val="center"/>
        <w:rPr>
          <w:rFonts w:ascii="Times New Roman" w:hAnsi="Times New Roman"/>
          <w:sz w:val="21"/>
          <w:szCs w:val="21"/>
        </w:rPr>
      </w:pPr>
      <w:r>
        <w:rPr>
          <w:rFonts w:hint="eastAsia" w:ascii="Times New Roman" w:hAnsi="Times New Roman"/>
          <w:sz w:val="21"/>
          <w:szCs w:val="21"/>
        </w:rPr>
        <w:t>表</w:t>
      </w:r>
      <w:r>
        <w:rPr>
          <w:rFonts w:hint="eastAsia" w:ascii="Times New Roman" w:hAnsi="Times New Roman"/>
          <w:sz w:val="21"/>
          <w:szCs w:val="21"/>
          <w:lang w:val="en-US" w:eastAsia="zh-CN"/>
        </w:rPr>
        <w:t>7</w:t>
      </w:r>
      <w:r>
        <w:rPr>
          <w:rFonts w:hint="eastAsia" w:ascii="Times New Roman" w:hAnsi="Times New Roman"/>
          <w:sz w:val="21"/>
          <w:szCs w:val="21"/>
        </w:rPr>
        <w:t xml:space="preserve">  202</w:t>
      </w:r>
      <w:r>
        <w:rPr>
          <w:rFonts w:hint="eastAsia" w:ascii="Times New Roman" w:hAnsi="Times New Roman"/>
          <w:sz w:val="21"/>
          <w:szCs w:val="21"/>
          <w:lang w:val="en-US" w:eastAsia="zh-CN"/>
        </w:rPr>
        <w:t>4</w:t>
      </w:r>
      <w:r>
        <w:rPr>
          <w:rFonts w:hint="eastAsia" w:ascii="Times New Roman" w:hAnsi="Times New Roman"/>
          <w:sz w:val="21"/>
          <w:szCs w:val="21"/>
        </w:rPr>
        <w:t>年</w:t>
      </w:r>
      <w:r>
        <w:rPr>
          <w:rFonts w:hint="eastAsia" w:ascii="Times New Roman" w:hAnsi="Times New Roman"/>
          <w:sz w:val="21"/>
          <w:szCs w:val="21"/>
          <w:lang w:eastAsia="zh-CN"/>
        </w:rPr>
        <w:t>都匀市</w:t>
      </w:r>
      <w:r>
        <w:rPr>
          <w:rFonts w:hint="eastAsia" w:ascii="Times New Roman" w:hAnsi="Times New Roman"/>
          <w:sz w:val="21"/>
          <w:szCs w:val="21"/>
        </w:rPr>
        <w:t>茶叶气候品质评价结果</w:t>
      </w:r>
    </w:p>
    <w:tbl>
      <w:tblPr>
        <w:tblStyle w:val="8"/>
        <w:tblW w:w="7497" w:type="dxa"/>
        <w:jc w:val="center"/>
        <w:tblLayout w:type="fixed"/>
        <w:tblCellMar>
          <w:top w:w="0" w:type="dxa"/>
          <w:left w:w="108" w:type="dxa"/>
          <w:bottom w:w="0" w:type="dxa"/>
          <w:right w:w="108" w:type="dxa"/>
        </w:tblCellMar>
      </w:tblPr>
      <w:tblGrid>
        <w:gridCol w:w="960"/>
        <w:gridCol w:w="1034"/>
        <w:gridCol w:w="900"/>
        <w:gridCol w:w="977"/>
        <w:gridCol w:w="1697"/>
        <w:gridCol w:w="1929"/>
      </w:tblGrid>
      <w:tr w14:paraId="52C918E0">
        <w:tblPrEx>
          <w:tblCellMar>
            <w:top w:w="0" w:type="dxa"/>
            <w:left w:w="108" w:type="dxa"/>
            <w:bottom w:w="0" w:type="dxa"/>
            <w:right w:w="108" w:type="dxa"/>
          </w:tblCellMar>
        </w:tblPrEx>
        <w:trPr>
          <w:trHeight w:val="639"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AE6DFCE">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站点</w:t>
            </w:r>
          </w:p>
        </w:tc>
        <w:tc>
          <w:tcPr>
            <w:tcW w:w="103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3FBB23E">
            <w:pPr>
              <w:widowControl/>
              <w:adjustRightInd w:val="0"/>
              <w:snapToGrid w:val="0"/>
              <w:ind w:firstLine="0" w:firstLineChars="0"/>
              <w:jc w:val="center"/>
              <w:textAlignment w:val="center"/>
              <w:rPr>
                <w:rFonts w:hint="eastAsia" w:ascii="宋体" w:hAnsi="宋体" w:cs="宋体"/>
                <w:b/>
                <w:bCs/>
                <w:color w:val="000000"/>
                <w:kern w:val="0"/>
                <w:sz w:val="21"/>
                <w:szCs w:val="21"/>
                <w:lang w:bidi="ar"/>
              </w:rPr>
            </w:pPr>
            <w:r>
              <w:rPr>
                <w:rFonts w:hint="eastAsia" w:ascii="宋体" w:hAnsi="宋体" w:cs="宋体"/>
                <w:b/>
                <w:bCs/>
                <w:color w:val="000000"/>
                <w:kern w:val="0"/>
                <w:sz w:val="21"/>
                <w:szCs w:val="21"/>
                <w:lang w:bidi="ar"/>
              </w:rPr>
              <w:t>平均气温分级</w:t>
            </w:r>
          </w:p>
        </w:tc>
        <w:tc>
          <w:tcPr>
            <w:tcW w:w="9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E95FEE">
            <w:pPr>
              <w:widowControl/>
              <w:adjustRightInd w:val="0"/>
              <w:snapToGrid w:val="0"/>
              <w:ind w:firstLine="0" w:firstLineChars="0"/>
              <w:jc w:val="center"/>
              <w:textAlignment w:val="center"/>
              <w:rPr>
                <w:rFonts w:hint="eastAsia" w:ascii="宋体" w:hAnsi="宋体" w:cs="宋体"/>
                <w:b/>
                <w:bCs/>
                <w:color w:val="000000"/>
                <w:kern w:val="0"/>
                <w:sz w:val="21"/>
                <w:szCs w:val="21"/>
                <w:lang w:bidi="ar"/>
              </w:rPr>
            </w:pPr>
            <w:r>
              <w:rPr>
                <w:rFonts w:hint="eastAsia" w:ascii="宋体" w:hAnsi="宋体" w:cs="宋体"/>
                <w:b/>
                <w:bCs/>
                <w:color w:val="000000"/>
                <w:kern w:val="0"/>
                <w:sz w:val="21"/>
                <w:szCs w:val="21"/>
                <w:lang w:bidi="ar"/>
              </w:rPr>
              <w:t>相对湿度分级</w:t>
            </w:r>
          </w:p>
        </w:tc>
        <w:tc>
          <w:tcPr>
            <w:tcW w:w="97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A66221">
            <w:pPr>
              <w:widowControl/>
              <w:adjustRightInd w:val="0"/>
              <w:snapToGrid w:val="0"/>
              <w:ind w:firstLine="0" w:firstLineChars="0"/>
              <w:jc w:val="center"/>
              <w:textAlignment w:val="center"/>
              <w:rPr>
                <w:rFonts w:hint="eastAsia" w:ascii="宋体" w:hAnsi="宋体" w:cs="宋体"/>
                <w:b/>
                <w:bCs/>
                <w:color w:val="000000"/>
                <w:kern w:val="0"/>
                <w:sz w:val="21"/>
                <w:szCs w:val="21"/>
                <w:lang w:bidi="ar"/>
              </w:rPr>
            </w:pPr>
            <w:r>
              <w:rPr>
                <w:rFonts w:hint="eastAsia" w:ascii="宋体" w:hAnsi="宋体" w:cs="宋体"/>
                <w:b/>
                <w:bCs/>
                <w:color w:val="000000"/>
                <w:kern w:val="0"/>
                <w:sz w:val="21"/>
                <w:szCs w:val="21"/>
                <w:lang w:bidi="ar"/>
              </w:rPr>
              <w:t>日照时数分级</w:t>
            </w:r>
          </w:p>
        </w:tc>
        <w:tc>
          <w:tcPr>
            <w:tcW w:w="1697" w:type="dxa"/>
            <w:tcBorders>
              <w:top w:val="single" w:color="000000" w:sz="8" w:space="0"/>
              <w:left w:val="single" w:color="000000" w:sz="8" w:space="0"/>
              <w:bottom w:val="single" w:color="auto" w:sz="4" w:space="0"/>
              <w:right w:val="single" w:color="000000" w:sz="8" w:space="0"/>
            </w:tcBorders>
            <w:shd w:val="clear" w:color="auto" w:fill="auto"/>
            <w:noWrap/>
            <w:vAlign w:val="center"/>
          </w:tcPr>
          <w:p w14:paraId="33A372F7">
            <w:pPr>
              <w:widowControl/>
              <w:adjustRightInd w:val="0"/>
              <w:snapToGrid w:val="0"/>
              <w:ind w:firstLine="0" w:firstLineChars="0"/>
              <w:jc w:val="center"/>
              <w:textAlignment w:val="center"/>
              <w:rPr>
                <w:rFonts w:ascii="宋体" w:hAnsi="宋体" w:cs="宋体"/>
                <w:b/>
                <w:bCs/>
                <w:color w:val="000000"/>
                <w:kern w:val="0"/>
                <w:sz w:val="21"/>
                <w:szCs w:val="21"/>
                <w:lang w:bidi="ar"/>
              </w:rPr>
            </w:pPr>
            <w:r>
              <w:rPr>
                <w:rFonts w:hint="eastAsia" w:ascii="宋体" w:hAnsi="宋体" w:cs="宋体"/>
                <w:b/>
                <w:bCs/>
                <w:color w:val="000000"/>
                <w:kern w:val="0"/>
                <w:sz w:val="21"/>
                <w:szCs w:val="21"/>
                <w:lang w:bidi="ar"/>
              </w:rPr>
              <w:t>气候品质</w:t>
            </w:r>
          </w:p>
          <w:p w14:paraId="7DB1CE30">
            <w:pPr>
              <w:widowControl/>
              <w:adjustRightInd w:val="0"/>
              <w:snapToGrid w:val="0"/>
              <w:ind w:firstLine="0" w:firstLineChars="0"/>
              <w:jc w:val="center"/>
              <w:textAlignment w:val="center"/>
              <w:rPr>
                <w:rFonts w:ascii="宋体" w:hAnsi="宋体" w:cs="宋体"/>
                <w:b/>
                <w:bCs/>
                <w:color w:val="000000"/>
                <w:kern w:val="0"/>
                <w:sz w:val="21"/>
                <w:szCs w:val="21"/>
                <w:lang w:bidi="ar"/>
              </w:rPr>
            </w:pPr>
            <w:r>
              <w:rPr>
                <w:rFonts w:hint="eastAsia" w:ascii="宋体" w:hAnsi="宋体" w:cs="宋体"/>
                <w:b/>
                <w:bCs/>
                <w:color w:val="000000"/>
                <w:kern w:val="0"/>
                <w:sz w:val="21"/>
                <w:szCs w:val="21"/>
                <w:lang w:bidi="ar"/>
              </w:rPr>
              <w:t>评价指数</w:t>
            </w:r>
          </w:p>
        </w:tc>
        <w:tc>
          <w:tcPr>
            <w:tcW w:w="192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7D8BCE">
            <w:pPr>
              <w:widowControl/>
              <w:adjustRightInd w:val="0"/>
              <w:snapToGrid w:val="0"/>
              <w:ind w:firstLine="0" w:firstLineChars="0"/>
              <w:jc w:val="center"/>
              <w:textAlignment w:val="center"/>
              <w:rPr>
                <w:rFonts w:ascii="宋体" w:hAnsi="宋体" w:cs="宋体"/>
                <w:b/>
                <w:bCs/>
                <w:color w:val="000000"/>
                <w:kern w:val="0"/>
                <w:sz w:val="21"/>
                <w:szCs w:val="21"/>
                <w:lang w:bidi="ar"/>
              </w:rPr>
            </w:pPr>
            <w:r>
              <w:rPr>
                <w:rFonts w:hint="eastAsia" w:ascii="宋体" w:hAnsi="宋体" w:cs="宋体"/>
                <w:b/>
                <w:bCs/>
                <w:color w:val="000000"/>
                <w:kern w:val="0"/>
                <w:sz w:val="21"/>
                <w:szCs w:val="21"/>
                <w:lang w:bidi="ar"/>
              </w:rPr>
              <w:t>气候品质</w:t>
            </w:r>
          </w:p>
          <w:p w14:paraId="306FBE27">
            <w:pPr>
              <w:widowControl/>
              <w:adjustRightInd w:val="0"/>
              <w:snapToGrid w:val="0"/>
              <w:ind w:firstLine="0" w:firstLineChars="0"/>
              <w:jc w:val="center"/>
              <w:textAlignment w:val="center"/>
              <w:rPr>
                <w:rFonts w:ascii="宋体" w:hAnsi="宋体" w:cs="宋体"/>
                <w:b/>
                <w:bCs/>
                <w:color w:val="000000"/>
                <w:kern w:val="0"/>
                <w:sz w:val="21"/>
                <w:szCs w:val="21"/>
                <w:lang w:bidi="ar"/>
              </w:rPr>
            </w:pPr>
            <w:r>
              <w:rPr>
                <w:rFonts w:hint="eastAsia" w:ascii="宋体" w:hAnsi="宋体" w:cs="宋体"/>
                <w:b/>
                <w:bCs/>
                <w:color w:val="000000"/>
                <w:kern w:val="0"/>
                <w:sz w:val="21"/>
                <w:szCs w:val="21"/>
                <w:lang w:bidi="ar"/>
              </w:rPr>
              <w:t>评价等级</w:t>
            </w:r>
          </w:p>
        </w:tc>
      </w:tr>
      <w:tr w14:paraId="32AB0919">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CFDDC3">
            <w:pPr>
              <w:keepNext w:val="0"/>
              <w:keepLines w:val="0"/>
              <w:widowControl/>
              <w:suppressLineNumbers w:val="0"/>
              <w:jc w:val="left"/>
              <w:textAlignment w:val="center"/>
              <w:rPr>
                <w:rFonts w:hint="eastAsia" w:ascii="宋体" w:hAnsi="宋体" w:eastAsia="宋体" w:cs="宋体"/>
                <w:b/>
                <w:bCs/>
                <w:color w:val="000000"/>
                <w:sz w:val="21"/>
                <w:szCs w:val="21"/>
                <w:lang w:eastAsia="zh-CN"/>
              </w:rPr>
            </w:pPr>
            <w:r>
              <w:rPr>
                <w:rFonts w:hint="eastAsia" w:ascii="宋体" w:hAnsi="宋体" w:eastAsia="宋体" w:cs="宋体"/>
                <w:b/>
                <w:bCs/>
                <w:i w:val="0"/>
                <w:iCs w:val="0"/>
                <w:color w:val="000000"/>
                <w:kern w:val="0"/>
                <w:sz w:val="21"/>
                <w:szCs w:val="21"/>
                <w:u w:val="none"/>
                <w:lang w:val="en-US" w:eastAsia="zh-CN" w:bidi="ar"/>
              </w:rPr>
              <w:t>都匀</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26E86B79">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20758D2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auto" w:sz="4" w:space="0"/>
            </w:tcBorders>
            <w:shd w:val="clear" w:color="auto" w:fill="auto"/>
            <w:noWrap/>
            <w:vAlign w:val="center"/>
          </w:tcPr>
          <w:p w14:paraId="7A7309B7">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single" w:color="auto" w:sz="4" w:space="0"/>
              <w:left w:val="single" w:color="auto" w:sz="4" w:space="0"/>
              <w:bottom w:val="single" w:color="000000" w:sz="8" w:space="0"/>
              <w:right w:val="single" w:color="000000" w:sz="8" w:space="0"/>
            </w:tcBorders>
            <w:shd w:val="clear" w:color="auto" w:fill="auto"/>
            <w:vAlign w:val="top"/>
          </w:tcPr>
          <w:p w14:paraId="17CF359D">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3593C55E">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特优</w:t>
            </w:r>
          </w:p>
        </w:tc>
      </w:tr>
      <w:tr w14:paraId="044B195B">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F89C35">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斗篷山</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7162F4B7">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61E05EB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5A7CC2D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7C5D870C">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3D71D55E">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特优</w:t>
            </w:r>
          </w:p>
        </w:tc>
      </w:tr>
      <w:tr w14:paraId="78E33680">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932635">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甘塘</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2BDE669E">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5F94328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15471098">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0F6138F3">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5747B7D6">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特优</w:t>
            </w:r>
          </w:p>
        </w:tc>
      </w:tr>
      <w:tr w14:paraId="2DD2123F">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5CE110">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摆忙</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7716C0CB">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03BD69D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19C76094">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039932F8">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4FECE988">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特优</w:t>
            </w:r>
          </w:p>
        </w:tc>
      </w:tr>
      <w:tr w14:paraId="06865DCC">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BD223E">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墨冲</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7792C7F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5C86E340">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2AFECE6E">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01F90676">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55283CA7">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3A7693FA">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158BD74">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平浪</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0E410DA6">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7C5BB94B">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6E881C44">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4B68C1FB">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222A4C59">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0B9C7BBC">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BD28CE">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凯口</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55BA594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3F556754">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7C93820D">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7A077140">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6829061D">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特优</w:t>
            </w:r>
          </w:p>
        </w:tc>
      </w:tr>
      <w:tr w14:paraId="3EF9F440">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3C804A">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洛邦</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4DFBDFE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6A35128C">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7E0E35DB">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760DEB8E">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312EE5AD">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特优</w:t>
            </w:r>
          </w:p>
        </w:tc>
      </w:tr>
      <w:tr w14:paraId="585CB6EA">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EBB0F15">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大坪</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346360FA">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2BF22147">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5F7F84D3">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29F0D92F">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7451C4D0">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1A4BAC50">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26B542">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坝固</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65B5B79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3FAA0DA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3A95316B">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622AD7A7">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3C5D9A95">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0B49F551">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CE4B6F">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阳和</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5414834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3C21162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218C9A9A">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79403F0A">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11C0D2F6">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5F9B59CC">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7E25A1">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王司</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67D6F0A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55A6B84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03820B2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101B3C42">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3CBECD25">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6BE235FC">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39C0D7">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奉合</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0A5380EA">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77C95269">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5C5B3C27">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7619C056">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176AB82D">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6629EBB8">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095320">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石龙</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38C9DFF0">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1A688F56">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2DF01658">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6598F145">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1F485FCB">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4B0DB5CC">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C64CA6E">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江洲</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7968684C">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738A2329">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73C52FD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098357E5">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2C899EFF">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特优</w:t>
            </w:r>
          </w:p>
        </w:tc>
      </w:tr>
      <w:tr w14:paraId="01B2D897">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9624D24">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河阳</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4FE3B0EE">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798A37FD">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58AC76C4">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30B11B3B">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3305FF09">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特优</w:t>
            </w:r>
          </w:p>
        </w:tc>
      </w:tr>
      <w:tr w14:paraId="43611083">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0EEF06">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沙寨</w:t>
            </w:r>
          </w:p>
        </w:tc>
        <w:tc>
          <w:tcPr>
            <w:tcW w:w="103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03312D9">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94DD1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3489CFC">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4A7B8297">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1A327960">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66B398D5">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F2EABE">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良亩</w:t>
            </w:r>
          </w:p>
        </w:tc>
        <w:tc>
          <w:tcPr>
            <w:tcW w:w="103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7AEE17">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03FAFC">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5EDA3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13A7D877">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075C80B7">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3C8002DC">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AB23039">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新坪</w:t>
            </w:r>
          </w:p>
        </w:tc>
        <w:tc>
          <w:tcPr>
            <w:tcW w:w="103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F717D1">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527024">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w:t>
            </w:r>
          </w:p>
        </w:tc>
        <w:tc>
          <w:tcPr>
            <w:tcW w:w="97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ADF118">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single" w:color="000000" w:sz="8" w:space="0"/>
              <w:left w:val="single" w:color="000000" w:sz="8" w:space="0"/>
              <w:bottom w:val="single" w:color="000000" w:sz="8" w:space="0"/>
              <w:right w:val="single" w:color="000000" w:sz="8" w:space="0"/>
            </w:tcBorders>
            <w:shd w:val="clear" w:color="auto" w:fill="auto"/>
            <w:vAlign w:val="top"/>
          </w:tcPr>
          <w:p w14:paraId="3C5C9386">
            <w:pPr>
              <w:keepNext w:val="0"/>
              <w:keepLines w:val="0"/>
              <w:widowControl/>
              <w:suppressLineNumbers w:val="0"/>
              <w:ind w:firstLine="420" w:firstLineChars="200"/>
              <w:jc w:val="center"/>
              <w:textAlignment w:val="top"/>
              <w:rPr>
                <w:rFonts w:hint="eastAsia" w:ascii="宋体" w:hAnsi="宋体" w:cs="宋体"/>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192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731F64">
            <w:pPr>
              <w:widowControl/>
              <w:ind w:firstLine="0" w:firstLineChars="0"/>
              <w:jc w:val="center"/>
              <w:textAlignment w:val="center"/>
              <w:rPr>
                <w:rFonts w:hint="eastAsia" w:ascii="宋体" w:hAnsi="宋体" w:cs="宋体"/>
                <w:color w:val="000000"/>
                <w:kern w:val="0"/>
                <w:sz w:val="21"/>
                <w:szCs w:val="21"/>
                <w:lang w:bidi="ar"/>
              </w:rPr>
            </w:pPr>
            <w:r>
              <w:rPr>
                <w:rFonts w:hint="eastAsia" w:ascii="宋体" w:hAnsi="宋体" w:cs="宋体"/>
                <w:b/>
                <w:bCs/>
                <w:color w:val="000000"/>
                <w:kern w:val="0"/>
                <w:sz w:val="21"/>
                <w:szCs w:val="21"/>
                <w:lang w:bidi="ar"/>
              </w:rPr>
              <w:t>优</w:t>
            </w:r>
          </w:p>
        </w:tc>
      </w:tr>
      <w:tr w14:paraId="2C3AECA4">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6DA9E0">
            <w:pPr>
              <w:keepNext w:val="0"/>
              <w:keepLines w:val="0"/>
              <w:widowControl/>
              <w:suppressLineNumbers w:val="0"/>
              <w:jc w:val="left"/>
              <w:textAlignment w:val="center"/>
              <w:rPr>
                <w:rFonts w:hint="eastAsia" w:ascii="宋体" w:hAnsi="宋体" w:cs="宋体"/>
                <w:b/>
                <w:bCs/>
                <w:color w:val="000000"/>
                <w:kern w:val="0"/>
                <w:sz w:val="21"/>
                <w:szCs w:val="21"/>
                <w:lang w:bidi="ar"/>
              </w:rPr>
            </w:pPr>
            <w:r>
              <w:rPr>
                <w:rFonts w:hint="eastAsia" w:ascii="宋体" w:hAnsi="宋体" w:eastAsia="宋体" w:cs="宋体"/>
                <w:b/>
                <w:bCs/>
                <w:i w:val="0"/>
                <w:iCs w:val="0"/>
                <w:color w:val="000000"/>
                <w:kern w:val="0"/>
                <w:sz w:val="21"/>
                <w:szCs w:val="21"/>
                <w:u w:val="none"/>
                <w:lang w:val="en-US" w:eastAsia="zh-CN" w:bidi="ar"/>
              </w:rPr>
              <w:t>茶农</w:t>
            </w:r>
          </w:p>
        </w:tc>
        <w:tc>
          <w:tcPr>
            <w:tcW w:w="103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3E9733">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114CB6">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B562DE">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single" w:color="000000" w:sz="8" w:space="0"/>
              <w:left w:val="single" w:color="000000" w:sz="8" w:space="0"/>
              <w:bottom w:val="single" w:color="000000" w:sz="8" w:space="0"/>
              <w:right w:val="single" w:color="000000" w:sz="8" w:space="0"/>
            </w:tcBorders>
            <w:shd w:val="clear" w:color="auto" w:fill="auto"/>
            <w:vAlign w:val="top"/>
          </w:tcPr>
          <w:p w14:paraId="3B18C4F1">
            <w:pPr>
              <w:keepNext w:val="0"/>
              <w:keepLines w:val="0"/>
              <w:widowControl/>
              <w:suppressLineNumbers w:val="0"/>
              <w:ind w:firstLine="420" w:firstLineChars="200"/>
              <w:jc w:val="center"/>
              <w:textAlignment w:val="top"/>
              <w:rPr>
                <w:rFonts w:hint="eastAsia" w:ascii="宋体" w:hAnsi="宋体" w:cs="宋体"/>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92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002952">
            <w:pPr>
              <w:widowControl/>
              <w:ind w:firstLine="0" w:firstLineChars="0"/>
              <w:jc w:val="center"/>
              <w:textAlignment w:val="center"/>
              <w:rPr>
                <w:rFonts w:hint="eastAsia" w:ascii="宋体" w:hAnsi="宋体" w:cs="宋体"/>
                <w:color w:val="000000"/>
                <w:kern w:val="0"/>
                <w:sz w:val="21"/>
                <w:szCs w:val="21"/>
                <w:lang w:bidi="ar"/>
              </w:rPr>
            </w:pPr>
            <w:r>
              <w:rPr>
                <w:rFonts w:hint="eastAsia" w:ascii="宋体" w:hAnsi="宋体" w:cs="宋体"/>
                <w:b/>
                <w:bCs/>
                <w:color w:val="000000"/>
                <w:kern w:val="0"/>
                <w:sz w:val="21"/>
                <w:szCs w:val="21"/>
                <w:lang w:bidi="ar"/>
              </w:rPr>
              <w:t>特优</w:t>
            </w:r>
          </w:p>
        </w:tc>
      </w:tr>
      <w:tr w14:paraId="27692F47">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7A9F17">
            <w:pPr>
              <w:keepNext w:val="0"/>
              <w:keepLines w:val="0"/>
              <w:widowControl/>
              <w:suppressLineNumbers w:val="0"/>
              <w:jc w:val="left"/>
              <w:textAlignment w:val="center"/>
              <w:rPr>
                <w:rFonts w:hint="eastAsia" w:ascii="宋体" w:hAnsi="宋体" w:cs="宋体"/>
                <w:b/>
                <w:bCs/>
                <w:color w:val="000000"/>
                <w:kern w:val="0"/>
                <w:sz w:val="21"/>
                <w:szCs w:val="21"/>
                <w:lang w:bidi="ar"/>
              </w:rPr>
            </w:pPr>
            <w:r>
              <w:rPr>
                <w:rFonts w:hint="eastAsia" w:ascii="宋体" w:hAnsi="宋体" w:eastAsia="宋体" w:cs="宋体"/>
                <w:b/>
                <w:bCs/>
                <w:i w:val="0"/>
                <w:iCs w:val="0"/>
                <w:color w:val="000000"/>
                <w:kern w:val="0"/>
                <w:sz w:val="21"/>
                <w:szCs w:val="21"/>
                <w:u w:val="none"/>
                <w:lang w:val="en-US" w:eastAsia="zh-CN" w:bidi="ar"/>
              </w:rPr>
              <w:t>马尾</w:t>
            </w:r>
          </w:p>
        </w:tc>
        <w:tc>
          <w:tcPr>
            <w:tcW w:w="103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9D0DF4">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DF6A38">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F1C619">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single" w:color="000000" w:sz="8" w:space="0"/>
              <w:left w:val="single" w:color="000000" w:sz="8" w:space="0"/>
              <w:bottom w:val="single" w:color="000000" w:sz="8" w:space="0"/>
              <w:right w:val="single" w:color="000000" w:sz="8" w:space="0"/>
            </w:tcBorders>
            <w:shd w:val="clear" w:color="auto" w:fill="auto"/>
            <w:vAlign w:val="top"/>
          </w:tcPr>
          <w:p w14:paraId="0C49F5C8">
            <w:pPr>
              <w:keepNext w:val="0"/>
              <w:keepLines w:val="0"/>
              <w:widowControl/>
              <w:suppressLineNumbers w:val="0"/>
              <w:ind w:firstLine="420" w:firstLineChars="200"/>
              <w:jc w:val="center"/>
              <w:textAlignment w:val="top"/>
              <w:rPr>
                <w:rFonts w:hint="eastAsia" w:ascii="宋体" w:hAnsi="宋体" w:cs="宋体"/>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89D982">
            <w:pPr>
              <w:widowControl/>
              <w:ind w:firstLine="0" w:firstLineChars="0"/>
              <w:jc w:val="center"/>
              <w:textAlignment w:val="center"/>
              <w:rPr>
                <w:rFonts w:hint="eastAsia" w:ascii="宋体" w:hAnsi="宋体" w:cs="宋体"/>
                <w:color w:val="000000"/>
                <w:kern w:val="0"/>
                <w:sz w:val="21"/>
                <w:szCs w:val="21"/>
                <w:lang w:bidi="ar"/>
              </w:rPr>
            </w:pPr>
            <w:r>
              <w:rPr>
                <w:rFonts w:hint="eastAsia" w:ascii="宋体" w:hAnsi="宋体" w:cs="宋体"/>
                <w:b/>
                <w:bCs/>
                <w:color w:val="000000"/>
                <w:kern w:val="0"/>
                <w:sz w:val="21"/>
                <w:szCs w:val="21"/>
                <w:lang w:bidi="ar"/>
              </w:rPr>
              <w:t>优</w:t>
            </w:r>
          </w:p>
        </w:tc>
      </w:tr>
    </w:tbl>
    <w:p w14:paraId="44A910A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评价结果表明，2024年都匀茶叶气候品质12站点为“优”，9站点为“特优”，气候品质指数“优”以上有效站数达100%，大于占比阈值50%，表明2024年都匀市全域气候生态条件优异。</w:t>
      </w:r>
    </w:p>
    <w:p w14:paraId="00F9D3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（四）基于气象观测资料的评价</w:t>
      </w:r>
    </w:p>
    <w:p w14:paraId="57A25B2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通过以上分析得出，都匀市近10年（2015-2024年）和2024年茶叶各关键生长期的气候条件均较为优越，利于形成优级以上的茶叶，近10年茶叶气候品质指数均为2.8，10年气候品质评价均达“特优”，气候品质指数有效性赋值总和F为10&gt;最低阈值7，因此，都匀茶叶评价结果为“气候生态农产品”；2024年都匀茶叶生长期间的气候条件有利于其形成较好的气候品质，各气象观测点气候品质指数均在2.2以上，12站等级达到“优”，9站达到“特优”，整体评价为“优”。表明贵州省都匀市为茶叶种植最适宜气候区，适宜产出气候生态茶叶，为本地茶叶种植企业创建都匀毛尖等优质茶叶品牌打下了得天独厚的良好基础。</w:t>
      </w:r>
    </w:p>
    <w:p w14:paraId="3507D84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2017年都匀毛尖品质检测结果：</w:t>
      </w:r>
    </w:p>
    <w:p w14:paraId="372C95D8">
      <w:pPr>
        <w:numPr>
          <w:ilvl w:val="0"/>
          <w:numId w:val="0"/>
        </w:numPr>
        <w:spacing w:line="360" w:lineRule="auto"/>
        <w:ind w:leftChars="0"/>
        <w:jc w:val="center"/>
        <w:rPr>
          <w:rFonts w:hint="default" w:ascii="宋体" w:hAnsi="宋体"/>
          <w:sz w:val="24"/>
          <w:lang w:val="en-US" w:eastAsia="zh-CN"/>
        </w:rPr>
      </w:pPr>
      <w:r>
        <w:rPr>
          <w:rFonts w:hint="default" w:ascii="宋体" w:hAnsi="宋体"/>
          <w:sz w:val="24"/>
          <w:lang w:val="en-US" w:eastAsia="zh-CN"/>
        </w:rPr>
        <w:drawing>
          <wp:inline distT="0" distB="0" distL="114300" distR="114300">
            <wp:extent cx="1887220" cy="2520315"/>
            <wp:effectExtent l="0" t="0" r="17780" b="13335"/>
            <wp:docPr id="2" name="图片 2" descr="174461846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4618460338"/>
                    <pic:cNvPicPr>
                      <a:picLocks noChangeAspect="1"/>
                    </pic:cNvPicPr>
                  </pic:nvPicPr>
                  <pic:blipFill>
                    <a:blip r:embed="rId24"/>
                    <a:stretch>
                      <a:fillRect/>
                    </a:stretch>
                  </pic:blipFill>
                  <pic:spPr>
                    <a:xfrm>
                      <a:off x="0" y="0"/>
                      <a:ext cx="1887220" cy="2520315"/>
                    </a:xfrm>
                    <a:prstGeom prst="rect">
                      <a:avLst/>
                    </a:prstGeom>
                  </pic:spPr>
                </pic:pic>
              </a:graphicData>
            </a:graphic>
          </wp:inline>
        </w:drawing>
      </w:r>
      <w:r>
        <w:rPr>
          <w:rFonts w:hint="default" w:ascii="宋体" w:hAnsi="宋体"/>
          <w:sz w:val="24"/>
          <w:lang w:val="en-US" w:eastAsia="zh-CN"/>
        </w:rPr>
        <w:drawing>
          <wp:inline distT="0" distB="0" distL="114300" distR="114300">
            <wp:extent cx="1898015" cy="2520315"/>
            <wp:effectExtent l="0" t="0" r="6985" b="13335"/>
            <wp:docPr id="3" name="图片 3" descr="174461847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4618476811"/>
                    <pic:cNvPicPr>
                      <a:picLocks noChangeAspect="1"/>
                    </pic:cNvPicPr>
                  </pic:nvPicPr>
                  <pic:blipFill>
                    <a:blip r:embed="rId25"/>
                    <a:stretch>
                      <a:fillRect/>
                    </a:stretch>
                  </pic:blipFill>
                  <pic:spPr>
                    <a:xfrm>
                      <a:off x="0" y="0"/>
                      <a:ext cx="1898015" cy="2520315"/>
                    </a:xfrm>
                    <a:prstGeom prst="rect">
                      <a:avLst/>
                    </a:prstGeom>
                  </pic:spPr>
                </pic:pic>
              </a:graphicData>
            </a:graphic>
          </wp:inline>
        </w:drawing>
      </w:r>
    </w:p>
    <w:p w14:paraId="64E3D80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2021年都匀毛尖品质检测结果：</w:t>
      </w:r>
    </w:p>
    <w:p w14:paraId="550086B9">
      <w:pPr>
        <w:numPr>
          <w:ilvl w:val="0"/>
          <w:numId w:val="0"/>
        </w:numPr>
        <w:spacing w:line="360" w:lineRule="auto"/>
        <w:ind w:leftChars="0"/>
        <w:jc w:val="center"/>
        <w:rPr>
          <w:rFonts w:hint="default" w:ascii="宋体" w:hAnsi="宋体"/>
          <w:sz w:val="24"/>
          <w:lang w:val="en-US" w:eastAsia="zh-CN"/>
        </w:rPr>
      </w:pPr>
      <w:r>
        <w:rPr>
          <w:rFonts w:hint="default" w:ascii="宋体" w:hAnsi="宋体"/>
          <w:sz w:val="24"/>
          <w:lang w:val="en-US" w:eastAsia="zh-CN"/>
        </w:rPr>
        <w:drawing>
          <wp:inline distT="0" distB="0" distL="114300" distR="114300">
            <wp:extent cx="1886585" cy="2362835"/>
            <wp:effectExtent l="0" t="0" r="18415" b="18415"/>
            <wp:docPr id="4" name="图片 4" descr="174461852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4618528338"/>
                    <pic:cNvPicPr>
                      <a:picLocks noChangeAspect="1"/>
                    </pic:cNvPicPr>
                  </pic:nvPicPr>
                  <pic:blipFill>
                    <a:blip r:embed="rId26"/>
                    <a:stretch>
                      <a:fillRect/>
                    </a:stretch>
                  </pic:blipFill>
                  <pic:spPr>
                    <a:xfrm>
                      <a:off x="0" y="0"/>
                      <a:ext cx="1886585" cy="2362835"/>
                    </a:xfrm>
                    <a:prstGeom prst="rect">
                      <a:avLst/>
                    </a:prstGeom>
                  </pic:spPr>
                </pic:pic>
              </a:graphicData>
            </a:graphic>
          </wp:inline>
        </w:drawing>
      </w:r>
      <w:r>
        <w:rPr>
          <w:rFonts w:hint="default" w:ascii="宋体" w:hAnsi="宋体"/>
          <w:sz w:val="24"/>
          <w:lang w:val="en-US" w:eastAsia="zh-CN"/>
        </w:rPr>
        <w:drawing>
          <wp:inline distT="0" distB="0" distL="114300" distR="114300">
            <wp:extent cx="2466340" cy="2905125"/>
            <wp:effectExtent l="0" t="0" r="10160" b="9525"/>
            <wp:docPr id="5" name="图片 5" descr="174461855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4618553667"/>
                    <pic:cNvPicPr>
                      <a:picLocks noChangeAspect="1"/>
                    </pic:cNvPicPr>
                  </pic:nvPicPr>
                  <pic:blipFill>
                    <a:blip r:embed="rId27"/>
                    <a:stretch>
                      <a:fillRect/>
                    </a:stretch>
                  </pic:blipFill>
                  <pic:spPr>
                    <a:xfrm>
                      <a:off x="0" y="0"/>
                      <a:ext cx="2466340" cy="2905125"/>
                    </a:xfrm>
                    <a:prstGeom prst="rect">
                      <a:avLst/>
                    </a:prstGeom>
                  </pic:spPr>
                </pic:pic>
              </a:graphicData>
            </a:graphic>
          </wp:inline>
        </w:drawing>
      </w:r>
    </w:p>
    <w:p w14:paraId="03E33C9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2023年都匀毛尖品质检测结果：</w:t>
      </w:r>
    </w:p>
    <w:p w14:paraId="33F9CC87">
      <w:pPr>
        <w:numPr>
          <w:ilvl w:val="0"/>
          <w:numId w:val="0"/>
        </w:numPr>
        <w:spacing w:line="360" w:lineRule="auto"/>
        <w:ind w:leftChars="0"/>
        <w:jc w:val="center"/>
        <w:rPr>
          <w:rFonts w:hint="default" w:ascii="宋体" w:hAnsi="宋体"/>
          <w:sz w:val="24"/>
          <w:lang w:val="en-US" w:eastAsia="zh-CN"/>
        </w:rPr>
      </w:pPr>
      <w:r>
        <w:rPr>
          <w:rFonts w:hint="default" w:ascii="宋体" w:hAnsi="宋体"/>
          <w:sz w:val="24"/>
          <w:lang w:val="en-US" w:eastAsia="zh-CN"/>
        </w:rPr>
        <w:drawing>
          <wp:inline distT="0" distB="0" distL="114300" distR="114300">
            <wp:extent cx="1952625" cy="2532380"/>
            <wp:effectExtent l="0" t="0" r="9525" b="1270"/>
            <wp:docPr id="6" name="图片 6" descr="174461868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4618682850"/>
                    <pic:cNvPicPr>
                      <a:picLocks noChangeAspect="1"/>
                    </pic:cNvPicPr>
                  </pic:nvPicPr>
                  <pic:blipFill>
                    <a:blip r:embed="rId28"/>
                    <a:stretch>
                      <a:fillRect/>
                    </a:stretch>
                  </pic:blipFill>
                  <pic:spPr>
                    <a:xfrm>
                      <a:off x="0" y="0"/>
                      <a:ext cx="1952625" cy="2532380"/>
                    </a:xfrm>
                    <a:prstGeom prst="rect">
                      <a:avLst/>
                    </a:prstGeom>
                  </pic:spPr>
                </pic:pic>
              </a:graphicData>
            </a:graphic>
          </wp:inline>
        </w:drawing>
      </w:r>
    </w:p>
    <w:p w14:paraId="1FD1880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p>
    <w:p w14:paraId="496942F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2024年都匀毛尖品质检测结果：</w:t>
      </w:r>
    </w:p>
    <w:p w14:paraId="5BC2BFA4">
      <w:pPr>
        <w:numPr>
          <w:ilvl w:val="0"/>
          <w:numId w:val="0"/>
        </w:numPr>
        <w:spacing w:line="360" w:lineRule="auto"/>
        <w:ind w:leftChars="0"/>
        <w:jc w:val="center"/>
        <w:rPr>
          <w:rFonts w:hint="default" w:ascii="宋体" w:hAnsi="宋体"/>
          <w:sz w:val="24"/>
          <w:lang w:val="en-US" w:eastAsia="zh-CN"/>
        </w:rPr>
      </w:pPr>
      <w:r>
        <w:rPr>
          <w:rFonts w:hint="default" w:ascii="宋体" w:hAnsi="宋体"/>
          <w:sz w:val="24"/>
          <w:lang w:val="en-US" w:eastAsia="zh-CN"/>
        </w:rPr>
        <w:drawing>
          <wp:inline distT="0" distB="0" distL="114300" distR="114300">
            <wp:extent cx="1771015" cy="2520315"/>
            <wp:effectExtent l="0" t="0" r="635" b="13335"/>
            <wp:docPr id="8" name="图片 8" descr="174461872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4618728117"/>
                    <pic:cNvPicPr>
                      <a:picLocks noChangeAspect="1"/>
                    </pic:cNvPicPr>
                  </pic:nvPicPr>
                  <pic:blipFill>
                    <a:blip r:embed="rId29"/>
                    <a:stretch>
                      <a:fillRect/>
                    </a:stretch>
                  </pic:blipFill>
                  <pic:spPr>
                    <a:xfrm>
                      <a:off x="0" y="0"/>
                      <a:ext cx="1771015" cy="2520315"/>
                    </a:xfrm>
                    <a:prstGeom prst="rect">
                      <a:avLst/>
                    </a:prstGeom>
                  </pic:spPr>
                </pic:pic>
              </a:graphicData>
            </a:graphic>
          </wp:inline>
        </w:drawing>
      </w:r>
    </w:p>
    <w:p w14:paraId="39AD11EA">
      <w:pPr>
        <w:autoSpaceDE w:val="0"/>
        <w:autoSpaceDN w:val="0"/>
        <w:adjustRightInd w:val="0"/>
        <w:spacing w:line="360" w:lineRule="auto"/>
        <w:ind w:firstLine="422" w:firstLineChars="200"/>
        <w:jc w:val="center"/>
        <w:rPr>
          <w:rFonts w:hint="eastAsia" w:ascii="Times New Roman" w:hAnsi="Times New Roman" w:cs="Times New Roman"/>
          <w:b/>
          <w:bCs/>
          <w:szCs w:val="21"/>
          <w:lang w:val="en-US" w:eastAsia="zh-CN"/>
        </w:rPr>
      </w:pPr>
    </w:p>
    <w:p w14:paraId="5E3F0145">
      <w:pPr>
        <w:autoSpaceDE w:val="0"/>
        <w:autoSpaceDN w:val="0"/>
        <w:adjustRightInd w:val="0"/>
        <w:spacing w:line="360" w:lineRule="auto"/>
        <w:ind w:firstLine="422" w:firstLineChars="200"/>
        <w:jc w:val="center"/>
        <w:rPr>
          <w:rFonts w:hint="default"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主要试验：指标模型的合理性检验</w:t>
      </w:r>
    </w:p>
    <w:p w14:paraId="60B0CE01">
      <w:pPr>
        <w:autoSpaceDE w:val="0"/>
        <w:autoSpaceDN w:val="0"/>
        <w:adjustRightInd w:val="0"/>
        <w:spacing w:line="360" w:lineRule="auto"/>
        <w:ind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利用全省84个国家站2015-2024年气象数据，对评价指标模型进行检验。</w:t>
      </w:r>
      <w:r>
        <w:rPr>
          <w:rFonts w:hint="eastAsia" w:ascii="Times New Roman" w:hAnsi="Times New Roman" w:cs="Times New Roman"/>
          <w:color w:val="auto"/>
          <w:szCs w:val="21"/>
          <w:lang w:val="en-US" w:eastAsia="zh-CN"/>
        </w:rPr>
        <w:t>下表给出了根据指标模型的评价结果表，</w:t>
      </w:r>
      <w:r>
        <w:rPr>
          <w:rFonts w:hint="default" w:ascii="Times New Roman" w:hAnsi="Times New Roman" w:cs="Times New Roman"/>
          <w:color w:val="auto"/>
          <w:szCs w:val="21"/>
          <w:lang w:val="en-US" w:eastAsia="zh-CN"/>
        </w:rPr>
        <w:t>有15站10年内均为“特优”；54站10年内均为“优”以上。</w:t>
      </w:r>
    </w:p>
    <w:tbl>
      <w:tblPr>
        <w:tblStyle w:val="8"/>
        <w:tblW w:w="49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67"/>
        <w:gridCol w:w="913"/>
        <w:gridCol w:w="1695"/>
        <w:gridCol w:w="1081"/>
      </w:tblGrid>
      <w:tr w14:paraId="45C9E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247" w:type="dxa"/>
            <w:gridSpan w:val="2"/>
            <w:tcBorders>
              <w:top w:val="nil"/>
              <w:left w:val="nil"/>
              <w:bottom w:val="nil"/>
              <w:right w:val="nil"/>
            </w:tcBorders>
            <w:shd w:val="clear" w:color="auto" w:fill="auto"/>
            <w:vAlign w:val="center"/>
          </w:tcPr>
          <w:p w14:paraId="197252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特优年份</w:t>
            </w:r>
          </w:p>
        </w:tc>
        <w:tc>
          <w:tcPr>
            <w:tcW w:w="913" w:type="dxa"/>
            <w:tcBorders>
              <w:top w:val="nil"/>
              <w:left w:val="nil"/>
              <w:bottom w:val="nil"/>
              <w:right w:val="nil"/>
            </w:tcBorders>
            <w:shd w:val="clear" w:color="auto" w:fill="auto"/>
            <w:vAlign w:val="center"/>
          </w:tcPr>
          <w:p w14:paraId="4B7877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站数</w:t>
            </w:r>
          </w:p>
        </w:tc>
        <w:tc>
          <w:tcPr>
            <w:tcW w:w="1695" w:type="dxa"/>
            <w:tcBorders>
              <w:top w:val="nil"/>
              <w:left w:val="nil"/>
              <w:bottom w:val="nil"/>
              <w:right w:val="nil"/>
            </w:tcBorders>
            <w:shd w:val="clear" w:color="auto" w:fill="auto"/>
            <w:vAlign w:val="center"/>
          </w:tcPr>
          <w:p w14:paraId="07ED94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优以上年份</w:t>
            </w:r>
          </w:p>
        </w:tc>
        <w:tc>
          <w:tcPr>
            <w:tcW w:w="1081" w:type="dxa"/>
            <w:tcBorders>
              <w:top w:val="nil"/>
              <w:left w:val="nil"/>
              <w:bottom w:val="nil"/>
              <w:right w:val="nil"/>
            </w:tcBorders>
            <w:shd w:val="clear" w:color="auto" w:fill="auto"/>
            <w:vAlign w:val="center"/>
          </w:tcPr>
          <w:p w14:paraId="5CB6AF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站数</w:t>
            </w:r>
          </w:p>
        </w:tc>
      </w:tr>
      <w:tr w14:paraId="39CB4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80" w:type="dxa"/>
            <w:tcBorders>
              <w:top w:val="nil"/>
              <w:left w:val="nil"/>
              <w:bottom w:val="nil"/>
              <w:right w:val="nil"/>
            </w:tcBorders>
            <w:shd w:val="clear" w:color="auto" w:fill="auto"/>
            <w:vAlign w:val="center"/>
          </w:tcPr>
          <w:p w14:paraId="57880771">
            <w:pPr>
              <w:keepNext w:val="0"/>
              <w:keepLines w:val="0"/>
              <w:widowControl/>
              <w:suppressLineNumbers w:val="0"/>
              <w:jc w:val="center"/>
              <w:textAlignment w:val="center"/>
              <w:rPr>
                <w:rFonts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1080" w:type="dxa"/>
            <w:gridSpan w:val="2"/>
            <w:tcBorders>
              <w:top w:val="nil"/>
              <w:left w:val="nil"/>
              <w:bottom w:val="nil"/>
              <w:right w:val="nil"/>
            </w:tcBorders>
            <w:shd w:val="clear" w:color="auto" w:fill="auto"/>
            <w:vAlign w:val="center"/>
          </w:tcPr>
          <w:p w14:paraId="3F2848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695" w:type="dxa"/>
            <w:tcBorders>
              <w:top w:val="nil"/>
              <w:left w:val="nil"/>
              <w:bottom w:val="nil"/>
              <w:right w:val="nil"/>
            </w:tcBorders>
            <w:shd w:val="clear" w:color="auto" w:fill="auto"/>
            <w:vAlign w:val="center"/>
          </w:tcPr>
          <w:p w14:paraId="5A9FB4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81" w:type="dxa"/>
            <w:tcBorders>
              <w:top w:val="nil"/>
              <w:left w:val="nil"/>
              <w:bottom w:val="nil"/>
              <w:right w:val="nil"/>
            </w:tcBorders>
            <w:shd w:val="clear" w:color="auto" w:fill="auto"/>
            <w:vAlign w:val="center"/>
          </w:tcPr>
          <w:p w14:paraId="283AA4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r>
      <w:tr w14:paraId="3F225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80" w:type="dxa"/>
            <w:tcBorders>
              <w:top w:val="nil"/>
              <w:left w:val="nil"/>
              <w:bottom w:val="nil"/>
              <w:right w:val="nil"/>
            </w:tcBorders>
            <w:shd w:val="clear" w:color="auto" w:fill="auto"/>
            <w:vAlign w:val="center"/>
          </w:tcPr>
          <w:p w14:paraId="3C4A3BE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w:t>
            </w:r>
          </w:p>
        </w:tc>
        <w:tc>
          <w:tcPr>
            <w:tcW w:w="1080" w:type="dxa"/>
            <w:gridSpan w:val="2"/>
            <w:tcBorders>
              <w:top w:val="nil"/>
              <w:left w:val="nil"/>
              <w:bottom w:val="nil"/>
              <w:right w:val="nil"/>
            </w:tcBorders>
            <w:shd w:val="clear" w:color="auto" w:fill="auto"/>
            <w:vAlign w:val="center"/>
          </w:tcPr>
          <w:p w14:paraId="35696C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695" w:type="dxa"/>
            <w:tcBorders>
              <w:top w:val="nil"/>
              <w:left w:val="nil"/>
              <w:bottom w:val="nil"/>
              <w:right w:val="nil"/>
            </w:tcBorders>
            <w:shd w:val="clear" w:color="auto" w:fill="auto"/>
            <w:vAlign w:val="center"/>
          </w:tcPr>
          <w:p w14:paraId="4950F0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81" w:type="dxa"/>
            <w:tcBorders>
              <w:top w:val="nil"/>
              <w:left w:val="nil"/>
              <w:bottom w:val="nil"/>
              <w:right w:val="nil"/>
            </w:tcBorders>
            <w:shd w:val="clear" w:color="auto" w:fill="auto"/>
            <w:vAlign w:val="center"/>
          </w:tcPr>
          <w:p w14:paraId="028A22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r>
      <w:tr w14:paraId="5CBA7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80" w:type="dxa"/>
            <w:tcBorders>
              <w:top w:val="nil"/>
              <w:left w:val="nil"/>
              <w:bottom w:val="nil"/>
              <w:right w:val="nil"/>
            </w:tcBorders>
            <w:shd w:val="clear" w:color="auto" w:fill="auto"/>
            <w:vAlign w:val="center"/>
          </w:tcPr>
          <w:p w14:paraId="370592F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w:t>
            </w:r>
          </w:p>
        </w:tc>
        <w:tc>
          <w:tcPr>
            <w:tcW w:w="1080" w:type="dxa"/>
            <w:gridSpan w:val="2"/>
            <w:tcBorders>
              <w:top w:val="nil"/>
              <w:left w:val="nil"/>
              <w:bottom w:val="nil"/>
              <w:right w:val="nil"/>
            </w:tcBorders>
            <w:shd w:val="clear" w:color="auto" w:fill="auto"/>
            <w:vAlign w:val="center"/>
          </w:tcPr>
          <w:p w14:paraId="60851A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695" w:type="dxa"/>
            <w:tcBorders>
              <w:top w:val="nil"/>
              <w:left w:val="nil"/>
              <w:bottom w:val="nil"/>
              <w:right w:val="nil"/>
            </w:tcBorders>
            <w:shd w:val="clear" w:color="auto" w:fill="auto"/>
            <w:vAlign w:val="center"/>
          </w:tcPr>
          <w:p w14:paraId="47DE86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81" w:type="dxa"/>
            <w:tcBorders>
              <w:top w:val="nil"/>
              <w:left w:val="nil"/>
              <w:bottom w:val="nil"/>
              <w:right w:val="nil"/>
            </w:tcBorders>
            <w:shd w:val="clear" w:color="auto" w:fill="auto"/>
            <w:vAlign w:val="center"/>
          </w:tcPr>
          <w:p w14:paraId="6F8846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60330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80" w:type="dxa"/>
            <w:tcBorders>
              <w:top w:val="nil"/>
              <w:left w:val="nil"/>
              <w:bottom w:val="nil"/>
              <w:right w:val="nil"/>
            </w:tcBorders>
            <w:shd w:val="clear" w:color="auto" w:fill="auto"/>
            <w:vAlign w:val="center"/>
          </w:tcPr>
          <w:p w14:paraId="1F39E9A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w:t>
            </w:r>
          </w:p>
        </w:tc>
        <w:tc>
          <w:tcPr>
            <w:tcW w:w="1080" w:type="dxa"/>
            <w:gridSpan w:val="2"/>
            <w:tcBorders>
              <w:top w:val="nil"/>
              <w:left w:val="nil"/>
              <w:bottom w:val="nil"/>
              <w:right w:val="nil"/>
            </w:tcBorders>
            <w:shd w:val="clear" w:color="auto" w:fill="auto"/>
            <w:vAlign w:val="center"/>
          </w:tcPr>
          <w:p w14:paraId="2077F2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695" w:type="dxa"/>
            <w:tcBorders>
              <w:top w:val="nil"/>
              <w:left w:val="nil"/>
              <w:bottom w:val="nil"/>
              <w:right w:val="nil"/>
            </w:tcBorders>
            <w:shd w:val="clear" w:color="auto" w:fill="auto"/>
            <w:vAlign w:val="center"/>
          </w:tcPr>
          <w:p w14:paraId="6DFD9E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81" w:type="dxa"/>
            <w:tcBorders>
              <w:top w:val="nil"/>
              <w:left w:val="nil"/>
              <w:bottom w:val="nil"/>
              <w:right w:val="nil"/>
            </w:tcBorders>
            <w:shd w:val="clear" w:color="auto" w:fill="auto"/>
            <w:vAlign w:val="center"/>
          </w:tcPr>
          <w:p w14:paraId="16875B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CB2C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80" w:type="dxa"/>
            <w:tcBorders>
              <w:top w:val="nil"/>
              <w:left w:val="nil"/>
              <w:bottom w:val="nil"/>
              <w:right w:val="nil"/>
            </w:tcBorders>
            <w:shd w:val="clear" w:color="auto" w:fill="auto"/>
            <w:vAlign w:val="center"/>
          </w:tcPr>
          <w:p w14:paraId="6B00795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w:t>
            </w:r>
          </w:p>
        </w:tc>
        <w:tc>
          <w:tcPr>
            <w:tcW w:w="1080" w:type="dxa"/>
            <w:gridSpan w:val="2"/>
            <w:tcBorders>
              <w:top w:val="nil"/>
              <w:left w:val="nil"/>
              <w:bottom w:val="nil"/>
              <w:right w:val="nil"/>
            </w:tcBorders>
            <w:shd w:val="clear" w:color="auto" w:fill="auto"/>
            <w:vAlign w:val="center"/>
          </w:tcPr>
          <w:p w14:paraId="0B3802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695" w:type="dxa"/>
            <w:tcBorders>
              <w:top w:val="nil"/>
              <w:left w:val="nil"/>
              <w:bottom w:val="nil"/>
              <w:right w:val="nil"/>
            </w:tcBorders>
            <w:shd w:val="clear" w:color="auto" w:fill="auto"/>
            <w:vAlign w:val="center"/>
          </w:tcPr>
          <w:p w14:paraId="182385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81" w:type="dxa"/>
            <w:tcBorders>
              <w:top w:val="nil"/>
              <w:left w:val="nil"/>
              <w:bottom w:val="nil"/>
              <w:right w:val="nil"/>
            </w:tcBorders>
            <w:shd w:val="clear" w:color="auto" w:fill="auto"/>
            <w:vAlign w:val="center"/>
          </w:tcPr>
          <w:p w14:paraId="455C50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0B35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80" w:type="dxa"/>
            <w:tcBorders>
              <w:top w:val="nil"/>
              <w:left w:val="nil"/>
              <w:bottom w:val="nil"/>
              <w:right w:val="nil"/>
            </w:tcBorders>
            <w:shd w:val="clear" w:color="auto" w:fill="auto"/>
            <w:vAlign w:val="center"/>
          </w:tcPr>
          <w:p w14:paraId="78781D3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w:t>
            </w:r>
          </w:p>
        </w:tc>
        <w:tc>
          <w:tcPr>
            <w:tcW w:w="1080" w:type="dxa"/>
            <w:gridSpan w:val="2"/>
            <w:tcBorders>
              <w:top w:val="nil"/>
              <w:left w:val="nil"/>
              <w:bottom w:val="nil"/>
              <w:right w:val="nil"/>
            </w:tcBorders>
            <w:shd w:val="clear" w:color="auto" w:fill="auto"/>
            <w:vAlign w:val="center"/>
          </w:tcPr>
          <w:p w14:paraId="3155EF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695" w:type="dxa"/>
            <w:tcBorders>
              <w:top w:val="nil"/>
              <w:left w:val="nil"/>
              <w:bottom w:val="nil"/>
              <w:right w:val="nil"/>
            </w:tcBorders>
            <w:shd w:val="clear" w:color="auto" w:fill="auto"/>
            <w:vAlign w:val="center"/>
          </w:tcPr>
          <w:p w14:paraId="6EDE59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81" w:type="dxa"/>
            <w:tcBorders>
              <w:top w:val="nil"/>
              <w:left w:val="nil"/>
              <w:bottom w:val="nil"/>
              <w:right w:val="nil"/>
            </w:tcBorders>
            <w:shd w:val="clear" w:color="auto" w:fill="auto"/>
            <w:vAlign w:val="center"/>
          </w:tcPr>
          <w:p w14:paraId="775DEF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059A3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80" w:type="dxa"/>
            <w:tcBorders>
              <w:top w:val="nil"/>
              <w:left w:val="nil"/>
              <w:bottom w:val="nil"/>
              <w:right w:val="nil"/>
            </w:tcBorders>
            <w:shd w:val="clear" w:color="auto" w:fill="auto"/>
            <w:vAlign w:val="center"/>
          </w:tcPr>
          <w:p w14:paraId="3615875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w:t>
            </w:r>
          </w:p>
        </w:tc>
        <w:tc>
          <w:tcPr>
            <w:tcW w:w="1080" w:type="dxa"/>
            <w:gridSpan w:val="2"/>
            <w:tcBorders>
              <w:top w:val="nil"/>
              <w:left w:val="nil"/>
              <w:bottom w:val="nil"/>
              <w:right w:val="nil"/>
            </w:tcBorders>
            <w:shd w:val="clear" w:color="auto" w:fill="auto"/>
            <w:vAlign w:val="center"/>
          </w:tcPr>
          <w:p w14:paraId="21DA3C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695" w:type="dxa"/>
            <w:tcBorders>
              <w:top w:val="nil"/>
              <w:left w:val="nil"/>
              <w:bottom w:val="nil"/>
              <w:right w:val="nil"/>
            </w:tcBorders>
            <w:shd w:val="clear" w:color="auto" w:fill="auto"/>
            <w:vAlign w:val="center"/>
          </w:tcPr>
          <w:p w14:paraId="76135F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81" w:type="dxa"/>
            <w:tcBorders>
              <w:top w:val="nil"/>
              <w:left w:val="nil"/>
              <w:bottom w:val="nil"/>
              <w:right w:val="nil"/>
            </w:tcBorders>
            <w:shd w:val="clear" w:color="auto" w:fill="auto"/>
            <w:vAlign w:val="center"/>
          </w:tcPr>
          <w:p w14:paraId="5AF0A8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42C4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80" w:type="dxa"/>
            <w:tcBorders>
              <w:top w:val="nil"/>
              <w:left w:val="nil"/>
              <w:bottom w:val="nil"/>
              <w:right w:val="nil"/>
            </w:tcBorders>
            <w:shd w:val="clear" w:color="auto" w:fill="auto"/>
            <w:vAlign w:val="center"/>
          </w:tcPr>
          <w:p w14:paraId="5D515C0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w:t>
            </w:r>
          </w:p>
        </w:tc>
        <w:tc>
          <w:tcPr>
            <w:tcW w:w="1080" w:type="dxa"/>
            <w:gridSpan w:val="2"/>
            <w:tcBorders>
              <w:top w:val="nil"/>
              <w:left w:val="nil"/>
              <w:bottom w:val="nil"/>
              <w:right w:val="nil"/>
            </w:tcBorders>
            <w:shd w:val="clear" w:color="auto" w:fill="auto"/>
            <w:vAlign w:val="center"/>
          </w:tcPr>
          <w:p w14:paraId="3E9653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695" w:type="dxa"/>
            <w:tcBorders>
              <w:top w:val="nil"/>
              <w:left w:val="nil"/>
              <w:bottom w:val="nil"/>
              <w:right w:val="nil"/>
            </w:tcBorders>
            <w:shd w:val="clear" w:color="auto" w:fill="auto"/>
            <w:vAlign w:val="center"/>
          </w:tcPr>
          <w:p w14:paraId="211A0C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81" w:type="dxa"/>
            <w:tcBorders>
              <w:top w:val="nil"/>
              <w:left w:val="nil"/>
              <w:bottom w:val="nil"/>
              <w:right w:val="nil"/>
            </w:tcBorders>
            <w:shd w:val="clear" w:color="auto" w:fill="auto"/>
            <w:vAlign w:val="center"/>
          </w:tcPr>
          <w:p w14:paraId="1F0F1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9CBC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80" w:type="dxa"/>
            <w:tcBorders>
              <w:top w:val="nil"/>
              <w:left w:val="nil"/>
              <w:bottom w:val="nil"/>
              <w:right w:val="nil"/>
            </w:tcBorders>
            <w:shd w:val="clear" w:color="auto" w:fill="auto"/>
            <w:vAlign w:val="center"/>
          </w:tcPr>
          <w:p w14:paraId="3F73169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w:t>
            </w:r>
          </w:p>
        </w:tc>
        <w:tc>
          <w:tcPr>
            <w:tcW w:w="1080" w:type="dxa"/>
            <w:gridSpan w:val="2"/>
            <w:tcBorders>
              <w:top w:val="nil"/>
              <w:left w:val="nil"/>
              <w:bottom w:val="nil"/>
              <w:right w:val="nil"/>
            </w:tcBorders>
            <w:shd w:val="clear" w:color="auto" w:fill="auto"/>
            <w:vAlign w:val="center"/>
          </w:tcPr>
          <w:p w14:paraId="381E91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695" w:type="dxa"/>
            <w:tcBorders>
              <w:top w:val="nil"/>
              <w:left w:val="nil"/>
              <w:bottom w:val="nil"/>
              <w:right w:val="nil"/>
            </w:tcBorders>
            <w:shd w:val="clear" w:color="auto" w:fill="auto"/>
            <w:vAlign w:val="center"/>
          </w:tcPr>
          <w:p w14:paraId="5FE36F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81" w:type="dxa"/>
            <w:tcBorders>
              <w:top w:val="nil"/>
              <w:left w:val="nil"/>
              <w:bottom w:val="nil"/>
              <w:right w:val="nil"/>
            </w:tcBorders>
            <w:shd w:val="clear" w:color="auto" w:fill="auto"/>
            <w:vAlign w:val="center"/>
          </w:tcPr>
          <w:p w14:paraId="1DBACA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bl>
    <w:p w14:paraId="03F56529">
      <w:pPr>
        <w:autoSpaceDE w:val="0"/>
        <w:autoSpaceDN w:val="0"/>
        <w:adjustRightInd w:val="0"/>
        <w:spacing w:line="360" w:lineRule="auto"/>
        <w:ind w:firstLine="420" w:firstLineChars="200"/>
        <w:jc w:val="left"/>
        <w:rPr>
          <w:rFonts w:hint="default" w:ascii="Times New Roman" w:hAnsi="Times New Roman" w:cs="Times New Roman"/>
          <w:color w:val="0000FF"/>
          <w:szCs w:val="21"/>
          <w:lang w:val="en-US" w:eastAsia="zh-CN"/>
        </w:rPr>
      </w:pPr>
    </w:p>
    <w:p w14:paraId="17EC0D85">
      <w:pPr>
        <w:autoSpaceDE w:val="0"/>
        <w:autoSpaceDN w:val="0"/>
        <w:adjustRightInd w:val="0"/>
        <w:spacing w:line="360" w:lineRule="auto"/>
        <w:ind w:firstLine="420" w:firstLineChars="200"/>
        <w:jc w:val="left"/>
        <w:rPr>
          <w:rFonts w:hint="default" w:ascii="Times New Roman" w:hAnsi="Times New Roman" w:cs="Times New Roman"/>
          <w:color w:val="0000FF"/>
          <w:szCs w:val="21"/>
          <w:lang w:val="en-US" w:eastAsia="zh-CN"/>
        </w:rPr>
      </w:pPr>
      <w:r>
        <w:drawing>
          <wp:inline distT="0" distB="0" distL="114300" distR="114300">
            <wp:extent cx="4622800" cy="2160270"/>
            <wp:effectExtent l="0" t="0" r="6350" b="11430"/>
            <wp:docPr id="1" name="图片 3"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Graph2"/>
                    <pic:cNvPicPr>
                      <a:picLocks noChangeAspect="1"/>
                    </pic:cNvPicPr>
                  </pic:nvPicPr>
                  <pic:blipFill>
                    <a:blip r:embed="rId30"/>
                    <a:stretch>
                      <a:fillRect/>
                    </a:stretch>
                  </pic:blipFill>
                  <pic:spPr>
                    <a:xfrm>
                      <a:off x="0" y="0"/>
                      <a:ext cx="4622800" cy="2160270"/>
                    </a:xfrm>
                    <a:prstGeom prst="rect">
                      <a:avLst/>
                    </a:prstGeom>
                  </pic:spPr>
                </pic:pic>
              </a:graphicData>
            </a:graphic>
          </wp:inline>
        </w:drawing>
      </w:r>
    </w:p>
    <w:p w14:paraId="3C77057E">
      <w:pPr>
        <w:spacing w:line="360" w:lineRule="auto"/>
        <w:ind w:firstLine="422" w:firstLineChars="200"/>
        <w:jc w:val="left"/>
        <w:rPr>
          <w:rFonts w:hint="eastAsia" w:cs="Times New Roman" w:eastAsiaTheme="minorEastAsia"/>
          <w:b/>
          <w:color w:val="000000"/>
          <w:kern w:val="0"/>
          <w:szCs w:val="21"/>
          <w:lang w:val="en-US" w:eastAsia="zh-CN"/>
        </w:rPr>
      </w:pPr>
    </w:p>
    <w:p w14:paraId="37FA36DF">
      <w:pPr>
        <w:autoSpaceDE w:val="0"/>
        <w:autoSpaceDN w:val="0"/>
        <w:adjustRightInd w:val="0"/>
        <w:spacing w:line="360" w:lineRule="auto"/>
        <w:ind w:firstLine="420" w:firstLineChars="200"/>
        <w:jc w:val="left"/>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同时，下图分别给出了优”以上产地年数分布、10年主要为“良”的产地分布和10年内存在“一般”的产地分布，评价结果表明除南部边缘局地外，贵州大部地区属于茶叶生长优质气候区，良和一般产地易发生较为严重的干旱</w:t>
      </w:r>
    </w:p>
    <w:p w14:paraId="486AC2DD">
      <w:pPr>
        <w:spacing w:line="360" w:lineRule="auto"/>
        <w:ind w:firstLine="422" w:firstLineChars="200"/>
        <w:jc w:val="left"/>
        <w:rPr>
          <w:rFonts w:hint="eastAsia" w:cs="Times New Roman" w:eastAsiaTheme="minorEastAsia"/>
          <w:b/>
          <w:color w:val="000000"/>
          <w:kern w:val="0"/>
          <w:szCs w:val="21"/>
          <w:lang w:val="en-US" w:eastAsia="zh-CN"/>
        </w:rPr>
      </w:pPr>
    </w:p>
    <w:p w14:paraId="2E5AEDF6">
      <w:pPr>
        <w:spacing w:line="360" w:lineRule="auto"/>
        <w:ind w:firstLine="420" w:firstLineChars="200"/>
        <w:jc w:val="center"/>
      </w:pPr>
      <w:r>
        <w:drawing>
          <wp:inline distT="0" distB="0" distL="114300" distR="114300">
            <wp:extent cx="3305810" cy="2684145"/>
            <wp:effectExtent l="0" t="0" r="8890" b="1905"/>
            <wp:docPr id="17" name="图片 16" descr="G:/1009-茶叶团标相关内容/图/优以上年份分布图.png优以上年份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G:/1009-茶叶团标相关内容/图/优以上年份分布图.png优以上年份分布图"/>
                    <pic:cNvPicPr>
                      <a:picLocks noChangeAspect="1"/>
                    </pic:cNvPicPr>
                  </pic:nvPicPr>
                  <pic:blipFill>
                    <a:blip r:embed="rId31"/>
                    <a:srcRect l="17" r="17"/>
                    <a:stretch>
                      <a:fillRect/>
                    </a:stretch>
                  </pic:blipFill>
                  <pic:spPr>
                    <a:xfrm>
                      <a:off x="0" y="0"/>
                      <a:ext cx="3305810" cy="2684145"/>
                    </a:xfrm>
                    <a:prstGeom prst="rect">
                      <a:avLst/>
                    </a:prstGeom>
                  </pic:spPr>
                </pic:pic>
              </a:graphicData>
            </a:graphic>
          </wp:inline>
        </w:drawing>
      </w:r>
    </w:p>
    <w:p w14:paraId="5B7346D3">
      <w:pPr>
        <w:spacing w:line="360" w:lineRule="auto"/>
        <w:ind w:firstLine="420" w:firstLineChars="200"/>
        <w:jc w:val="center"/>
        <w:rPr>
          <w:b w:val="0"/>
          <w:bCs/>
        </w:rPr>
      </w:pPr>
      <w:r>
        <w:rPr>
          <w:rFonts w:hint="eastAsia" w:cs="Times New Roman" w:eastAsiaTheme="minorEastAsia"/>
          <w:b w:val="0"/>
          <w:bCs/>
          <w:color w:val="000000"/>
          <w:kern w:val="0"/>
          <w:szCs w:val="21"/>
          <w:lang w:val="en-US" w:eastAsia="zh-CN"/>
        </w:rPr>
        <w:t>优”以上产地年数分布</w:t>
      </w:r>
    </w:p>
    <w:p w14:paraId="5BB4BB43">
      <w:pPr>
        <w:spacing w:line="360" w:lineRule="auto"/>
        <w:ind w:firstLine="420" w:firstLineChars="200"/>
        <w:jc w:val="center"/>
      </w:pPr>
    </w:p>
    <w:p w14:paraId="1F2AC260">
      <w:pPr>
        <w:spacing w:line="360" w:lineRule="auto"/>
        <w:ind w:firstLine="420" w:firstLineChars="200"/>
        <w:jc w:val="center"/>
      </w:pPr>
      <w:r>
        <w:drawing>
          <wp:inline distT="0" distB="0" distL="114300" distR="114300">
            <wp:extent cx="2146300" cy="1800225"/>
            <wp:effectExtent l="0" t="0" r="6350" b="9525"/>
            <wp:docPr id="16" name="图片 15" descr="G:/1009-茶叶团标相关内容/图/“良”产地分布图().png“良”产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G:/1009-茶叶团标相关内容/图/“良”产地分布图().png“良”产地分布图()"/>
                    <pic:cNvPicPr>
                      <a:picLocks noChangeAspect="1"/>
                    </pic:cNvPicPr>
                  </pic:nvPicPr>
                  <pic:blipFill>
                    <a:blip r:embed="rId32"/>
                    <a:srcRect l="31" r="31"/>
                    <a:stretch>
                      <a:fillRect/>
                    </a:stretch>
                  </pic:blipFill>
                  <pic:spPr>
                    <a:xfrm>
                      <a:off x="0" y="0"/>
                      <a:ext cx="2146300" cy="1800225"/>
                    </a:xfrm>
                    <a:prstGeom prst="rect">
                      <a:avLst/>
                    </a:prstGeom>
                  </pic:spPr>
                </pic:pic>
              </a:graphicData>
            </a:graphic>
          </wp:inline>
        </w:drawing>
      </w:r>
      <w:r>
        <w:drawing>
          <wp:inline distT="0" distB="0" distL="114300" distR="114300">
            <wp:extent cx="2146300" cy="1800225"/>
            <wp:effectExtent l="0" t="0" r="6350" b="9525"/>
            <wp:docPr id="9" name="图片 16" descr="G:/1009-茶叶团标相关内容/图/“一般”产地分布图().png“一般”产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descr="G:/1009-茶叶团标相关内容/图/“一般”产地分布图().png“一般”产地分布图()"/>
                    <pic:cNvPicPr>
                      <a:picLocks noChangeAspect="1"/>
                    </pic:cNvPicPr>
                  </pic:nvPicPr>
                  <pic:blipFill>
                    <a:blip r:embed="rId33"/>
                    <a:srcRect l="17" r="17"/>
                    <a:stretch>
                      <a:fillRect/>
                    </a:stretch>
                  </pic:blipFill>
                  <pic:spPr>
                    <a:xfrm>
                      <a:off x="0" y="0"/>
                      <a:ext cx="2146300" cy="1800225"/>
                    </a:xfrm>
                    <a:prstGeom prst="rect">
                      <a:avLst/>
                    </a:prstGeom>
                  </pic:spPr>
                </pic:pic>
              </a:graphicData>
            </a:graphic>
          </wp:inline>
        </w:drawing>
      </w:r>
    </w:p>
    <w:p w14:paraId="7D333C1E">
      <w:pPr>
        <w:spacing w:line="360" w:lineRule="auto"/>
        <w:ind w:firstLine="420" w:firstLineChars="200"/>
        <w:jc w:val="center"/>
        <w:rPr>
          <w:rFonts w:hint="eastAsia"/>
          <w:lang w:val="en-US" w:eastAsia="zh-CN"/>
        </w:rPr>
      </w:pPr>
      <w:r>
        <w:rPr>
          <w:rFonts w:hint="eastAsia"/>
          <w:lang w:val="en-US" w:eastAsia="zh-CN"/>
        </w:rPr>
        <w:t>10年主要为“良”的产地分布        10年内存在“一般”的产地分布</w:t>
      </w:r>
    </w:p>
    <w:p w14:paraId="605D5ECE">
      <w:pPr>
        <w:spacing w:line="360" w:lineRule="auto"/>
        <w:ind w:firstLine="420" w:firstLineChars="200"/>
        <w:jc w:val="left"/>
        <w:rPr>
          <w:rFonts w:hint="eastAsia"/>
          <w:lang w:val="en-US" w:eastAsia="zh-CN"/>
        </w:rPr>
      </w:pPr>
      <w:r>
        <w:rPr>
          <w:rFonts w:hint="eastAsia"/>
          <w:lang w:val="en-US" w:eastAsia="zh-CN"/>
        </w:rPr>
        <w:t>基于国家气象台站数据，对各地茶树和茶叶生长气候条件的评价可见，贵州大部地区属于茶叶生长优质气候区。贵州复杂山地环境下，不同地区的茶园，气候必然存在一定的差异。导致有产地在年际间和区域间存在一定的差异。</w:t>
      </w:r>
    </w:p>
    <w:p w14:paraId="2DC7BBD1">
      <w:pPr>
        <w:spacing w:line="360" w:lineRule="auto"/>
        <w:ind w:firstLine="420" w:firstLineChars="200"/>
        <w:jc w:val="left"/>
        <w:rPr>
          <w:rFonts w:hint="eastAsia"/>
          <w:lang w:val="en-US" w:eastAsia="zh-CN"/>
        </w:rPr>
      </w:pPr>
      <w:r>
        <w:rPr>
          <w:rFonts w:hint="eastAsia"/>
          <w:lang w:val="en-US" w:eastAsia="zh-CN"/>
        </w:rPr>
        <w:t>因此，有必要进一步针对特定茶园，开展茶叶产区气候评价，来客观反映茶树和茶叶生长的气候条件。</w:t>
      </w:r>
    </w:p>
    <w:p w14:paraId="423B57C3">
      <w:pPr>
        <w:spacing w:line="360" w:lineRule="auto"/>
        <w:ind w:firstLine="422" w:firstLineChars="200"/>
        <w:jc w:val="left"/>
        <w:rPr>
          <w:rFonts w:hint="eastAsia"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六、重大意见分歧的处理依据和结果；</w:t>
      </w:r>
    </w:p>
    <w:p w14:paraId="1BED764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无。</w:t>
      </w:r>
    </w:p>
    <w:p w14:paraId="4F0DE9E8">
      <w:pPr>
        <w:spacing w:line="360" w:lineRule="auto"/>
        <w:ind w:firstLine="422" w:firstLineChars="200"/>
        <w:jc w:val="left"/>
        <w:rPr>
          <w:rFonts w:hint="eastAsia" w:cs="Times New Roman"/>
          <w:szCs w:val="21"/>
          <w:lang w:val="en-US" w:eastAsia="zh-CN"/>
        </w:rPr>
      </w:pPr>
      <w:r>
        <w:rPr>
          <w:rFonts w:hint="eastAsia" w:cs="Times New Roman" w:eastAsiaTheme="minorEastAsia"/>
          <w:b/>
          <w:color w:val="000000"/>
          <w:kern w:val="0"/>
          <w:szCs w:val="21"/>
          <w:lang w:val="en-US" w:eastAsia="zh-CN"/>
        </w:rPr>
        <w:t>七、预期的社会经济效益及贯彻实施标准的要求、措施等建议；</w:t>
      </w:r>
    </w:p>
    <w:p w14:paraId="088ADEB8">
      <w:pPr>
        <w:autoSpaceDE w:val="0"/>
        <w:autoSpaceDN w:val="0"/>
        <w:adjustRightInd w:val="0"/>
        <w:spacing w:line="360" w:lineRule="auto"/>
        <w:ind w:firstLine="420" w:firstLineChars="200"/>
        <w:jc w:val="left"/>
        <w:rPr>
          <w:rFonts w:hint="eastAsia" w:cs="Times New Roman"/>
          <w:color w:val="auto"/>
          <w:szCs w:val="21"/>
          <w:lang w:val="en-US" w:eastAsia="zh-CN"/>
        </w:rPr>
      </w:pPr>
      <w:r>
        <w:rPr>
          <w:rFonts w:hint="eastAsia" w:cs="Times New Roman"/>
          <w:color w:val="auto"/>
          <w:szCs w:val="21"/>
          <w:lang w:val="en-US" w:eastAsia="zh-CN"/>
        </w:rPr>
        <w:t>1. 社会意义：该标准的编制与实施，是将“绿水青山就是金山银山”理念从理论转化为实践的制度性创新。它通过标准化手段，为“生态优势”建立了可测量、可评价、可交易的转化通道。一片茶园的气候条件经过本标准评价为“优”，就意味着其生态价值得到了权威认证，可以直接赋能于产品溢价，从而使保护生态环境的行为获得实实在在的市场回报，极大地激励了茶区走绿色发展之路的积极性，为全省乃至全国生态敏感地区的可持续发展提供了可资借鉴的“贵州样本”。</w:t>
      </w:r>
    </w:p>
    <w:p w14:paraId="6D61423A">
      <w:pPr>
        <w:autoSpaceDE w:val="0"/>
        <w:autoSpaceDN w:val="0"/>
        <w:adjustRightInd w:val="0"/>
        <w:spacing w:line="360" w:lineRule="auto"/>
        <w:ind w:firstLine="420" w:firstLineChars="200"/>
        <w:jc w:val="left"/>
        <w:rPr>
          <w:rFonts w:hint="eastAsia" w:cs="Times New Roman"/>
          <w:color w:val="auto"/>
          <w:szCs w:val="21"/>
          <w:lang w:val="en-US" w:eastAsia="zh-CN"/>
        </w:rPr>
      </w:pPr>
      <w:r>
        <w:rPr>
          <w:rFonts w:hint="eastAsia" w:cs="Times New Roman"/>
          <w:color w:val="auto"/>
          <w:szCs w:val="21"/>
          <w:lang w:val="en-US" w:eastAsia="zh-CN"/>
        </w:rPr>
        <w:t>2. 科学意义：该标准通过建立一套涵盖温度、水分、光照、灾害风险等的综合指标体系，为“贵州好气候”制定了精确的“标尺”。这不仅结束了以往依赖经验描述的历史，更能科学区分不同产区、不同海拔茶园的气候品质等级，为品种区域规划、精细化种植管理提供了科学依据，在学术层面深化了对贵州茶叶品质成因的认识，确立了基于气候学的品质评价新范式。</w:t>
      </w:r>
    </w:p>
    <w:p w14:paraId="03638E5E">
      <w:pPr>
        <w:autoSpaceDE w:val="0"/>
        <w:autoSpaceDN w:val="0"/>
        <w:adjustRightInd w:val="0"/>
        <w:spacing w:line="360" w:lineRule="auto"/>
        <w:ind w:firstLine="420" w:firstLineChars="200"/>
        <w:jc w:val="left"/>
        <w:rPr>
          <w:rFonts w:hint="eastAsia" w:cs="Times New Roman"/>
          <w:color w:val="auto"/>
          <w:szCs w:val="21"/>
          <w:lang w:val="en-US" w:eastAsia="zh-CN"/>
        </w:rPr>
      </w:pPr>
      <w:r>
        <w:rPr>
          <w:rFonts w:hint="eastAsia" w:cs="Times New Roman"/>
          <w:color w:val="auto"/>
          <w:szCs w:val="21"/>
          <w:lang w:val="en-US" w:eastAsia="zh-CN"/>
        </w:rPr>
        <w:t>3. 经济意义：基于本标准产生的“气候品质认证书”，将成为贵州茶叶闯荡市场的“硬通货”，能够帮助企业在同质化竞争中，提供无法复制的气候品质故事，脱颖而出，实现差异化竞争； 同时可以为高端茶、定制茶提供权威的品质背书，直接提升产品附加值和市场竞争力。 通过数据化的“气候身份证”，建立透明、可信的品牌形象，巩固和扩大消费群体。最终，它将有力推动“贵州绿茶”公共品牌及众多企业品牌从“名气”向“价值”的实质性跨越。</w:t>
      </w:r>
    </w:p>
    <w:p w14:paraId="4FCBC2F2">
      <w:pPr>
        <w:autoSpaceDE w:val="0"/>
        <w:autoSpaceDN w:val="0"/>
        <w:adjustRightInd w:val="0"/>
        <w:spacing w:line="360" w:lineRule="auto"/>
        <w:ind w:firstLine="420" w:firstLineChars="200"/>
        <w:jc w:val="left"/>
        <w:rPr>
          <w:rFonts w:hint="eastAsia" w:cs="Times New Roman"/>
          <w:color w:val="auto"/>
          <w:szCs w:val="21"/>
          <w:lang w:val="en-US" w:eastAsia="zh-CN"/>
        </w:rPr>
      </w:pPr>
      <w:r>
        <w:rPr>
          <w:rFonts w:hint="eastAsia" w:cs="Times New Roman"/>
          <w:color w:val="auto"/>
          <w:szCs w:val="21"/>
          <w:lang w:val="en-US" w:eastAsia="zh-CN"/>
        </w:rPr>
        <w:t>4. 行业意义：该标准的出台将为全省范围内的茶叶气候产地评价提供统一的操作规程，确保评价结果的科学性、一致性和可比性。为气象部门与农业、茶叶企业等搭建了统一的技术接口，并为政府的产业扶持、产区的品牌建设、企业的市场营销提供了权威的技术依据，引导整个产业朝着标准化、规范化的方向健康发展。</w:t>
      </w:r>
    </w:p>
    <w:p w14:paraId="2AA2A0B4">
      <w:pPr>
        <w:autoSpaceDE w:val="0"/>
        <w:autoSpaceDN w:val="0"/>
        <w:adjustRightInd w:val="0"/>
        <w:spacing w:line="360" w:lineRule="auto"/>
        <w:ind w:firstLine="420" w:firstLineChars="200"/>
        <w:jc w:val="left"/>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综上所述，编制《贵州茶叶产地气候评价技术规范》团体标准，将为贵州茶产业注入新的科技动能与品牌活力，对巩固贵州作为中国优质茶产区的核心地位、推动乡村产业振兴、实现经济社会与生态环境协调发展产生深远而积极的影响。</w:t>
      </w:r>
      <w:r>
        <w:rPr>
          <w:rFonts w:hint="eastAsia" w:ascii="Times New Roman" w:hAnsi="Times New Roman" w:eastAsia="宋体" w:cs="Times New Roman"/>
          <w:color w:val="auto"/>
          <w:szCs w:val="21"/>
          <w:lang w:val="en-US" w:eastAsia="zh-CN"/>
        </w:rPr>
        <w:t>本标准的实施将科学释放贵州省气候资源潜力，为农产品品质提升、农民增收和生态保护提供系统性解决方案。</w:t>
      </w:r>
    </w:p>
    <w:p w14:paraId="55BD0B4A">
      <w:pPr>
        <w:spacing w:line="360" w:lineRule="auto"/>
        <w:ind w:firstLine="422" w:firstLineChars="200"/>
        <w:jc w:val="left"/>
        <w:rPr>
          <w:rFonts w:hint="eastAsia"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八、标准修订项目，还应当列出和原标准主要差异情况；</w:t>
      </w:r>
    </w:p>
    <w:p w14:paraId="31308781">
      <w:pPr>
        <w:autoSpaceDE w:val="0"/>
        <w:autoSpaceDN w:val="0"/>
        <w:adjustRightInd w:val="0"/>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本标准未首次编写，不存在与原标准的差异。</w:t>
      </w:r>
    </w:p>
    <w:p w14:paraId="3F3BEDB7">
      <w:pPr>
        <w:spacing w:line="360" w:lineRule="auto"/>
        <w:ind w:firstLine="422" w:firstLineChars="200"/>
        <w:jc w:val="left"/>
        <w:rPr>
          <w:rFonts w:hint="eastAsia"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九、其他应说明的事项。</w:t>
      </w:r>
    </w:p>
    <w:p w14:paraId="03359E97">
      <w:pPr>
        <w:autoSpaceDE w:val="0"/>
        <w:autoSpaceDN w:val="0"/>
        <w:adjustRightInd w:val="0"/>
        <w:spacing w:line="360" w:lineRule="auto"/>
        <w:ind w:firstLine="420" w:firstLineChars="200"/>
        <w:jc w:val="left"/>
      </w:pPr>
      <w:r>
        <w:rPr>
          <w:rFonts w:hint="eastAsia" w:ascii="Times New Roman" w:hAnsi="Times New Roman" w:eastAsia="宋体" w:cs="Times New Roman"/>
          <w:szCs w:val="21"/>
          <w:lang w:val="en-US" w:eastAsia="zh-CN"/>
        </w:rPr>
        <w:t>无。</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5ED15">
    <w:pPr>
      <w:spacing w:line="169" w:lineRule="auto"/>
      <w:ind w:left="4216"/>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1"/>
        <w:sz w:val="18"/>
        <w:szCs w:val="18"/>
      </w:rPr>
      <w:t xml:space="preserve"> </w:t>
    </w:r>
    <w:r>
      <w:rPr>
        <w:rFonts w:ascii="Calibri" w:hAnsi="Calibri" w:eastAsia="Calibri" w:cs="Calibri"/>
        <w:spacing w:val="-6"/>
        <w:sz w:val="18"/>
        <w:szCs w:val="18"/>
      </w:rPr>
      <w:t>3</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FA777B"/>
    <w:multiLevelType w:val="singleLevel"/>
    <w:tmpl w:val="96FA777B"/>
    <w:lvl w:ilvl="0" w:tentative="0">
      <w:start w:val="4"/>
      <w:numFmt w:val="chineseCounting"/>
      <w:suff w:val="nothing"/>
      <w:lvlText w:val="（%1）"/>
      <w:lvlJc w:val="left"/>
      <w:rPr>
        <w:rFonts w:hint="eastAsia"/>
      </w:rPr>
    </w:lvl>
  </w:abstractNum>
  <w:abstractNum w:abstractNumId="1">
    <w:nsid w:val="A53D193B"/>
    <w:multiLevelType w:val="singleLevel"/>
    <w:tmpl w:val="A53D193B"/>
    <w:lvl w:ilvl="0" w:tentative="0">
      <w:start w:val="1"/>
      <w:numFmt w:val="chineseCounting"/>
      <w:suff w:val="space"/>
      <w:lvlText w:val="（%1）"/>
      <w:lvlJc w:val="left"/>
      <w:rPr>
        <w:rFonts w:hint="eastAsia"/>
      </w:rPr>
    </w:lvl>
  </w:abstractNum>
  <w:abstractNum w:abstractNumId="2">
    <w:nsid w:val="E6A22C31"/>
    <w:multiLevelType w:val="singleLevel"/>
    <w:tmpl w:val="E6A22C31"/>
    <w:lvl w:ilvl="0" w:tentative="0">
      <w:start w:val="1"/>
      <w:numFmt w:val="decimal"/>
      <w:suff w:val="nothing"/>
      <w:lvlText w:val="（%1）"/>
      <w:lvlJc w:val="left"/>
    </w:lvl>
  </w:abstractNum>
  <w:abstractNum w:abstractNumId="3">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15"/>
      <w:suff w:val="nothing"/>
      <w:lvlText w:val="%1%2　"/>
      <w:lvlJc w:val="left"/>
      <w:pPr>
        <w:ind w:left="0" w:firstLine="0"/>
      </w:pPr>
      <w:rPr>
        <w:rFonts w:hint="eastAsia" w:ascii="黑体" w:eastAsia="黑体"/>
        <w:b w:val="0"/>
        <w:i w:val="0"/>
        <w:sz w:val="21"/>
      </w:rPr>
    </w:lvl>
    <w:lvl w:ilvl="2" w:tentative="0">
      <w:start w:val="1"/>
      <w:numFmt w:val="decimal"/>
      <w:pStyle w:val="14"/>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3ZTdiZDE0NjYxYzQ1OTgwODJjOGVkNTExYmFlYjYifQ=="/>
  </w:docVars>
  <w:rsids>
    <w:rsidRoot w:val="00E148F5"/>
    <w:rsid w:val="004F6C6A"/>
    <w:rsid w:val="00557054"/>
    <w:rsid w:val="00866D90"/>
    <w:rsid w:val="00E148F5"/>
    <w:rsid w:val="01701592"/>
    <w:rsid w:val="024F500E"/>
    <w:rsid w:val="03C2134C"/>
    <w:rsid w:val="03E2021C"/>
    <w:rsid w:val="04DB7527"/>
    <w:rsid w:val="05A44CA7"/>
    <w:rsid w:val="06B17B76"/>
    <w:rsid w:val="06B86675"/>
    <w:rsid w:val="073D0402"/>
    <w:rsid w:val="0AF604F3"/>
    <w:rsid w:val="0FF34627"/>
    <w:rsid w:val="107F4121"/>
    <w:rsid w:val="10866F24"/>
    <w:rsid w:val="13462185"/>
    <w:rsid w:val="144C4103"/>
    <w:rsid w:val="15670CF6"/>
    <w:rsid w:val="158A5A42"/>
    <w:rsid w:val="16FA3CBA"/>
    <w:rsid w:val="174B0088"/>
    <w:rsid w:val="1ABA5A9E"/>
    <w:rsid w:val="1B6777A9"/>
    <w:rsid w:val="1C384569"/>
    <w:rsid w:val="1D875C55"/>
    <w:rsid w:val="1D903E12"/>
    <w:rsid w:val="1F6216F2"/>
    <w:rsid w:val="201605FE"/>
    <w:rsid w:val="21C910B4"/>
    <w:rsid w:val="22A950BD"/>
    <w:rsid w:val="234644E0"/>
    <w:rsid w:val="23AB3753"/>
    <w:rsid w:val="24075669"/>
    <w:rsid w:val="24BB5C77"/>
    <w:rsid w:val="25626301"/>
    <w:rsid w:val="2B10371F"/>
    <w:rsid w:val="2C6C77F8"/>
    <w:rsid w:val="2C8B3F4B"/>
    <w:rsid w:val="2D061055"/>
    <w:rsid w:val="2FDA38BA"/>
    <w:rsid w:val="306C441D"/>
    <w:rsid w:val="34DA5971"/>
    <w:rsid w:val="357716E7"/>
    <w:rsid w:val="358F6692"/>
    <w:rsid w:val="379A16BD"/>
    <w:rsid w:val="397C4C1C"/>
    <w:rsid w:val="3D192343"/>
    <w:rsid w:val="3D9F1B19"/>
    <w:rsid w:val="3FEB2BD1"/>
    <w:rsid w:val="421F113C"/>
    <w:rsid w:val="42606F4D"/>
    <w:rsid w:val="42EE0333"/>
    <w:rsid w:val="45A66E86"/>
    <w:rsid w:val="46C67DD9"/>
    <w:rsid w:val="473B4A6F"/>
    <w:rsid w:val="47482EE3"/>
    <w:rsid w:val="48483E3E"/>
    <w:rsid w:val="49785A5A"/>
    <w:rsid w:val="4CCB3718"/>
    <w:rsid w:val="4CEC4311"/>
    <w:rsid w:val="4F4421E2"/>
    <w:rsid w:val="4FF856E4"/>
    <w:rsid w:val="502703FE"/>
    <w:rsid w:val="51B369A1"/>
    <w:rsid w:val="52730AE9"/>
    <w:rsid w:val="55986DE4"/>
    <w:rsid w:val="56EC2CAA"/>
    <w:rsid w:val="57566F57"/>
    <w:rsid w:val="5BA54992"/>
    <w:rsid w:val="5C8B0BFD"/>
    <w:rsid w:val="5DB25D3D"/>
    <w:rsid w:val="5F0B0781"/>
    <w:rsid w:val="619009F4"/>
    <w:rsid w:val="625F75FA"/>
    <w:rsid w:val="66601051"/>
    <w:rsid w:val="6AFB6456"/>
    <w:rsid w:val="74DF1AEC"/>
    <w:rsid w:val="76A2600E"/>
    <w:rsid w:val="77E20471"/>
    <w:rsid w:val="78246267"/>
    <w:rsid w:val="783F728E"/>
    <w:rsid w:val="799A4544"/>
    <w:rsid w:val="7AA80AB2"/>
    <w:rsid w:val="7B8958C6"/>
    <w:rsid w:val="7BE53EA4"/>
    <w:rsid w:val="7CD348C4"/>
    <w:rsid w:val="7E124AE6"/>
    <w:rsid w:val="7EA20022"/>
    <w:rsid w:val="7F2E66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qFormat/>
    <w:uiPriority w:val="0"/>
    <w:pPr>
      <w:keepNext/>
      <w:keepLines/>
      <w:widowControl w:val="0"/>
      <w:spacing w:before="240"/>
      <w:ind w:firstLine="200" w:firstLineChars="200"/>
      <w:jc w:val="both"/>
      <w:outlineLvl w:val="2"/>
    </w:pPr>
    <w:rPr>
      <w:rFonts w:ascii="Calibri" w:hAnsi="Calibri" w:eastAsia="宋体" w:cs="Times New Roman"/>
      <w:b/>
      <w:kern w:val="2"/>
      <w:sz w:val="28"/>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footer"/>
    <w:basedOn w:val="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9">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semiHidden/>
    <w:unhideWhenUsed/>
    <w:qFormat/>
    <w:uiPriority w:val="99"/>
    <w:rPr>
      <w:color w:val="0000FF"/>
      <w:u w:val="single"/>
    </w:rPr>
  </w:style>
  <w:style w:type="paragraph" w:customStyle="1" w:styleId="1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paragraph" w:customStyle="1" w:styleId="14">
    <w:name w:val="标准文件_一级条标题"/>
    <w:basedOn w:val="15"/>
    <w:next w:val="16"/>
    <w:qFormat/>
    <w:uiPriority w:val="0"/>
    <w:pPr>
      <w:numPr>
        <w:ilvl w:val="2"/>
      </w:numPr>
      <w:spacing w:before="50" w:beforeLines="50" w:after="50" w:afterLines="50"/>
      <w:outlineLvl w:val="1"/>
    </w:pPr>
  </w:style>
  <w:style w:type="paragraph" w:customStyle="1" w:styleId="15">
    <w:name w:val="标准文件_章标题"/>
    <w:next w:val="16"/>
    <w:qFormat/>
    <w:uiPriority w:val="0"/>
    <w:pPr>
      <w:numPr>
        <w:ilvl w:val="1"/>
        <w:numId w:val="1"/>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6">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table" w:customStyle="1" w:styleId="1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wmf"/><Relationship Id="rId7" Type="http://schemas.openxmlformats.org/officeDocument/2006/relationships/oleObject" Target="embeddings/oleObject2.bin"/><Relationship Id="rId6" Type="http://schemas.openxmlformats.org/officeDocument/2006/relationships/image" Target="media/image1.wmf"/><Relationship Id="rId5" Type="http://schemas.openxmlformats.org/officeDocument/2006/relationships/oleObject" Target="embeddings/oleObject1.bin"/><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tiff"/><Relationship Id="rId3" Type="http://schemas.openxmlformats.org/officeDocument/2006/relationships/footer" Target="foot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oleObject" Target="embeddings/oleObject13.bin"/><Relationship Id="rId22" Type="http://schemas.openxmlformats.org/officeDocument/2006/relationships/oleObject" Target="embeddings/oleObject12.bin"/><Relationship Id="rId21" Type="http://schemas.openxmlformats.org/officeDocument/2006/relationships/oleObject" Target="embeddings/oleObject11.bin"/><Relationship Id="rId20" Type="http://schemas.openxmlformats.org/officeDocument/2006/relationships/oleObject" Target="embeddings/oleObject10.bin"/><Relationship Id="rId2" Type="http://schemas.openxmlformats.org/officeDocument/2006/relationships/settings" Target="settings.xml"/><Relationship Id="rId19" Type="http://schemas.openxmlformats.org/officeDocument/2006/relationships/oleObject" Target="embeddings/oleObject9.bin"/><Relationship Id="rId18" Type="http://schemas.openxmlformats.org/officeDocument/2006/relationships/oleObject" Target="embeddings/oleObject8.bin"/><Relationship Id="rId17" Type="http://schemas.openxmlformats.org/officeDocument/2006/relationships/oleObject" Target="embeddings/oleObject7.bin"/><Relationship Id="rId16" Type="http://schemas.openxmlformats.org/officeDocument/2006/relationships/image" Target="media/image6.wmf"/><Relationship Id="rId15" Type="http://schemas.openxmlformats.org/officeDocument/2006/relationships/oleObject" Target="embeddings/oleObject6.bin"/><Relationship Id="rId14" Type="http://schemas.openxmlformats.org/officeDocument/2006/relationships/image" Target="media/image5.wmf"/><Relationship Id="rId13" Type="http://schemas.openxmlformats.org/officeDocument/2006/relationships/oleObject" Target="embeddings/oleObject5.bin"/><Relationship Id="rId12" Type="http://schemas.openxmlformats.org/officeDocument/2006/relationships/image" Target="media/image4.wmf"/><Relationship Id="rId11" Type="http://schemas.openxmlformats.org/officeDocument/2006/relationships/oleObject" Target="embeddings/oleObject4.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18</Pages>
  <Words>2040</Words>
  <Characters>2116</Characters>
  <Lines>29</Lines>
  <Paragraphs>26</Paragraphs>
  <TotalTime>6</TotalTime>
  <ScaleCrop>false</ScaleCrop>
  <LinksUpToDate>false</LinksUpToDate>
  <CharactersWithSpaces>2117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2020-04-09T02:43:00Z</dcterms:created>
  <dc:creator>常娟</dc:creator>
  <cp:lastModifiedBy>lainey</cp:lastModifiedBy>
  <dcterms:modified xsi:type="dcterms:W3CDTF">2025-10-23T08:55:05Z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eyJoZGlkIjoiMjc4YjRjZGM1Zjg4ZGQwMmVlZjYyZGQ2NmZiY2YzZTEiLCJ1c2VySWQiOiI2NzU3NjI2NDcifQ==</vt:lpwstr>
  </property>
  <property fmtid="{D5CDD505-2E9C-101B-9397-08002B2CF9AE}" pid="3" name="KSOProductBuildVer">
    <vt:lpwstr>2052-12.1.0.22529</vt:lpwstr>
  </property>
  <property fmtid="{D5CDD505-2E9C-101B-9397-08002B2CF9AE}" pid="4" name="ICV">
    <vt:lpwstr>6DB40896F01A4DF3BD1B3149C5A98E67_12</vt:lpwstr>
  </property>
</Properties>
</file>