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9606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8556197">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E8D9A2C">
            <w:pPr>
              <w:pStyle w:val="18"/>
              <w:framePr w:wrap="notBeside" w:vAnchor="page" w:hAnchor="page" w:x="1372" w:y="568"/>
              <w:tabs>
                <w:tab w:val="clear" w:pos="4153"/>
                <w:tab w:val="clear" w:pos="8306"/>
              </w:tabs>
              <w:spacing w:line="240" w:lineRule="auto"/>
              <w:jc w:val="both"/>
              <w:rPr>
                <w:rFonts w:ascii="黑体" w:hAnsi="黑体" w:eastAsia="黑体"/>
                <w:sz w:val="21"/>
                <w:szCs w:val="21"/>
              </w:rPr>
            </w:pPr>
            <w:bookmarkStart w:id="53" w:name="_GoBack"/>
            <w:bookmarkEnd w:id="53"/>
            <w:bookmarkStart w:id="0" w:name="ICS"/>
            <w:r>
              <w:rPr>
                <w:rFonts w:ascii="黑体" w:hAnsi="黑体" w:eastAsia="黑体" w:cs="Times New Roman"/>
                <w:kern w:val="2"/>
                <w:sz w:val="21"/>
                <w:szCs w:val="21"/>
                <w:lang w:val="en-US" w:eastAsia="zh-CN" w:bidi="ar-SA"/>
              </w:rPr>
              <w:fldChar w:fldCharType="begin">
                <w:ffData>
                  <w:name w:val="ICS"/>
                  <w:enabled/>
                  <w:calcOnExit w:val="0"/>
                  <w:textInput>
                    <w:default w:val="11.120.01"/>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11.120.01</w:t>
            </w:r>
            <w:r>
              <w:rPr>
                <w:rFonts w:ascii="黑体" w:hAnsi="黑体" w:eastAsia="黑体" w:cs="Times New Roman"/>
                <w:kern w:val="2"/>
                <w:sz w:val="21"/>
                <w:szCs w:val="21"/>
                <w:lang w:val="en-US" w:eastAsia="zh-CN" w:bidi="ar-SA"/>
              </w:rPr>
              <w:fldChar w:fldCharType="end"/>
            </w:r>
            <w:bookmarkEnd w:id="0"/>
          </w:p>
        </w:tc>
      </w:tr>
      <w:tr w14:paraId="7674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2738B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8"/>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A46DA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2B7722F">
                  <w:pPr>
                    <w:pStyle w:val="50"/>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690EC3A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2" w:name="CSDN"/>
            <w:r>
              <w:rPr>
                <w:rFonts w:ascii="黑体" w:hAnsi="黑体" w:eastAsia="黑体" w:cs="Times New Roman"/>
                <w:kern w:val="2"/>
                <w:sz w:val="21"/>
                <w:szCs w:val="21"/>
                <w:lang w:val="en-US" w:eastAsia="zh-CN" w:bidi="ar-SA"/>
              </w:rPr>
              <w:fldChar w:fldCharType="begin">
                <w:ffData>
                  <w:name w:val="CSDN"/>
                  <w:enabled/>
                  <w:calcOnExit w:val="0"/>
                  <w:textInput>
                    <w:default w:val="O 07"/>
                  </w:textInput>
                </w:ffData>
              </w:fldChar>
            </w:r>
            <w:r>
              <w:rPr>
                <w:rFonts w:ascii="黑体" w:hAnsi="黑体" w:eastAsia="黑体" w:cs="Times New Roman"/>
                <w:kern w:val="2"/>
                <w:sz w:val="21"/>
                <w:szCs w:val="21"/>
                <w:lang w:val="en-US" w:eastAsia="zh-CN" w:bidi="ar-SA"/>
              </w:rPr>
              <w:instrText xml:space="preserve">FORMTEXT</w:instrText>
            </w:r>
            <w:r>
              <w:rPr>
                <w:rFonts w:ascii="黑体" w:hAnsi="黑体" w:eastAsia="黑体" w:cs="Times New Roman"/>
                <w:kern w:val="2"/>
                <w:sz w:val="21"/>
                <w:szCs w:val="21"/>
                <w:lang w:val="en-US" w:eastAsia="zh-CN" w:bidi="ar-SA"/>
              </w:rPr>
              <w:fldChar w:fldCharType="separate"/>
            </w:r>
            <w:r>
              <w:rPr>
                <w:rFonts w:ascii="黑体" w:hAnsi="黑体" w:eastAsia="黑体" w:cs="Times New Roman"/>
                <w:kern w:val="2"/>
                <w:sz w:val="21"/>
                <w:szCs w:val="21"/>
                <w:lang w:val="en-US" w:eastAsia="zh-CN" w:bidi="ar-SA"/>
              </w:rPr>
              <w:t>O 07</w:t>
            </w:r>
            <w:r>
              <w:rPr>
                <w:rFonts w:ascii="黑体" w:hAnsi="黑体" w:eastAsia="黑体" w:cs="Times New Roman"/>
                <w:kern w:val="2"/>
                <w:sz w:val="21"/>
                <w:szCs w:val="21"/>
                <w:lang w:val="en-US" w:eastAsia="zh-CN" w:bidi="ar-SA"/>
              </w:rPr>
              <w:fldChar w:fldCharType="end"/>
            </w:r>
            <w:bookmarkEnd w:id="2"/>
          </w:p>
        </w:tc>
      </w:tr>
    </w:tbl>
    <w:p w14:paraId="7C20094D">
      <w:pPr>
        <w:pStyle w:val="51"/>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411CF2C">
      <w:pPr>
        <w:pStyle w:val="196"/>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bookmarkStart w:id="6" w:name="NSTD_CODE_F"/>
      <w:r>
        <w:rPr>
          <w:rFonts w:ascii="黑体" w:hAnsi="Times New Roman" w:eastAsia="黑体" w:cs="Times New Roman"/>
          <w:bCs/>
          <w:sz w:val="28"/>
          <w:szCs w:val="28"/>
          <w:lang w:val="en-US" w:eastAsia="zh-CN" w:bidi="ar-SA"/>
        </w:rPr>
        <w:fldChar w:fldCharType="begin">
          <w:ffData>
            <w:name w:val="NSTD_CODE_F"/>
            <w:enabled/>
            <w:calcOnExit w:val="0"/>
            <w:textInput>
              <w:default w:val="0133"/>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0133</w:t>
      </w:r>
      <w:r>
        <w:rPr>
          <w:rFonts w:ascii="黑体" w:hAnsi="Times New Roman" w:eastAsia="黑体" w:cs="Times New Roman"/>
          <w:bCs/>
          <w:sz w:val="28"/>
          <w:szCs w:val="28"/>
          <w:lang w:val="en-US" w:eastAsia="zh-CN" w:bidi="ar-SA"/>
        </w:rP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6A45C318">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15A5028">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50C1B93D">
      <w:pPr>
        <w:pStyle w:val="51"/>
        <w:framePr w:w="9639" w:h="6976" w:hRule="exact" w:hSpace="0" w:vSpace="0" w:wrap="around" w:hAnchor="page" w:y="6408"/>
        <w:jc w:val="center"/>
        <w:rPr>
          <w:rFonts w:ascii="黑体" w:hAnsi="黑体" w:eastAsia="黑体"/>
          <w:b w:val="0"/>
          <w:bCs w:val="0"/>
          <w:w w:val="100"/>
        </w:rPr>
      </w:pPr>
    </w:p>
    <w:p w14:paraId="32EC4788">
      <w:pPr>
        <w:pStyle w:val="198"/>
        <w:framePr w:h="6974" w:hRule="exact" w:wrap="around" w:x="1419" w:anchorLock="1"/>
      </w:pPr>
      <w:bookmarkStart w:id="9" w:name="CSTD_NAME"/>
      <w:r>
        <w:rPr>
          <w:rFonts w:hint="eastAsia" w:ascii="黑体" w:hAnsi="黑体" w:eastAsia="黑体" w:cs="Times New Roman"/>
          <w:bCs/>
          <w:sz w:val="52"/>
          <w:lang w:val="en-US" w:eastAsia="zh-CN" w:bidi="ar-SA"/>
        </w:rPr>
        <w:fldChar w:fldCharType="begin">
          <w:ffData>
            <w:name w:val="CSTD_NAME"/>
            <w:enabled/>
            <w:calcOnExit w:val="0"/>
            <w:textInput>
              <w:default w:val="中药油涂擦防治放射性皮肤损伤技术操作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中药油涂擦防治放射性皮肤损伤技术操作规范</w:t>
      </w:r>
      <w:r>
        <w:rPr>
          <w:rFonts w:hint="eastAsia" w:ascii="黑体" w:hAnsi="黑体" w:eastAsia="黑体" w:cs="Times New Roman"/>
          <w:bCs/>
          <w:sz w:val="52"/>
          <w:lang w:val="en-US" w:eastAsia="zh-CN" w:bidi="ar-SA"/>
        </w:rPr>
        <w:fldChar w:fldCharType="end"/>
      </w:r>
      <w:bookmarkEnd w:id="9"/>
    </w:p>
    <w:p w14:paraId="2D80F53D">
      <w:pPr>
        <w:framePr w:w="9639" w:h="6974" w:hRule="exact" w:wrap="around" w:vAnchor="page" w:hAnchor="page" w:x="1419" w:y="6408" w:anchorLock="1"/>
        <w:ind w:left="-1418"/>
      </w:pPr>
    </w:p>
    <w:p w14:paraId="474CEDEA">
      <w:pPr>
        <w:pStyle w:val="126"/>
        <w:framePr w:w="9639" w:h="6974" w:hRule="exact" w:wrap="around" w:vAnchor="page" w:hAnchor="page" w:x="1419" w:y="6408" w:anchorLock="1"/>
        <w:textAlignment w:val="bottom"/>
        <w:rPr>
          <w:rFonts w:ascii="黑体" w:hAnsi="黑体" w:eastAsia="黑体"/>
          <w:szCs w:val="28"/>
        </w:rPr>
      </w:pPr>
      <w:bookmarkStart w:id="10" w:name="ESTD_NAME"/>
      <w:r>
        <w:rPr>
          <w:rFonts w:ascii="黑体" w:hAnsi="黑体" w:eastAsia="黑体" w:cs="Times New Roman"/>
          <w:sz w:val="28"/>
          <w:szCs w:val="28"/>
          <w:lang w:val="en-US" w:eastAsia="zh-CN" w:bidi="ar-SA"/>
        </w:rPr>
        <w:fldChar w:fldCharType="begin">
          <w:ffData>
            <w:name w:val="ESTD_NAME"/>
            <w:enabled/>
            <w:calcOnExit w:val="0"/>
            <w:textInput>
              <w:default w:val="Technical Operation Specifications for the Prevention and Treatment of Radiation-Induced Skin Injury by Herbal Oil Application"/>
            </w:textInput>
          </w:ffData>
        </w:fldChar>
      </w:r>
      <w:r>
        <w:rPr>
          <w:rFonts w:ascii="黑体" w:hAnsi="黑体" w:eastAsia="黑体" w:cs="Times New Roman"/>
          <w:sz w:val="28"/>
          <w:szCs w:val="28"/>
          <w:lang w:val="en-US" w:eastAsia="zh-CN" w:bidi="ar-SA"/>
        </w:rPr>
        <w:instrText xml:space="preserve">FORMTEXT</w:instrText>
      </w:r>
      <w:r>
        <w:rPr>
          <w:rFonts w:ascii="黑体" w:hAnsi="黑体" w:eastAsia="黑体" w:cs="Times New Roman"/>
          <w:sz w:val="28"/>
          <w:szCs w:val="28"/>
          <w:lang w:val="en-US" w:eastAsia="zh-CN" w:bidi="ar-SA"/>
        </w:rPr>
        <w:fldChar w:fldCharType="separate"/>
      </w:r>
      <w:r>
        <w:rPr>
          <w:rFonts w:ascii="黑体" w:hAnsi="黑体" w:eastAsia="黑体" w:cs="Times New Roman"/>
          <w:sz w:val="28"/>
          <w:szCs w:val="28"/>
          <w:lang w:val="en-US" w:eastAsia="zh-CN" w:bidi="ar-SA"/>
        </w:rPr>
        <w:t>Technical Operation Specifications for the Prevention and Treatment of Radiation-Induced Skin Injury by Herbal Oil Application</w:t>
      </w:r>
      <w:r>
        <w:rPr>
          <w:rFonts w:ascii="黑体" w:hAnsi="黑体" w:eastAsia="黑体" w:cs="Times New Roman"/>
          <w:sz w:val="28"/>
          <w:szCs w:val="28"/>
          <w:lang w:val="en-US" w:eastAsia="zh-CN" w:bidi="ar-SA"/>
        </w:rPr>
        <w:fldChar w:fldCharType="end"/>
      </w:r>
      <w:bookmarkEnd w:id="10"/>
    </w:p>
    <w:p w14:paraId="6D501228">
      <w:pPr>
        <w:framePr w:w="9639" w:h="6974" w:hRule="exact" w:wrap="around" w:vAnchor="page" w:hAnchor="page" w:x="1419" w:y="6408" w:anchorLock="1"/>
        <w:spacing w:line="760" w:lineRule="exact"/>
        <w:ind w:left="-1418"/>
      </w:pPr>
    </w:p>
    <w:p w14:paraId="33D574CE">
      <w:pPr>
        <w:pStyle w:val="126"/>
        <w:framePr w:w="9639" w:h="6974" w:hRule="exact" w:wrap="around" w:vAnchor="page" w:hAnchor="page" w:x="1419" w:y="6408" w:anchorLock="1"/>
        <w:textAlignment w:val="bottom"/>
        <w:rPr>
          <w:rFonts w:eastAsia="黑体"/>
          <w:szCs w:val="28"/>
        </w:rPr>
      </w:pPr>
    </w:p>
    <w:p w14:paraId="1EEEC872">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498C8D70">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01ADB3A">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1591C3C">
      <w:pPr>
        <w:pStyle w:val="194"/>
        <w:framePr w:wrap="around" w:y="14176"/>
      </w:pPr>
      <w:r>
        <w:rPr>
          <w:rFonts w:ascii="黑体"/>
        </w:rPr>
        <w:fldChar w:fldCharType="begin">
          <w:ffData>
            <w:name w:val="PLSH_DATE_Y"/>
            <w:enabled/>
            <w:calcOnExit w:val="0"/>
            <w:textInput>
              <w:default w:val="2025"/>
              <w:maxLength w:val="4"/>
            </w:textInput>
          </w:ffData>
        </w:fldChar>
      </w:r>
      <w:bookmarkStart w:id="14" w:name="PLSH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229CED4F">
      <w:pPr>
        <w:pStyle w:val="195"/>
        <w:framePr w:wrap="around" w:y="14176"/>
      </w:pPr>
      <w:r>
        <w:rPr>
          <w:rFonts w:ascii="黑体"/>
        </w:rPr>
        <w:fldChar w:fldCharType="begin">
          <w:ffData>
            <w:name w:val="CROT_DATE_Y"/>
            <w:enabled/>
            <w:calcOnExit w:val="0"/>
            <w:textInput>
              <w:default w:val="2025"/>
              <w:maxLength w:val="4"/>
            </w:textInput>
          </w:ffData>
        </w:fldChar>
      </w:r>
      <w:bookmarkStart w:id="17" w:name="CROT_DATE_Y"/>
      <w:r>
        <w:rPr>
          <w:rFonts w:ascii="黑体"/>
        </w:rPr>
        <w:instrText xml:space="preserve"> FORMTEXT </w:instrText>
      </w:r>
      <w:r>
        <w:rPr>
          <w:rFonts w:ascii="黑体"/>
        </w:rPr>
        <w:fldChar w:fldCharType="separate"/>
      </w:r>
      <w:r>
        <w:rPr>
          <w:rFonts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948BC6C">
      <w:pPr>
        <w:pStyle w:val="152"/>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14:paraId="76717B6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E9373A4">
      <w:pPr>
        <w:pStyle w:val="92"/>
        <w:spacing w:after="360"/>
      </w:pPr>
      <w:bookmarkStart w:id="21" w:name="BookMark1"/>
      <w:bookmarkStart w:id="22" w:name="_Toc197342205"/>
      <w:r>
        <w:rPr>
          <w:rFonts w:hint="eastAsia"/>
          <w:spacing w:val="320"/>
        </w:rPr>
        <w:t>目</w:t>
      </w:r>
      <w:r>
        <w:rPr>
          <w:rFonts w:hint="eastAsia"/>
        </w:rPr>
        <w:t>次</w:t>
      </w:r>
    </w:p>
    <w:p w14:paraId="08FBE764">
      <w:pPr>
        <w:pStyle w:val="19"/>
        <w:tabs>
          <w:tab w:val="right" w:leader="dot" w:pos="9354"/>
        </w:tabs>
      </w:pPr>
      <w:r>
        <w:fldChar w:fldCharType="begin"/>
      </w:r>
      <w:r>
        <w:instrText xml:space="preserve"> TOC \o "1-1" \h </w:instrText>
      </w:r>
      <w:r>
        <w:fldChar w:fldCharType="separate"/>
      </w:r>
      <w:r>
        <w:fldChar w:fldCharType="begin"/>
      </w:r>
      <w:r>
        <w:instrText xml:space="preserve"> HYPERLINK \l _Toc20473 </w:instrText>
      </w:r>
      <w:r>
        <w:fldChar w:fldCharType="separate"/>
      </w:r>
      <w:r>
        <w:rPr>
          <w:spacing w:val="320"/>
        </w:rPr>
        <w:t>前</w:t>
      </w:r>
      <w:r>
        <w:t>言</w:t>
      </w:r>
      <w:r>
        <w:tab/>
      </w:r>
      <w:r>
        <w:fldChar w:fldCharType="begin"/>
      </w:r>
      <w:r>
        <w:instrText xml:space="preserve"> PAGEREF _Toc20473 \h </w:instrText>
      </w:r>
      <w:r>
        <w:fldChar w:fldCharType="separate"/>
      </w:r>
      <w:r>
        <w:t>III</w:t>
      </w:r>
      <w:r>
        <w:fldChar w:fldCharType="end"/>
      </w:r>
      <w:r>
        <w:fldChar w:fldCharType="end"/>
      </w:r>
    </w:p>
    <w:p w14:paraId="7910D34C">
      <w:pPr>
        <w:pStyle w:val="19"/>
        <w:tabs>
          <w:tab w:val="right" w:leader="dot" w:pos="9354"/>
        </w:tabs>
      </w:pPr>
      <w:r>
        <w:fldChar w:fldCharType="begin"/>
      </w:r>
      <w:r>
        <w:instrText xml:space="preserve"> HYPERLINK \l _Toc16737 </w:instrText>
      </w:r>
      <w:r>
        <w:fldChar w:fldCharType="separate"/>
      </w:r>
      <w:r>
        <w:rPr>
          <w:spacing w:val="320"/>
        </w:rPr>
        <w:t>引</w:t>
      </w:r>
      <w:r>
        <w:t>言</w:t>
      </w:r>
      <w:r>
        <w:tab/>
      </w:r>
      <w:r>
        <w:fldChar w:fldCharType="begin"/>
      </w:r>
      <w:r>
        <w:instrText xml:space="preserve"> PAGEREF _Toc16737 \h </w:instrText>
      </w:r>
      <w:r>
        <w:fldChar w:fldCharType="separate"/>
      </w:r>
      <w:r>
        <w:t>V</w:t>
      </w:r>
      <w:r>
        <w:fldChar w:fldCharType="end"/>
      </w:r>
      <w:r>
        <w:fldChar w:fldCharType="end"/>
      </w:r>
    </w:p>
    <w:p w14:paraId="13B93E9B">
      <w:pPr>
        <w:pStyle w:val="19"/>
        <w:tabs>
          <w:tab w:val="right" w:leader="dot" w:pos="9354"/>
        </w:tabs>
      </w:pPr>
      <w:r>
        <w:fldChar w:fldCharType="begin"/>
      </w:r>
      <w:r>
        <w:instrText xml:space="preserve"> HYPERLINK \l _Toc27722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_Toc27722 \h </w:instrText>
      </w:r>
      <w:r>
        <w:fldChar w:fldCharType="separate"/>
      </w:r>
      <w:r>
        <w:t>1</w:t>
      </w:r>
      <w:r>
        <w:fldChar w:fldCharType="end"/>
      </w:r>
      <w:r>
        <w:fldChar w:fldCharType="end"/>
      </w:r>
    </w:p>
    <w:p w14:paraId="32534B58">
      <w:pPr>
        <w:pStyle w:val="19"/>
        <w:tabs>
          <w:tab w:val="right" w:leader="dot" w:pos="9354"/>
        </w:tabs>
      </w:pPr>
      <w:r>
        <w:fldChar w:fldCharType="begin"/>
      </w:r>
      <w:r>
        <w:instrText xml:space="preserve"> HYPERLINK \l _Toc799 </w:instrText>
      </w:r>
      <w:r>
        <w:fldChar w:fldCharType="separate"/>
      </w:r>
      <w:r>
        <w:rPr>
          <w:rFonts w:hint="eastAsia" w:ascii="黑体" w:eastAsia="黑体"/>
          <w:i w:val="0"/>
          <w:szCs w:val="21"/>
        </w:rPr>
        <w:t xml:space="preserve">2 </w:t>
      </w:r>
      <w:r>
        <w:rPr>
          <w:rFonts w:hint="eastAsia"/>
          <w:szCs w:val="21"/>
        </w:rPr>
        <w:t>规范性引用文件</w:t>
      </w:r>
      <w:r>
        <w:tab/>
      </w:r>
      <w:r>
        <w:fldChar w:fldCharType="begin"/>
      </w:r>
      <w:r>
        <w:instrText xml:space="preserve"> PAGEREF _Toc799 \h </w:instrText>
      </w:r>
      <w:r>
        <w:fldChar w:fldCharType="separate"/>
      </w:r>
      <w:r>
        <w:t>1</w:t>
      </w:r>
      <w:r>
        <w:fldChar w:fldCharType="end"/>
      </w:r>
      <w:r>
        <w:fldChar w:fldCharType="end"/>
      </w:r>
    </w:p>
    <w:p w14:paraId="12C889DB">
      <w:pPr>
        <w:pStyle w:val="19"/>
        <w:tabs>
          <w:tab w:val="right" w:leader="dot" w:pos="9354"/>
        </w:tabs>
      </w:pPr>
      <w:r>
        <w:fldChar w:fldCharType="begin"/>
      </w:r>
      <w:r>
        <w:instrText xml:space="preserve"> HYPERLINK \l _Toc31013 </w:instrText>
      </w:r>
      <w:r>
        <w:fldChar w:fldCharType="separate"/>
      </w:r>
      <w:r>
        <w:rPr>
          <w:rFonts w:hint="eastAsia" w:ascii="黑体" w:eastAsia="黑体"/>
          <w:i w:val="0"/>
          <w:szCs w:val="21"/>
        </w:rPr>
        <w:t xml:space="preserve">3 </w:t>
      </w:r>
      <w:r>
        <w:rPr>
          <w:rFonts w:hint="eastAsia"/>
          <w:szCs w:val="21"/>
        </w:rPr>
        <w:t>术语和定义</w:t>
      </w:r>
      <w:r>
        <w:tab/>
      </w:r>
      <w:r>
        <w:fldChar w:fldCharType="begin"/>
      </w:r>
      <w:r>
        <w:instrText xml:space="preserve"> PAGEREF _Toc31013 \h </w:instrText>
      </w:r>
      <w:r>
        <w:fldChar w:fldCharType="separate"/>
      </w:r>
      <w:r>
        <w:t>1</w:t>
      </w:r>
      <w:r>
        <w:fldChar w:fldCharType="end"/>
      </w:r>
      <w:r>
        <w:fldChar w:fldCharType="end"/>
      </w:r>
    </w:p>
    <w:p w14:paraId="4A8C49EF">
      <w:pPr>
        <w:pStyle w:val="19"/>
        <w:tabs>
          <w:tab w:val="right" w:leader="dot" w:pos="9354"/>
        </w:tabs>
      </w:pPr>
      <w:r>
        <w:fldChar w:fldCharType="begin"/>
      </w:r>
      <w:r>
        <w:instrText xml:space="preserve"> HYPERLINK \l _Toc9205 </w:instrText>
      </w:r>
      <w:r>
        <w:fldChar w:fldCharType="separate"/>
      </w:r>
      <w:r>
        <w:rPr>
          <w:rFonts w:hint="eastAsia" w:ascii="黑体" w:eastAsia="黑体"/>
          <w:i w:val="0"/>
          <w:szCs w:val="21"/>
        </w:rPr>
        <w:t xml:space="preserve">4 </w:t>
      </w:r>
      <w:r>
        <w:rPr>
          <w:rFonts w:hint="eastAsia"/>
          <w:szCs w:val="21"/>
        </w:rPr>
        <w:t>技术要求</w:t>
      </w:r>
      <w:r>
        <w:tab/>
      </w:r>
      <w:r>
        <w:fldChar w:fldCharType="begin"/>
      </w:r>
      <w:r>
        <w:instrText xml:space="preserve"> PAGEREF _Toc9205 \h </w:instrText>
      </w:r>
      <w:r>
        <w:fldChar w:fldCharType="separate"/>
      </w:r>
      <w:r>
        <w:t>1</w:t>
      </w:r>
      <w:r>
        <w:fldChar w:fldCharType="end"/>
      </w:r>
      <w:r>
        <w:fldChar w:fldCharType="end"/>
      </w:r>
    </w:p>
    <w:p w14:paraId="07ECC123">
      <w:pPr>
        <w:pStyle w:val="19"/>
        <w:tabs>
          <w:tab w:val="right" w:leader="dot" w:pos="9354"/>
        </w:tabs>
      </w:pPr>
      <w:r>
        <w:fldChar w:fldCharType="begin"/>
      </w:r>
      <w:r>
        <w:instrText xml:space="preserve"> HYPERLINK \l _Toc1931 </w:instrText>
      </w:r>
      <w:r>
        <w:fldChar w:fldCharType="separate"/>
      </w:r>
      <w:r>
        <w:rPr>
          <w:rFonts w:hint="eastAsia" w:ascii="黑体" w:eastAsia="黑体"/>
          <w:i w:val="0"/>
          <w:szCs w:val="21"/>
        </w:rPr>
        <w:t xml:space="preserve">5 </w:t>
      </w:r>
      <w:r>
        <w:rPr>
          <w:rFonts w:hint="eastAsia"/>
          <w:szCs w:val="21"/>
        </w:rPr>
        <w:t>主控项目</w:t>
      </w:r>
      <w:r>
        <w:tab/>
      </w:r>
      <w:r>
        <w:fldChar w:fldCharType="begin"/>
      </w:r>
      <w:r>
        <w:instrText xml:space="preserve"> PAGEREF _Toc1931 \h </w:instrText>
      </w:r>
      <w:r>
        <w:fldChar w:fldCharType="separate"/>
      </w:r>
      <w:r>
        <w:t>2</w:t>
      </w:r>
      <w:r>
        <w:fldChar w:fldCharType="end"/>
      </w:r>
      <w:r>
        <w:fldChar w:fldCharType="end"/>
      </w:r>
    </w:p>
    <w:p w14:paraId="75649230">
      <w:pPr>
        <w:pStyle w:val="19"/>
        <w:tabs>
          <w:tab w:val="right" w:leader="dot" w:pos="9354"/>
        </w:tabs>
      </w:pPr>
      <w:r>
        <w:fldChar w:fldCharType="begin"/>
      </w:r>
      <w:r>
        <w:instrText xml:space="preserve"> HYPERLINK \l _Toc20644 </w:instrText>
      </w:r>
      <w:r>
        <w:fldChar w:fldCharType="separate"/>
      </w:r>
      <w:r>
        <w:rPr>
          <w:rFonts w:hint="eastAsia" w:ascii="黑体" w:eastAsia="黑体"/>
          <w:i w:val="0"/>
          <w:szCs w:val="21"/>
        </w:rPr>
        <w:t xml:space="preserve">6 </w:t>
      </w:r>
      <w:r>
        <w:rPr>
          <w:rFonts w:hint="eastAsia"/>
          <w:szCs w:val="21"/>
        </w:rPr>
        <w:t>运行维护</w:t>
      </w:r>
      <w:r>
        <w:tab/>
      </w:r>
      <w:r>
        <w:fldChar w:fldCharType="begin"/>
      </w:r>
      <w:r>
        <w:instrText xml:space="preserve"> PAGEREF _Toc20644 \h </w:instrText>
      </w:r>
      <w:r>
        <w:fldChar w:fldCharType="separate"/>
      </w:r>
      <w:r>
        <w:t>3</w:t>
      </w:r>
      <w:r>
        <w:fldChar w:fldCharType="end"/>
      </w:r>
      <w:r>
        <w:fldChar w:fldCharType="end"/>
      </w:r>
    </w:p>
    <w:p w14:paraId="787F4C25">
      <w:pPr>
        <w:pStyle w:val="19"/>
        <w:tabs>
          <w:tab w:val="right" w:leader="dot" w:pos="9354"/>
        </w:tabs>
      </w:pPr>
      <w:r>
        <w:fldChar w:fldCharType="begin"/>
      </w:r>
      <w:r>
        <w:instrText xml:space="preserve"> HYPERLINK \l _Toc31226 </w:instrText>
      </w:r>
      <w:r>
        <w:fldChar w:fldCharType="separate"/>
      </w:r>
      <w:r>
        <w:rPr>
          <w:rFonts w:hint="eastAsia" w:ascii="黑体" w:eastAsia="黑体"/>
          <w:i w:val="0"/>
          <w:szCs w:val="21"/>
        </w:rPr>
        <w:t xml:space="preserve">7 </w:t>
      </w:r>
      <w:r>
        <w:rPr>
          <w:rFonts w:hint="eastAsia"/>
          <w:szCs w:val="21"/>
        </w:rPr>
        <w:t>记录与档案管理</w:t>
      </w:r>
      <w:r>
        <w:tab/>
      </w:r>
      <w:r>
        <w:fldChar w:fldCharType="begin"/>
      </w:r>
      <w:r>
        <w:instrText xml:space="preserve"> PAGEREF _Toc31226 \h </w:instrText>
      </w:r>
      <w:r>
        <w:fldChar w:fldCharType="separate"/>
      </w:r>
      <w:r>
        <w:t>3</w:t>
      </w:r>
      <w:r>
        <w:fldChar w:fldCharType="end"/>
      </w:r>
      <w:r>
        <w:fldChar w:fldCharType="end"/>
      </w:r>
    </w:p>
    <w:p w14:paraId="1B51B50A">
      <w:pPr>
        <w:pStyle w:val="92"/>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05C16B2">
      <w:pPr>
        <w:pStyle w:val="90"/>
        <w:spacing w:before="900" w:after="360"/>
      </w:pPr>
      <w:bookmarkStart w:id="23" w:name="_Toc20473"/>
      <w:bookmarkStart w:id="24" w:name="BookMark2"/>
      <w:r>
        <w:rPr>
          <w:spacing w:val="320"/>
        </w:rPr>
        <w:t>前</w:t>
      </w:r>
      <w:r>
        <w:t>言</w:t>
      </w:r>
      <w:bookmarkEnd w:id="22"/>
      <w:bookmarkEnd w:id="23"/>
    </w:p>
    <w:p w14:paraId="5DC8D965">
      <w:pPr>
        <w:pStyle w:val="57"/>
        <w:spacing w:line="360" w:lineRule="auto"/>
        <w:ind w:firstLine="420"/>
      </w:pPr>
      <w:r>
        <w:rPr>
          <w:rFonts w:hint="eastAsia"/>
        </w:rPr>
        <w:t>本文件按照GB/T 1.1—2020《标准化工作导则  第1部分：标准化文件的结构和起草规则》的规定起草。</w:t>
      </w:r>
    </w:p>
    <w:p w14:paraId="3BF47523">
      <w:pPr>
        <w:pStyle w:val="57"/>
        <w:spacing w:line="360" w:lineRule="auto"/>
        <w:ind w:firstLine="420"/>
      </w:pPr>
      <w:r>
        <w:rPr>
          <w:rFonts w:hint="eastAsia"/>
        </w:rPr>
        <w:t>请注意本文件的某些内容可能涉及专利。本文件的发布机构不承担识别专利的责任。</w:t>
      </w:r>
    </w:p>
    <w:p w14:paraId="754B7426">
      <w:pPr>
        <w:pStyle w:val="57"/>
        <w:spacing w:line="360" w:lineRule="auto"/>
        <w:ind w:firstLine="420"/>
      </w:pPr>
      <w:r>
        <w:rPr>
          <w:rFonts w:hint="eastAsia"/>
        </w:rPr>
        <w:t>本文件由西安市质量与标准化协会提出并归口。</w:t>
      </w:r>
    </w:p>
    <w:p w14:paraId="5B8DD1E1">
      <w:pPr>
        <w:pStyle w:val="57"/>
        <w:spacing w:line="360" w:lineRule="auto"/>
        <w:ind w:firstLine="420"/>
        <w:rPr>
          <w:rFonts w:hint="eastAsia"/>
          <w:lang w:eastAsia="zh-CN"/>
        </w:rPr>
      </w:pPr>
      <w:r>
        <w:rPr>
          <w:rFonts w:hint="eastAsia"/>
        </w:rPr>
        <w:t>本文件起草单位：</w:t>
      </w:r>
      <w:r>
        <w:rPr>
          <w:rFonts w:hint="default"/>
          <w:lang w:val="en-US" w:eastAsia="zh-CN"/>
        </w:rPr>
        <w:t>广西中医药大学附属瑞康医院</w:t>
      </w:r>
      <w:r>
        <w:rPr>
          <w:rFonts w:hint="eastAsia"/>
          <w:lang w:val="en-US" w:eastAsia="zh-CN"/>
        </w:rPr>
        <w:t>、广西中医药大学第一附属医院、广西国际壮医医院、广西医科大学第二附属医院、贺州市人民医院。</w:t>
      </w:r>
    </w:p>
    <w:p w14:paraId="6F393388">
      <w:pPr>
        <w:pStyle w:val="57"/>
        <w:spacing w:line="360" w:lineRule="auto"/>
        <w:ind w:firstLine="420"/>
        <w:rPr>
          <w:rFonts w:hint="default"/>
          <w:lang w:val="en-US" w:eastAsia="zh-CN"/>
        </w:rPr>
      </w:pPr>
      <w:r>
        <w:rPr>
          <w:rFonts w:hint="eastAsia"/>
        </w:rPr>
        <w:t>本文件主要起草人：</w:t>
      </w:r>
      <w:r>
        <w:rPr>
          <w:rFonts w:hint="eastAsia"/>
          <w:lang w:val="en-US" w:eastAsia="zh-CN"/>
        </w:rPr>
        <w:t>待定。</w:t>
      </w:r>
    </w:p>
    <w:p w14:paraId="26D9D901">
      <w:pPr>
        <w:pStyle w:val="57"/>
        <w:ind w:firstLine="420"/>
      </w:pPr>
    </w:p>
    <w:p w14:paraId="635AF019">
      <w:pPr>
        <w:pStyle w:val="57"/>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4"/>
    <w:p w14:paraId="73097178">
      <w:pPr>
        <w:pStyle w:val="90"/>
        <w:spacing w:after="360"/>
      </w:pPr>
      <w:bookmarkStart w:id="25" w:name="_Toc197342206"/>
      <w:bookmarkStart w:id="26" w:name="_Toc16737"/>
      <w:bookmarkStart w:id="27" w:name="BookMark3"/>
      <w:r>
        <w:rPr>
          <w:spacing w:val="320"/>
        </w:rPr>
        <w:t>引</w:t>
      </w:r>
      <w:r>
        <w:t>言</w:t>
      </w:r>
      <w:bookmarkEnd w:id="25"/>
      <w:bookmarkEnd w:id="26"/>
    </w:p>
    <w:p w14:paraId="66B8389A">
      <w:pPr>
        <w:pStyle w:val="57"/>
        <w:spacing w:line="360" w:lineRule="auto"/>
        <w:ind w:firstLine="420"/>
        <w:rPr>
          <w:rFonts w:hint="eastAsia"/>
        </w:rPr>
      </w:pPr>
      <w:r>
        <w:rPr>
          <w:rFonts w:hint="eastAsia"/>
        </w:rPr>
        <w:t>随着放射治疗在肿瘤诊疗中的广泛应用，放射性皮肤损伤已成为患者面临的常见并发症之一，严重影响其生活质量及治疗依从性。</w:t>
      </w:r>
    </w:p>
    <w:p w14:paraId="10A83832">
      <w:pPr>
        <w:pStyle w:val="57"/>
        <w:spacing w:line="360" w:lineRule="auto"/>
        <w:ind w:firstLine="420"/>
        <w:rPr>
          <w:rFonts w:hint="eastAsia"/>
        </w:rPr>
      </w:pPr>
      <w:r>
        <w:rPr>
          <w:rFonts w:hint="eastAsia"/>
        </w:rPr>
        <w:t>现有防治手段以西医护理和药物为主，虽能缓解症状，但存在药品价格昂贵、不良反应多、患者接受度差等问题。中医药作为我国传统医学的瑰宝，其“整体观念”和“辨证论治”理念在放射性皮肤损伤防治中展现出独特优势。中药油涂擦技术以黄连、紫草、地榆等中药材为核心，通过“清热燥湿、凉血解毒、收敛生肌”的多重协同机制，系统调节炎症、氧化应激及组织修复环节。其创新采用山茶油为溶剂，不仅增强了药物稳定性和皮肤渗透性，还兼具屏障修复功能，体现了“简便效廉”的中医药特色。近十年的临床实践表明，该技术能有效延缓放射性皮炎发生、减轻反应程度、缩短康复周期，并显著改善患者心理状态。然而，当前中医药外治法在放射性皮炎防治领域尚缺乏标准化指引，导致临床应用不规范、疗效评价不统一。本团体标准的制定，旨在系统规范中药油涂擦技术的操作流程、质量控制及评价标准，填补现有防治体系的空白，推动中医药适宜技术的规范化推广，为放射性皮肤损伤患者提供安全、有效、经济的中医技术方案。</w:t>
      </w:r>
    </w:p>
    <w:p w14:paraId="30E55E16">
      <w:pPr>
        <w:pStyle w:val="57"/>
        <w:spacing w:line="360" w:lineRule="auto"/>
        <w:ind w:firstLine="420"/>
        <w:rPr>
          <w:rFonts w:hint="eastAsia"/>
        </w:rPr>
      </w:pPr>
    </w:p>
    <w:p w14:paraId="1FD0EDB2">
      <w:pPr>
        <w:pStyle w:val="57"/>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7"/>
    <w:p w14:paraId="7A99496E">
      <w:pPr>
        <w:spacing w:line="20" w:lineRule="exact"/>
        <w:jc w:val="center"/>
        <w:rPr>
          <w:rFonts w:ascii="黑体" w:hAnsi="黑体" w:eastAsia="黑体"/>
          <w:sz w:val="32"/>
          <w:szCs w:val="32"/>
        </w:rPr>
      </w:pPr>
      <w:bookmarkStart w:id="28" w:name="BookMark4"/>
    </w:p>
    <w:p w14:paraId="65A307C1">
      <w:pPr>
        <w:spacing w:line="20" w:lineRule="exact"/>
        <w:jc w:val="center"/>
        <w:rPr>
          <w:rFonts w:ascii="黑体" w:hAnsi="黑体" w:eastAsia="黑体"/>
          <w:sz w:val="32"/>
          <w:szCs w:val="32"/>
        </w:rPr>
      </w:pPr>
    </w:p>
    <w:sdt>
      <w:sdtPr>
        <w:tag w:val="NEW_STAND_NAME"/>
        <w:id w:val="595910757"/>
        <w:lock w:val="sdtLocked"/>
        <w:placeholder>
          <w:docPart w:val="D3F810BC60A84B81A6C770E03FC672A2"/>
        </w:placeholder>
      </w:sdtPr>
      <w:sdtContent>
        <w:p w14:paraId="3A6D6EA0">
          <w:pPr>
            <w:pStyle w:val="178"/>
            <w:spacing w:after="0"/>
          </w:pPr>
          <w:bookmarkStart w:id="29" w:name="NEW_STAND_NAME"/>
          <w:r>
            <w:rPr>
              <w:rFonts w:hint="eastAsia"/>
            </w:rPr>
            <w:t>中药油涂擦防治放射性皮肤损伤技术操作规范</w:t>
          </w:r>
        </w:p>
      </w:sdtContent>
    </w:sdt>
    <w:bookmarkEnd w:id="29"/>
    <w:p w14:paraId="1339BF1A">
      <w:pPr>
        <w:pStyle w:val="105"/>
        <w:spacing w:before="240" w:after="240" w:line="360" w:lineRule="auto"/>
      </w:pPr>
      <w:bookmarkStart w:id="30" w:name="_Toc24884211"/>
      <w:bookmarkStart w:id="31" w:name="_Toc24884218"/>
      <w:bookmarkStart w:id="32" w:name="_Toc17233325"/>
      <w:bookmarkStart w:id="33" w:name="_Toc97192964"/>
      <w:bookmarkStart w:id="34" w:name="_Toc26986771"/>
      <w:bookmarkStart w:id="35" w:name="_Toc17233333"/>
      <w:bookmarkStart w:id="36" w:name="_Toc26648465"/>
      <w:bookmarkStart w:id="37" w:name="_Toc26986530"/>
      <w:bookmarkStart w:id="38" w:name="_Toc27722"/>
      <w:bookmarkStart w:id="39" w:name="_Toc26718930"/>
      <w:bookmarkStart w:id="40" w:name="_Toc197342207"/>
      <w:r>
        <w:rPr>
          <w:rFonts w:hint="eastAsia"/>
        </w:rPr>
        <w:t>范围</w:t>
      </w:r>
      <w:bookmarkEnd w:id="30"/>
      <w:bookmarkEnd w:id="31"/>
      <w:bookmarkEnd w:id="32"/>
      <w:bookmarkEnd w:id="33"/>
      <w:bookmarkEnd w:id="34"/>
      <w:bookmarkEnd w:id="35"/>
      <w:bookmarkEnd w:id="36"/>
      <w:bookmarkEnd w:id="37"/>
      <w:bookmarkEnd w:id="38"/>
      <w:bookmarkEnd w:id="39"/>
      <w:bookmarkEnd w:id="40"/>
    </w:p>
    <w:p w14:paraId="40F09EBF">
      <w:pPr>
        <w:pStyle w:val="57"/>
        <w:spacing w:line="360" w:lineRule="auto"/>
        <w:ind w:firstLine="420"/>
        <w:rPr>
          <w:rFonts w:hint="eastAsia"/>
        </w:rPr>
      </w:pPr>
      <w:bookmarkStart w:id="41" w:name="_Toc24884212"/>
      <w:bookmarkStart w:id="42" w:name="_Toc17233334"/>
      <w:bookmarkStart w:id="43" w:name="_Toc17233326"/>
      <w:bookmarkStart w:id="44" w:name="_Toc24884219"/>
      <w:bookmarkStart w:id="45" w:name="_Toc26648466"/>
      <w:r>
        <w:rPr>
          <w:rFonts w:hint="eastAsia"/>
        </w:rPr>
        <w:t>本文件规定了中药油涂擦防治放射性皮肤损伤的技术操作规范，包括材料选择与制备、适用人群与禁忌症、操作方法、注意事项与不良反应处理、质量控制与评价、记录与档案管理以及持续改进等内容。本文件适用于医疗机构中放射性皮肤损伤的预防和治疗。</w:t>
      </w:r>
    </w:p>
    <w:p w14:paraId="24B680AA">
      <w:pPr>
        <w:pStyle w:val="105"/>
        <w:spacing w:before="240" w:after="240" w:line="360" w:lineRule="auto"/>
        <w:rPr>
          <w:rFonts w:hint="eastAsia"/>
          <w:szCs w:val="21"/>
        </w:rPr>
      </w:pPr>
      <w:bookmarkStart w:id="46" w:name="_Toc26986531"/>
      <w:bookmarkStart w:id="47" w:name="_Toc197342208"/>
      <w:bookmarkStart w:id="48" w:name="_Toc26718931"/>
      <w:bookmarkStart w:id="49" w:name="_Toc799"/>
      <w:bookmarkStart w:id="50" w:name="_Toc97192965"/>
      <w:bookmarkStart w:id="51" w:name="_Toc26986772"/>
      <w:r>
        <w:rPr>
          <w:rFonts w:hint="eastAsia"/>
          <w:szCs w:val="21"/>
        </w:rPr>
        <w:t>规范性引用文件</w:t>
      </w:r>
      <w:bookmarkEnd w:id="41"/>
      <w:bookmarkEnd w:id="42"/>
      <w:bookmarkEnd w:id="43"/>
      <w:bookmarkEnd w:id="44"/>
      <w:bookmarkEnd w:id="45"/>
      <w:bookmarkEnd w:id="46"/>
      <w:bookmarkEnd w:id="47"/>
      <w:bookmarkEnd w:id="48"/>
      <w:bookmarkEnd w:id="49"/>
      <w:bookmarkEnd w:id="50"/>
      <w:bookmarkEnd w:id="51"/>
    </w:p>
    <w:p w14:paraId="042A711B">
      <w:pPr>
        <w:pStyle w:val="57"/>
        <w:spacing w:line="360" w:lineRule="auto"/>
        <w:ind w:firstLine="420"/>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9A8A938">
      <w:pPr>
        <w:pStyle w:val="57"/>
        <w:spacing w:line="360" w:lineRule="auto"/>
        <w:ind w:firstLine="420"/>
        <w:rPr>
          <w:rFonts w:hint="eastAsia"/>
        </w:rPr>
      </w:pPr>
      <w:r>
        <w:rPr>
          <w:rFonts w:hint="eastAsia"/>
        </w:rPr>
        <w:t>GB/T 19001-2016</w:t>
      </w:r>
      <w:r>
        <w:rPr>
          <w:rFonts w:hint="eastAsia"/>
          <w:lang w:val="en-US" w:eastAsia="zh-CN"/>
        </w:rPr>
        <w:t xml:space="preserve"> </w:t>
      </w:r>
      <w:r>
        <w:rPr>
          <w:rFonts w:hint="eastAsia"/>
        </w:rPr>
        <w:t>质量管理体系要求</w:t>
      </w:r>
    </w:p>
    <w:p w14:paraId="69FF6483">
      <w:pPr>
        <w:pStyle w:val="57"/>
        <w:spacing w:line="360" w:lineRule="auto"/>
        <w:ind w:firstLine="420"/>
        <w:rPr>
          <w:rFonts w:hint="eastAsia"/>
        </w:rPr>
      </w:pPr>
      <w:r>
        <w:rPr>
          <w:rFonts w:hint="eastAsia"/>
        </w:rPr>
        <w:t>《中华人民共和国药典》（2020年版）</w:t>
      </w:r>
    </w:p>
    <w:p w14:paraId="7237F705">
      <w:pPr>
        <w:pStyle w:val="57"/>
        <w:spacing w:line="360" w:lineRule="auto"/>
        <w:ind w:firstLine="420"/>
        <w:rPr>
          <w:rFonts w:hint="eastAsia"/>
        </w:rPr>
      </w:pPr>
      <w:r>
        <w:rPr>
          <w:rFonts w:hint="eastAsia"/>
        </w:rPr>
        <w:t>GB/T 16886.1-2011</w:t>
      </w:r>
      <w:r>
        <w:rPr>
          <w:rFonts w:hint="eastAsia"/>
          <w:lang w:val="en-US" w:eastAsia="zh-CN"/>
        </w:rPr>
        <w:t xml:space="preserve"> </w:t>
      </w:r>
      <w:r>
        <w:rPr>
          <w:rFonts w:hint="eastAsia"/>
        </w:rPr>
        <w:t>医疗器械生物学评价 第1部分：风险管理过程中的评价与试验</w:t>
      </w:r>
    </w:p>
    <w:p w14:paraId="3BD77844">
      <w:pPr>
        <w:pStyle w:val="57"/>
        <w:spacing w:line="360" w:lineRule="auto"/>
        <w:ind w:firstLine="420"/>
        <w:rPr>
          <w:rFonts w:hint="eastAsia"/>
        </w:rPr>
      </w:pPr>
      <w:r>
        <w:rPr>
          <w:rFonts w:hint="eastAsia"/>
        </w:rPr>
        <w:t>WS/T 368-2012</w:t>
      </w:r>
      <w:r>
        <w:rPr>
          <w:rFonts w:hint="eastAsia"/>
          <w:lang w:val="en-US" w:eastAsia="zh-CN"/>
        </w:rPr>
        <w:t xml:space="preserve"> </w:t>
      </w:r>
      <w:r>
        <w:rPr>
          <w:rFonts w:hint="eastAsia"/>
        </w:rPr>
        <w:t>医院空气净化管理规范</w:t>
      </w:r>
    </w:p>
    <w:p w14:paraId="5134B084">
      <w:pPr>
        <w:pStyle w:val="57"/>
        <w:spacing w:line="360" w:lineRule="auto"/>
        <w:ind w:firstLine="420"/>
        <w:rPr>
          <w:rFonts w:hint="eastAsia"/>
        </w:rPr>
      </w:pPr>
      <w:r>
        <w:rPr>
          <w:rFonts w:hint="eastAsia"/>
        </w:rPr>
        <w:t>YY/T 0616.1-2016</w:t>
      </w:r>
      <w:r>
        <w:rPr>
          <w:rFonts w:hint="eastAsia"/>
          <w:lang w:val="en-US" w:eastAsia="zh-CN"/>
        </w:rPr>
        <w:t xml:space="preserve"> </w:t>
      </w:r>
      <w:r>
        <w:rPr>
          <w:rFonts w:hint="eastAsia"/>
        </w:rPr>
        <w:t>医用液体敷料 第1部分：通用要求</w:t>
      </w:r>
    </w:p>
    <w:p w14:paraId="48807CD9">
      <w:pPr>
        <w:pStyle w:val="105"/>
        <w:spacing w:before="240" w:after="240" w:line="360" w:lineRule="auto"/>
        <w:rPr>
          <w:rFonts w:hint="eastAsia"/>
          <w:szCs w:val="21"/>
        </w:rPr>
      </w:pPr>
      <w:bookmarkStart w:id="52" w:name="_Toc31013"/>
      <w:r>
        <w:rPr>
          <w:rFonts w:hint="eastAsia"/>
          <w:szCs w:val="21"/>
        </w:rPr>
        <w:t>术语和定义</w:t>
      </w:r>
      <w:bookmarkEnd w:id="52"/>
    </w:p>
    <w:p w14:paraId="00AD39BC">
      <w:pPr>
        <w:pStyle w:val="57"/>
        <w:spacing w:line="360" w:lineRule="auto"/>
        <w:ind w:firstLine="420"/>
        <w:rPr>
          <w:rFonts w:hint="eastAsia"/>
        </w:rPr>
      </w:pPr>
      <w:r>
        <w:rPr>
          <w:rFonts w:hint="eastAsia"/>
        </w:rPr>
        <w:t>下列术语和定义适用于本文件。</w:t>
      </w:r>
    </w:p>
    <w:bookmarkEnd w:id="28"/>
    <w:p w14:paraId="3DBE9C82">
      <w:pPr>
        <w:pStyle w:val="57"/>
        <w:spacing w:line="360" w:lineRule="auto"/>
        <w:ind w:firstLine="420"/>
        <w:rPr>
          <w:rFonts w:hint="eastAsia"/>
        </w:rPr>
      </w:pPr>
      <w:r>
        <w:rPr>
          <w:rFonts w:hint="eastAsia"/>
        </w:rPr>
        <w:t>中药油：以黄连、紫草、地榆等具有清热燥湿、凉血解毒、收敛生肌功效的中药材为原料，经清洗、干燥、粉碎后，采用浸提或渗漉法提取有效成分，溶于精炼山茶油中制成的外用制剂，用于防治放射性皮肤损伤。</w:t>
      </w:r>
    </w:p>
    <w:p w14:paraId="21ACC315">
      <w:pPr>
        <w:pStyle w:val="57"/>
        <w:spacing w:line="360" w:lineRule="auto"/>
        <w:ind w:firstLine="420"/>
        <w:rPr>
          <w:rFonts w:hint="eastAsia"/>
        </w:rPr>
      </w:pPr>
      <w:r>
        <w:rPr>
          <w:rFonts w:hint="eastAsia"/>
        </w:rPr>
        <w:t>涂擦：将中药油均匀涂抹于受损皮肤表面，并进行轻柔按摩以促进吸收的操作。</w:t>
      </w:r>
    </w:p>
    <w:p w14:paraId="708A00E0">
      <w:pPr>
        <w:pStyle w:val="105"/>
        <w:spacing w:before="240" w:after="240" w:line="360" w:lineRule="auto"/>
        <w:rPr>
          <w:rFonts w:hint="eastAsia"/>
          <w:szCs w:val="21"/>
        </w:rPr>
      </w:pPr>
      <w:r>
        <w:rPr>
          <w:rFonts w:hint="eastAsia"/>
          <w:szCs w:val="21"/>
        </w:rPr>
        <w:t>技术要求</w:t>
      </w:r>
    </w:p>
    <w:p w14:paraId="7E215F66">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材料选择与制备</w:t>
      </w:r>
    </w:p>
    <w:p w14:paraId="5724E987">
      <w:pPr>
        <w:pStyle w:val="57"/>
        <w:spacing w:line="360" w:lineRule="auto"/>
        <w:ind w:firstLine="420"/>
        <w:rPr>
          <w:rFonts w:hint="eastAsia"/>
        </w:rPr>
      </w:pPr>
      <w:r>
        <w:rPr>
          <w:rFonts w:hint="eastAsia"/>
        </w:rPr>
        <w:t>一是中药材选择，应选用具有清热燥湿、凉血解毒、收敛生肌功效的中药材，如黄连、紫草、地榆等；二是中药油制备，将精选的中药材经过清洗、干燥、粉碎后，采用适宜的提取方法（如浸提、渗漉等）获得提取物，再溶于经过精炼的山茶油中，制成中药油；三是质量控制，中药油应无杂质、无异味，符合《中华人民共和国药典》相关质量标准。</w:t>
      </w:r>
    </w:p>
    <w:p w14:paraId="12992A08">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适用人群与禁忌症</w:t>
      </w:r>
    </w:p>
    <w:p w14:paraId="1809273A">
      <w:pPr>
        <w:pStyle w:val="57"/>
        <w:spacing w:line="360" w:lineRule="auto"/>
        <w:ind w:firstLine="420"/>
        <w:rPr>
          <w:rFonts w:hint="eastAsia"/>
        </w:rPr>
      </w:pPr>
      <w:r>
        <w:rPr>
          <w:rFonts w:hint="eastAsia"/>
        </w:rPr>
        <w:t>适用人群：接受放射治疗并出现放射性皮肤损伤的患者。</w:t>
      </w:r>
    </w:p>
    <w:p w14:paraId="30C6370D">
      <w:pPr>
        <w:pStyle w:val="57"/>
        <w:spacing w:line="360" w:lineRule="auto"/>
        <w:ind w:firstLine="420"/>
        <w:rPr>
          <w:rFonts w:hint="eastAsia"/>
        </w:rPr>
      </w:pPr>
      <w:r>
        <w:rPr>
          <w:rFonts w:hint="eastAsia"/>
        </w:rPr>
        <w:t>禁忌症：对中药油中任一成分过敏者；皮肤破损严重或感染者；孕妇及哺乳期妇女慎用。</w:t>
      </w:r>
    </w:p>
    <w:p w14:paraId="0EDE1F7A">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操作方法</w:t>
      </w:r>
    </w:p>
    <w:p w14:paraId="68D4BF4A">
      <w:pPr>
        <w:pStyle w:val="57"/>
        <w:spacing w:line="360" w:lineRule="auto"/>
        <w:ind w:firstLine="420"/>
        <w:rPr>
          <w:rFonts w:hint="eastAsia"/>
        </w:rPr>
      </w:pPr>
      <w:r>
        <w:rPr>
          <w:rFonts w:hint="eastAsia"/>
        </w:rPr>
        <w:t>Ⅰ级损伤（轻度红斑）：每日涂擦2次，疗程7-10天；Ⅱ-Ⅲ级损伤（干性/湿性脱屑）：每日涂擦3次，疗程14-21天；Ⅳ级损伤（溃疡）：暂停放疗并每日涂擦3次，联合抗生素治疗，疗程≥21天。</w:t>
      </w:r>
    </w:p>
    <w:p w14:paraId="5F9FD7F1">
      <w:pPr>
        <w:pStyle w:val="224"/>
        <w:spacing w:line="360" w:lineRule="auto"/>
        <w:ind w:left="420" w:hanging="420" w:hangingChars="200"/>
        <w:outlineLvl w:val="1"/>
        <w:rPr>
          <w:rFonts w:hint="eastAsia" w:ascii="黑体" w:hAnsi="黑体" w:eastAsia="黑体"/>
          <w:lang w:val="en-US" w:eastAsia="zh-CN"/>
        </w:rPr>
      </w:pPr>
      <w:r>
        <w:rPr>
          <w:rFonts w:hint="eastAsia" w:ascii="黑体" w:hAnsi="黑体" w:eastAsia="黑体"/>
          <w:lang w:val="en-US" w:eastAsia="zh-CN"/>
        </w:rPr>
        <w:t>注意事项与不良反应处理</w:t>
      </w:r>
    </w:p>
    <w:p w14:paraId="4620DCD7">
      <w:pPr>
        <w:pStyle w:val="57"/>
        <w:spacing w:line="360" w:lineRule="auto"/>
        <w:ind w:firstLine="420"/>
        <w:rPr>
          <w:rFonts w:hint="eastAsia"/>
        </w:rPr>
      </w:pPr>
      <w:r>
        <w:rPr>
          <w:rFonts w:hint="eastAsia"/>
        </w:rPr>
        <w:t>注意事项：涂擦过程中避免用力过猛，以免加重皮肤损伤；保持皮肤清洁干燥，避免感染；如出现不适或过敏反应，应立即停止使用并就医。</w:t>
      </w:r>
    </w:p>
    <w:p w14:paraId="45C6E148">
      <w:pPr>
        <w:pStyle w:val="57"/>
        <w:spacing w:line="360" w:lineRule="auto"/>
        <w:ind w:firstLine="420"/>
        <w:rPr>
          <w:rFonts w:hint="eastAsia"/>
        </w:rPr>
      </w:pPr>
      <w:r>
        <w:rPr>
          <w:rFonts w:hint="eastAsia"/>
        </w:rPr>
        <w:t>不良反应处理：轻度过敏（局部红斑、瘙痒）；立即停用，外用炉甘石洗剂；重度过敏（全身性皮疹、呼吸困难）；停用并口服抗组胺药（如氯雷他定），必要时急诊处理。</w:t>
      </w:r>
    </w:p>
    <w:p w14:paraId="403195E5">
      <w:pPr>
        <w:pStyle w:val="105"/>
        <w:spacing w:before="240" w:after="240" w:line="360" w:lineRule="auto"/>
        <w:rPr>
          <w:rFonts w:hint="eastAsia"/>
          <w:szCs w:val="21"/>
        </w:rPr>
      </w:pPr>
      <w:r>
        <w:rPr>
          <w:rFonts w:hint="eastAsia"/>
          <w:szCs w:val="21"/>
        </w:rPr>
        <w:t>质量控制与评价</w:t>
      </w:r>
    </w:p>
    <w:p w14:paraId="717A988B">
      <w:pPr>
        <w:pStyle w:val="57"/>
        <w:spacing w:line="360" w:lineRule="auto"/>
        <w:ind w:firstLine="420"/>
        <w:rPr>
          <w:rFonts w:hint="eastAsia"/>
        </w:rPr>
      </w:pPr>
      <w:r>
        <w:rPr>
          <w:rFonts w:hint="eastAsia"/>
        </w:rPr>
        <w:t>疗效评价：皮肤愈合时间（Ⅰ级损伤≤7天，Ⅱ级≤14天，Ⅲ级≤21天）；SAS评分较基线下降≥50%为有效；实验室检查（炎症因子IL-6、TNF-α水平较治疗前下降≥30%）。</w:t>
      </w:r>
    </w:p>
    <w:p w14:paraId="247DD363">
      <w:pPr>
        <w:pStyle w:val="57"/>
        <w:spacing w:line="360" w:lineRule="auto"/>
        <w:ind w:firstLine="420"/>
        <w:rPr>
          <w:rFonts w:hint="eastAsia"/>
        </w:rPr>
      </w:pPr>
      <w:r>
        <w:rPr>
          <w:rFonts w:hint="eastAsia"/>
        </w:rPr>
        <w:t>安全性评价：定期监测患者肝肾功能、血常规等指标，评估中药油的安全性。</w:t>
      </w:r>
    </w:p>
    <w:p w14:paraId="0AA46D6B">
      <w:pPr>
        <w:pStyle w:val="57"/>
        <w:spacing w:line="360" w:lineRule="auto"/>
        <w:ind w:firstLine="420"/>
        <w:rPr>
          <w:rFonts w:hint="eastAsia"/>
        </w:rPr>
      </w:pPr>
      <w:r>
        <w:rPr>
          <w:rFonts w:hint="eastAsia"/>
        </w:rPr>
        <w:t>患者满意度调查：通过问卷调查等方式收集患者对中药油涂擦治疗的满意度和反馈意见。</w:t>
      </w:r>
    </w:p>
    <w:p w14:paraId="4DB59FA2">
      <w:pPr>
        <w:pStyle w:val="105"/>
        <w:spacing w:before="240" w:after="240" w:line="360" w:lineRule="auto"/>
        <w:rPr>
          <w:rFonts w:hint="eastAsia"/>
          <w:szCs w:val="21"/>
        </w:rPr>
      </w:pPr>
      <w:r>
        <w:rPr>
          <w:rFonts w:hint="eastAsia"/>
          <w:szCs w:val="21"/>
        </w:rPr>
        <w:t>记录与档案管理</w:t>
      </w:r>
    </w:p>
    <w:p w14:paraId="49CF6081">
      <w:pPr>
        <w:pStyle w:val="57"/>
        <w:spacing w:line="360" w:lineRule="auto"/>
        <w:ind w:firstLine="420"/>
        <w:rPr>
          <w:rFonts w:hint="eastAsia"/>
        </w:rPr>
      </w:pPr>
      <w:r>
        <w:rPr>
          <w:rFonts w:hint="eastAsia"/>
        </w:rPr>
        <w:t>治疗记录：详细记录患者基本信息、诊断结果、治疗方案、涂擦次数及剂量、不良反应及处理措施等信息。</w:t>
      </w:r>
    </w:p>
    <w:p w14:paraId="5FA5ABED">
      <w:pPr>
        <w:pStyle w:val="57"/>
        <w:spacing w:line="360" w:lineRule="auto"/>
        <w:ind w:firstLine="420"/>
        <w:rPr>
          <w:rFonts w:hint="eastAsia"/>
        </w:rPr>
      </w:pPr>
      <w:r>
        <w:rPr>
          <w:rFonts w:hint="eastAsia"/>
        </w:rPr>
        <w:t>档案管理：建立患者治疗档案，包括治疗记录、疗效评价报告、安全性监测报告等，便于随访和科研分析。档案应保存至少5年。</w:t>
      </w:r>
    </w:p>
    <w:p w14:paraId="52B28CA1">
      <w:pPr>
        <w:pStyle w:val="105"/>
        <w:spacing w:before="240" w:after="240" w:line="360" w:lineRule="auto"/>
        <w:rPr>
          <w:rFonts w:hint="eastAsia"/>
          <w:szCs w:val="21"/>
        </w:rPr>
      </w:pPr>
      <w:r>
        <w:rPr>
          <w:rFonts w:hint="eastAsia"/>
          <w:szCs w:val="21"/>
        </w:rPr>
        <w:t>持续改进</w:t>
      </w:r>
    </w:p>
    <w:p w14:paraId="445907E9">
      <w:pPr>
        <w:pStyle w:val="57"/>
        <w:spacing w:line="360" w:lineRule="auto"/>
        <w:ind w:firstLine="420"/>
        <w:rPr>
          <w:rFonts w:hint="eastAsia"/>
        </w:rPr>
      </w:pPr>
      <w:r>
        <w:rPr>
          <w:rFonts w:hint="eastAsia"/>
        </w:rPr>
        <w:t>技术更新：根据最新研究成果和临床实践，不断优化中药油配方和涂擦技术。</w:t>
      </w:r>
    </w:p>
    <w:p w14:paraId="4DF9F9D7">
      <w:pPr>
        <w:pStyle w:val="57"/>
        <w:spacing w:line="360" w:lineRule="auto"/>
        <w:ind w:firstLine="420"/>
        <w:rPr>
          <w:rFonts w:hint="eastAsia"/>
        </w:rPr>
      </w:pPr>
      <w:r>
        <w:rPr>
          <w:rFonts w:hint="eastAsia"/>
        </w:rPr>
        <w:t>标准修订：定期对本标准进行评审和修订，确保其科学性和适用性。</w:t>
      </w:r>
    </w:p>
    <w:p w14:paraId="0856D53C">
      <w:pPr>
        <w:pStyle w:val="57"/>
        <w:spacing w:line="360" w:lineRule="auto"/>
        <w:ind w:firstLine="420"/>
        <w:rPr>
          <w:rFonts w:hint="eastAsia"/>
        </w:rPr>
      </w:pPr>
      <w:r>
        <w:rPr>
          <w:rFonts w:hint="eastAsia"/>
        </w:rPr>
        <w:t>经验交流：加强与其他医疗机构和科研机构的交流合作，共享经验和资源，推动中药油涂擦技术在放射性皮肤损伤防治中的应用和发展。</w:t>
      </w:r>
    </w:p>
    <w:p w14:paraId="2627DC9A">
      <w:pPr>
        <w:pStyle w:val="57"/>
        <w:spacing w:line="360" w:lineRule="auto"/>
        <w:ind w:firstLine="420"/>
        <w:rPr>
          <w:rFonts w:hint="eastAsia"/>
        </w:rPr>
      </w:pPr>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71962">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18568">
    <w:pPr>
      <w:pStyle w:val="53"/>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D2C1">
    <w:pPr>
      <w:pStyle w:val="52"/>
    </w:pPr>
    <w:r>
      <w:fldChar w:fldCharType="begin"/>
    </w:r>
    <w:r>
      <w:instrText xml:space="preserve"> PAGE   \* MERGEFORMAT \* MERGEFORMAT </w:instrText>
    </w:r>
    <w:r>
      <w:fldChar w:fldCharType="separate"/>
    </w:r>
    <w: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7B55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017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28703">
    <w:pPr>
      <w:pStyle w:val="53"/>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FBC46">
    <w:pPr>
      <w:pStyle w:val="52"/>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CE8C5">
    <w:pPr>
      <w:pStyle w:val="53"/>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883FD">
    <w:pPr>
      <w:pStyle w:val="52"/>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1247">
    <w:pPr>
      <w:pStyle w:val="53"/>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0A98A">
    <w:pPr>
      <w:pStyle w:val="52"/>
    </w:pPr>
    <w:r>
      <w:fldChar w:fldCharType="begin"/>
    </w:r>
    <w:r>
      <w:instrText xml:space="preserve"> PAGE   \* MERGEFORMAT \* MERGEFORMAT </w:instrText>
    </w:r>
    <w:r>
      <w:fldChar w:fldCharType="separate"/>
    </w:r>
    <w:r>
      <w:t>III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900E">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63FC2">
    <w:pPr>
      <w:pStyle w:val="62"/>
    </w:pPr>
    <w:r>
      <w:fldChar w:fldCharType="begin"/>
    </w:r>
    <w:r>
      <w:instrText xml:space="preserve"> STYLEREF  标准文件_文件编号  \* MERGEFORMAT </w:instrText>
    </w:r>
    <w:r>
      <w:fldChar w:fldCharType="separate"/>
    </w:r>
    <w:r>
      <w:t>T/XZBX 0133—2025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20A0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0133—2025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DCC79">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8420A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96FE4">
    <w:pPr>
      <w:pStyle w:val="62"/>
    </w:pPr>
    <w:r>
      <w:fldChar w:fldCharType="begin"/>
    </w:r>
    <w:r>
      <w:instrText xml:space="preserve"> STYLEREF  标准文件_文件编号  \* MERGEFORMAT </w:instrText>
    </w:r>
    <w:r>
      <w:fldChar w:fldCharType="separate"/>
    </w:r>
    <w:r>
      <w:t>T/XZBX 0133—2025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A9EB6">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0133—2025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0D3DF">
    <w:pPr>
      <w:pStyle w:val="62"/>
    </w:pPr>
    <w:r>
      <w:fldChar w:fldCharType="begin"/>
    </w:r>
    <w:r>
      <w:instrText xml:space="preserve"> STYLEREF  标准文件_文件编号  \* MERGEFORMAT </w:instrText>
    </w:r>
    <w:r>
      <w:fldChar w:fldCharType="separate"/>
    </w:r>
    <w:r>
      <w:t>T/XZBX 0133—2025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3474C">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0133—2025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A26F">
    <w:pPr>
      <w:pStyle w:val="62"/>
    </w:pPr>
    <w:r>
      <w:fldChar w:fldCharType="begin"/>
    </w:r>
    <w:r>
      <w:instrText xml:space="preserve"> STYLEREF  标准文件_文件编号  \* MERGEFORMAT </w:instrText>
    </w:r>
    <w:r>
      <w:fldChar w:fldCharType="separate"/>
    </w:r>
    <w:r>
      <w:t>T/XZBX 0133—2025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D0924">
    <w:pPr>
      <w:pStyle w:val="63"/>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0133—2025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0MjMwsTQ2NDM2NzBQ0lEKTi0uzszPAykwqgUATzKrbiwAAAA="/>
  </w:docVars>
  <w:rsids>
    <w:rsidRoot w:val="00B15D71"/>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DE"/>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29BF"/>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96"/>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3A9"/>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18F"/>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27CB"/>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1F6A"/>
    <w:rsid w:val="00A129D0"/>
    <w:rsid w:val="00A129EE"/>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15D71"/>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3F2F"/>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F4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C62"/>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063AB2"/>
    <w:rsid w:val="02201D8C"/>
    <w:rsid w:val="02571F5F"/>
    <w:rsid w:val="039110D3"/>
    <w:rsid w:val="04C133B2"/>
    <w:rsid w:val="06450013"/>
    <w:rsid w:val="067676BD"/>
    <w:rsid w:val="06F15A00"/>
    <w:rsid w:val="083D5267"/>
    <w:rsid w:val="0A5B6057"/>
    <w:rsid w:val="0A826512"/>
    <w:rsid w:val="0AC0410C"/>
    <w:rsid w:val="11A5092B"/>
    <w:rsid w:val="123C051C"/>
    <w:rsid w:val="128B4FFF"/>
    <w:rsid w:val="13225964"/>
    <w:rsid w:val="1367270D"/>
    <w:rsid w:val="14B52807"/>
    <w:rsid w:val="14C111AC"/>
    <w:rsid w:val="15227E9D"/>
    <w:rsid w:val="16104199"/>
    <w:rsid w:val="16B94831"/>
    <w:rsid w:val="16BD39C5"/>
    <w:rsid w:val="176C54EA"/>
    <w:rsid w:val="1787048B"/>
    <w:rsid w:val="18115FA7"/>
    <w:rsid w:val="18C67773"/>
    <w:rsid w:val="194523AC"/>
    <w:rsid w:val="19996E8D"/>
    <w:rsid w:val="1ACA4340"/>
    <w:rsid w:val="1B086199"/>
    <w:rsid w:val="1BA809D0"/>
    <w:rsid w:val="1BBD091F"/>
    <w:rsid w:val="1D9A07EC"/>
    <w:rsid w:val="1F554A44"/>
    <w:rsid w:val="1FF24E4E"/>
    <w:rsid w:val="202C7E22"/>
    <w:rsid w:val="20DD2ECA"/>
    <w:rsid w:val="21221225"/>
    <w:rsid w:val="21C978F2"/>
    <w:rsid w:val="22FB7F7F"/>
    <w:rsid w:val="234E00AF"/>
    <w:rsid w:val="251315B0"/>
    <w:rsid w:val="25DD15C5"/>
    <w:rsid w:val="28AC6949"/>
    <w:rsid w:val="28CB3F50"/>
    <w:rsid w:val="29AA0009"/>
    <w:rsid w:val="2AA35184"/>
    <w:rsid w:val="2B381D70"/>
    <w:rsid w:val="2BAF1907"/>
    <w:rsid w:val="2BFE65C2"/>
    <w:rsid w:val="2C7B4F1A"/>
    <w:rsid w:val="2CDE24A4"/>
    <w:rsid w:val="2FBF58A6"/>
    <w:rsid w:val="2FC71A29"/>
    <w:rsid w:val="2FF124EE"/>
    <w:rsid w:val="30185CCC"/>
    <w:rsid w:val="30234671"/>
    <w:rsid w:val="31875369"/>
    <w:rsid w:val="3381002D"/>
    <w:rsid w:val="33F56325"/>
    <w:rsid w:val="33F61CAC"/>
    <w:rsid w:val="34980849"/>
    <w:rsid w:val="34CD1F56"/>
    <w:rsid w:val="36136B10"/>
    <w:rsid w:val="36462E68"/>
    <w:rsid w:val="366559E4"/>
    <w:rsid w:val="371511B8"/>
    <w:rsid w:val="38844435"/>
    <w:rsid w:val="39423DBA"/>
    <w:rsid w:val="39AD1CD6"/>
    <w:rsid w:val="3A791A5E"/>
    <w:rsid w:val="3B9C63F9"/>
    <w:rsid w:val="3DCE3E6E"/>
    <w:rsid w:val="3E864749"/>
    <w:rsid w:val="3F7B1DD4"/>
    <w:rsid w:val="427A2817"/>
    <w:rsid w:val="429D02B3"/>
    <w:rsid w:val="443D5731"/>
    <w:rsid w:val="46001285"/>
    <w:rsid w:val="46DF70EC"/>
    <w:rsid w:val="47203CF1"/>
    <w:rsid w:val="47DC34DA"/>
    <w:rsid w:val="48141018"/>
    <w:rsid w:val="48972517"/>
    <w:rsid w:val="4A5C2802"/>
    <w:rsid w:val="4B320132"/>
    <w:rsid w:val="4BEA1026"/>
    <w:rsid w:val="4CFB2A05"/>
    <w:rsid w:val="4FC450D1"/>
    <w:rsid w:val="50242014"/>
    <w:rsid w:val="51962A9D"/>
    <w:rsid w:val="51A27D59"/>
    <w:rsid w:val="54322F51"/>
    <w:rsid w:val="54353F9D"/>
    <w:rsid w:val="54686973"/>
    <w:rsid w:val="55515659"/>
    <w:rsid w:val="585316E8"/>
    <w:rsid w:val="588B70D4"/>
    <w:rsid w:val="59D96484"/>
    <w:rsid w:val="59F9006D"/>
    <w:rsid w:val="5A0A227A"/>
    <w:rsid w:val="5AA82FEB"/>
    <w:rsid w:val="5BA81D4B"/>
    <w:rsid w:val="5CDA12A8"/>
    <w:rsid w:val="5DBE5856"/>
    <w:rsid w:val="5F5C378C"/>
    <w:rsid w:val="603C4D81"/>
    <w:rsid w:val="60C50CA9"/>
    <w:rsid w:val="61DE0274"/>
    <w:rsid w:val="62483940"/>
    <w:rsid w:val="626B7C40"/>
    <w:rsid w:val="63422A85"/>
    <w:rsid w:val="64562060"/>
    <w:rsid w:val="658E3D60"/>
    <w:rsid w:val="65B73BCD"/>
    <w:rsid w:val="66155F50"/>
    <w:rsid w:val="66E77BCB"/>
    <w:rsid w:val="67452B44"/>
    <w:rsid w:val="68846345"/>
    <w:rsid w:val="69407A67"/>
    <w:rsid w:val="6B4C26F3"/>
    <w:rsid w:val="6BF559D1"/>
    <w:rsid w:val="6C303DC2"/>
    <w:rsid w:val="6C351337"/>
    <w:rsid w:val="6C6E48EB"/>
    <w:rsid w:val="6CE55009"/>
    <w:rsid w:val="6F655B31"/>
    <w:rsid w:val="70781894"/>
    <w:rsid w:val="70A76A5E"/>
    <w:rsid w:val="71357785"/>
    <w:rsid w:val="717F6C52"/>
    <w:rsid w:val="72653996"/>
    <w:rsid w:val="72A921D9"/>
    <w:rsid w:val="72F1592E"/>
    <w:rsid w:val="7367064C"/>
    <w:rsid w:val="756B293B"/>
    <w:rsid w:val="776668EA"/>
    <w:rsid w:val="77AF64E3"/>
    <w:rsid w:val="78AD1F12"/>
    <w:rsid w:val="790C1713"/>
    <w:rsid w:val="79A4194C"/>
    <w:rsid w:val="79AC0800"/>
    <w:rsid w:val="79FF1CFB"/>
    <w:rsid w:val="7A6D7F94"/>
    <w:rsid w:val="7AA54A68"/>
    <w:rsid w:val="7AF67F85"/>
    <w:rsid w:val="7C1E59E5"/>
    <w:rsid w:val="7D5D41EC"/>
    <w:rsid w:val="7EC677EC"/>
    <w:rsid w:val="7F31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8"/>
    <w:qFormat/>
    <w:uiPriority w:val="99"/>
    <w:rPr>
      <w:kern w:val="2"/>
      <w:sz w:val="18"/>
      <w:szCs w:val="18"/>
    </w:rPr>
  </w:style>
  <w:style w:type="character" w:customStyle="1" w:styleId="45">
    <w:name w:val="页脚 字符"/>
    <w:link w:val="17"/>
    <w:qFormat/>
    <w:uiPriority w:val="99"/>
    <w:rPr>
      <w:rFonts w:ascii="宋体"/>
      <w:kern w:val="2"/>
      <w:sz w:val="18"/>
      <w:szCs w:val="18"/>
    </w:rPr>
  </w:style>
  <w:style w:type="character" w:customStyle="1" w:styleId="46">
    <w:name w:val="批注框文本 字符"/>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Subtle Reference"/>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autoRedefine/>
    <w:semiHidden/>
    <w:qFormat/>
    <w:uiPriority w:val="0"/>
    <w:pPr>
      <w:adjustRightInd/>
      <w:spacing w:line="240" w:lineRule="auto"/>
      <w:jc w:val="left"/>
    </w:pPr>
    <w:rPr>
      <w:bCs/>
      <w:iCs/>
    </w:rPr>
  </w:style>
  <w:style w:type="paragraph" w:customStyle="1" w:styleId="144">
    <w:name w:val="目录 31"/>
    <w:basedOn w:val="1"/>
    <w:next w:val="1"/>
    <w:autoRedefine/>
    <w:semiHidden/>
    <w:qFormat/>
    <w:uiPriority w:val="0"/>
    <w:pPr>
      <w:spacing w:line="240" w:lineRule="auto"/>
    </w:pPr>
    <w:rPr>
      <w:rFonts w:ascii="宋体" w:hAnsi="宋体"/>
      <w:iCs/>
    </w:rPr>
  </w:style>
  <w:style w:type="paragraph" w:customStyle="1" w:styleId="145">
    <w:name w:val="目录 41"/>
    <w:basedOn w:val="1"/>
    <w:next w:val="1"/>
    <w:autoRedefine/>
    <w:semiHidden/>
    <w:qFormat/>
    <w:uiPriority w:val="0"/>
    <w:pPr>
      <w:adjustRightInd/>
      <w:spacing w:line="240" w:lineRule="auto"/>
      <w:jc w:val="left"/>
    </w:pPr>
  </w:style>
  <w:style w:type="paragraph" w:customStyle="1" w:styleId="146">
    <w:name w:val="目录 51"/>
    <w:basedOn w:val="1"/>
    <w:next w:val="1"/>
    <w:autoRedefine/>
    <w:semiHidden/>
    <w:qFormat/>
    <w:uiPriority w:val="0"/>
    <w:pPr>
      <w:spacing w:line="240" w:lineRule="auto"/>
    </w:pPr>
    <w:rPr>
      <w:rFonts w:ascii="宋体" w:hAnsi="宋体"/>
    </w:rPr>
  </w:style>
  <w:style w:type="paragraph" w:customStyle="1" w:styleId="147">
    <w:name w:val="目录 61"/>
    <w:basedOn w:val="1"/>
    <w:next w:val="1"/>
    <w:autoRedefine/>
    <w:semiHidden/>
    <w:qFormat/>
    <w:uiPriority w:val="0"/>
    <w:pPr>
      <w:adjustRightInd/>
      <w:spacing w:line="240" w:lineRule="auto"/>
      <w:jc w:val="left"/>
    </w:pPr>
  </w:style>
  <w:style w:type="paragraph" w:customStyle="1" w:styleId="148">
    <w:name w:val="目录 71"/>
    <w:basedOn w:val="147"/>
    <w:autoRedefine/>
    <w:semiHidden/>
    <w:qFormat/>
    <w:uiPriority w:val="0"/>
    <w:pPr>
      <w:ind w:left="1260"/>
    </w:pPr>
  </w:style>
  <w:style w:type="paragraph" w:customStyle="1" w:styleId="149">
    <w:name w:val="目录 81"/>
    <w:basedOn w:val="148"/>
    <w:autoRedefine/>
    <w:semiHidden/>
    <w:qFormat/>
    <w:uiPriority w:val="0"/>
    <w:pPr>
      <w:ind w:left="1470"/>
    </w:pPr>
  </w:style>
  <w:style w:type="paragraph" w:customStyle="1" w:styleId="150">
    <w:name w:val="目录 91"/>
    <w:basedOn w:val="149"/>
    <w:autoRedefine/>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F810BC60A84B81A6C770E03FC672A2"/>
        <w:style w:val=""/>
        <w:category>
          <w:name w:val="常规"/>
          <w:gallery w:val="placeholder"/>
        </w:category>
        <w:types>
          <w:type w:val="bbPlcHdr"/>
        </w:types>
        <w:behaviors>
          <w:behavior w:val="content"/>
        </w:behaviors>
        <w:description w:val=""/>
        <w:guid w:val="{FE02C55F-D150-478D-A9A5-0186A1A83192}"/>
      </w:docPartPr>
      <w:docPartBody>
        <w:p w14:paraId="356A5691">
          <w:pPr>
            <w:pStyle w:val="5"/>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81A"/>
    <w:rsid w:val="0016181A"/>
    <w:rsid w:val="00280796"/>
    <w:rsid w:val="006665C9"/>
    <w:rsid w:val="00A358DF"/>
    <w:rsid w:val="00D30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3F810BC60A84B81A6C770E03FC672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EC02FFEC4DE46618CE138BC97EACD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F10AEF82D6D4F4F9C769483D536A91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10</Pages>
  <Words>2136</Words>
  <Characters>2364</Characters>
  <Lines>48</Lines>
  <Paragraphs>13</Paragraphs>
  <TotalTime>0</TotalTime>
  <ScaleCrop>false</ScaleCrop>
  <LinksUpToDate>false</LinksUpToDate>
  <CharactersWithSpaces>2423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2025-04-26T07:27:00Z</dcterms:created>
  <dc:creator>Jianyi Huang</dc:creator>
  <dc:description>&lt;config cover="true" show_menu="true" version="1.0.0" doctype="SDKXY"&gt;_x000d_
&lt;/config&gt;</dc:description>
  <cp:lastModifiedBy>王宏</cp:lastModifiedBy>
  <cp:lastPrinted>2021-02-02T08:22:00Z</cp:lastPrinted>
  <dcterms:modified xsi:type="dcterms:W3CDTF">2025-10-27T08:50:08Z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eyJoZGlkIjoiOTIyNzJiNWRmMTViMDUxYzJlOGE1ZmIyZjc1MDEyZGEiLCJ1c2VySWQiOiI3OTk1OTQwNjcifQ==</vt:lpwstr>
  </property>
  <property fmtid="{D5CDD505-2E9C-101B-9397-08002B2CF9AE}" pid="16" name="KSOProductBuildVer">
    <vt:lpwstr>2052-12.1.0.23125</vt:lpwstr>
  </property>
  <property fmtid="{D5CDD505-2E9C-101B-9397-08002B2CF9AE}" pid="17" name="ICV">
    <vt:lpwstr>A30C2BEBB02B4030816E82C94804B5C9_12</vt:lpwstr>
  </property>
</Properties>
</file>