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29.06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29.060.01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D 44"/>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D 44</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9"/>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0129</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电力电缆沟跨越河道围堰及河堤变形动态监测操作指引"/>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电力电缆沟跨越河道围堰及河堤变形动态监测操作指引</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Operational Guidelines for Dynamic Monitoring of Deformation of Riverbank and Cofferdam During Power Cable Trench Crossing Riverway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Operational Guidelines for Dynamic Monitoring of Deformation of Riverbank and Cofferdam During Power Cable Trench Crossing Riverways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364612B4">
      <w:pPr>
        <w:pStyle w:val="19"/>
        <w:tabs>
          <w:tab w:val="right" w:leader="dot" w:pos="9354"/>
        </w:tabs>
      </w:pPr>
      <w:r>
        <w:fldChar w:fldCharType="begin"/>
      </w:r>
      <w:r>
        <w:instrText xml:space="preserve"> TOC \o "1-1" \h </w:instrText>
      </w:r>
      <w:r>
        <w:fldChar w:fldCharType="separate"/>
      </w:r>
      <w:r>
        <w:fldChar w:fldCharType="begin"/>
      </w:r>
      <w:r>
        <w:instrText xml:space="preserve"> HYPERLINK \l _Toc5205 </w:instrText>
      </w:r>
      <w:r>
        <w:fldChar w:fldCharType="separate"/>
      </w:r>
      <w:r>
        <w:rPr>
          <w:spacing w:val="320"/>
        </w:rPr>
        <w:t>前</w:t>
      </w:r>
      <w:r>
        <w:t>言</w:t>
      </w:r>
      <w:r>
        <w:tab/>
      </w:r>
      <w:r>
        <w:fldChar w:fldCharType="begin"/>
      </w:r>
      <w:r>
        <w:instrText xml:space="preserve"> PAGEREF _Toc5205 \h </w:instrText>
      </w:r>
      <w:r>
        <w:fldChar w:fldCharType="separate"/>
      </w:r>
      <w:r>
        <w:t>III</w:t>
      </w:r>
      <w:r>
        <w:fldChar w:fldCharType="end"/>
      </w:r>
      <w:r>
        <w:fldChar w:fldCharType="end"/>
      </w:r>
    </w:p>
    <w:p w14:paraId="7B503580">
      <w:pPr>
        <w:pStyle w:val="19"/>
        <w:tabs>
          <w:tab w:val="right" w:leader="dot" w:pos="9354"/>
        </w:tabs>
      </w:pPr>
      <w:r>
        <w:fldChar w:fldCharType="begin"/>
      </w:r>
      <w:r>
        <w:instrText xml:space="preserve"> HYPERLINK \l _Toc2776 </w:instrText>
      </w:r>
      <w:r>
        <w:fldChar w:fldCharType="separate"/>
      </w:r>
      <w:r>
        <w:rPr>
          <w:spacing w:val="320"/>
        </w:rPr>
        <w:t>引</w:t>
      </w:r>
      <w:r>
        <w:t>言</w:t>
      </w:r>
      <w:r>
        <w:tab/>
      </w:r>
      <w:r>
        <w:fldChar w:fldCharType="begin"/>
      </w:r>
      <w:r>
        <w:instrText xml:space="preserve"> PAGEREF _Toc2776 \h </w:instrText>
      </w:r>
      <w:r>
        <w:fldChar w:fldCharType="separate"/>
      </w:r>
      <w:r>
        <w:t>V</w:t>
      </w:r>
      <w:r>
        <w:fldChar w:fldCharType="end"/>
      </w:r>
      <w:r>
        <w:fldChar w:fldCharType="end"/>
      </w:r>
    </w:p>
    <w:p w14:paraId="5B94314B">
      <w:pPr>
        <w:pStyle w:val="19"/>
        <w:tabs>
          <w:tab w:val="right" w:leader="dot" w:pos="9354"/>
        </w:tabs>
      </w:pPr>
      <w:r>
        <w:fldChar w:fldCharType="begin"/>
      </w:r>
      <w:r>
        <w:instrText xml:space="preserve"> HYPERLINK \l _Toc1016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_Toc1016 \h </w:instrText>
      </w:r>
      <w:r>
        <w:fldChar w:fldCharType="separate"/>
      </w:r>
      <w:r>
        <w:t>1</w:t>
      </w:r>
      <w:r>
        <w:fldChar w:fldCharType="end"/>
      </w:r>
      <w:r>
        <w:fldChar w:fldCharType="end"/>
      </w:r>
    </w:p>
    <w:p w14:paraId="5F4001C4">
      <w:pPr>
        <w:pStyle w:val="19"/>
        <w:tabs>
          <w:tab w:val="right" w:leader="dot" w:pos="9354"/>
        </w:tabs>
      </w:pPr>
      <w:r>
        <w:fldChar w:fldCharType="begin"/>
      </w:r>
      <w:r>
        <w:instrText xml:space="preserve"> HYPERLINK \l _Toc30928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_Toc30928 \h </w:instrText>
      </w:r>
      <w:r>
        <w:fldChar w:fldCharType="separate"/>
      </w:r>
      <w:r>
        <w:t>1</w:t>
      </w:r>
      <w:r>
        <w:fldChar w:fldCharType="end"/>
      </w:r>
      <w:r>
        <w:fldChar w:fldCharType="end"/>
      </w:r>
    </w:p>
    <w:p w14:paraId="1F2CC62D">
      <w:pPr>
        <w:pStyle w:val="19"/>
        <w:tabs>
          <w:tab w:val="right" w:leader="dot" w:pos="9354"/>
        </w:tabs>
      </w:pPr>
      <w:r>
        <w:fldChar w:fldCharType="begin"/>
      </w:r>
      <w:r>
        <w:instrText xml:space="preserve"> HYPERLINK \l _Toc22286 </w:instrText>
      </w:r>
      <w:r>
        <w:fldChar w:fldCharType="separate"/>
      </w:r>
      <w:r>
        <w:rPr>
          <w:rFonts w:hint="eastAsia"/>
          <w:szCs w:val="21"/>
        </w:rPr>
        <w:t>3 术语和定义</w:t>
      </w:r>
      <w:r>
        <w:tab/>
      </w:r>
      <w:r>
        <w:fldChar w:fldCharType="begin"/>
      </w:r>
      <w:r>
        <w:instrText xml:space="preserve"> PAGEREF _Toc22286 \h </w:instrText>
      </w:r>
      <w:r>
        <w:fldChar w:fldCharType="separate"/>
      </w:r>
      <w:r>
        <w:t>1</w:t>
      </w:r>
      <w:r>
        <w:fldChar w:fldCharType="end"/>
      </w:r>
      <w:r>
        <w:fldChar w:fldCharType="end"/>
      </w:r>
    </w:p>
    <w:p w14:paraId="442E8F8D">
      <w:pPr>
        <w:pStyle w:val="19"/>
        <w:tabs>
          <w:tab w:val="right" w:leader="dot" w:pos="9354"/>
        </w:tabs>
      </w:pPr>
      <w:r>
        <w:fldChar w:fldCharType="begin"/>
      </w:r>
      <w:r>
        <w:instrText xml:space="preserve"> HYPERLINK \l _Toc11699 </w:instrText>
      </w:r>
      <w:r>
        <w:fldChar w:fldCharType="separate"/>
      </w:r>
      <w:r>
        <w:rPr>
          <w:rFonts w:hint="eastAsia"/>
          <w:szCs w:val="21"/>
          <w:lang w:val="en-US" w:eastAsia="zh-CN"/>
        </w:rPr>
        <w:t>4基本要求</w:t>
      </w:r>
      <w:r>
        <w:tab/>
      </w:r>
      <w:r>
        <w:fldChar w:fldCharType="begin"/>
      </w:r>
      <w:r>
        <w:instrText xml:space="preserve"> PAGEREF _Toc11699 \h </w:instrText>
      </w:r>
      <w:r>
        <w:fldChar w:fldCharType="separate"/>
      </w:r>
      <w:r>
        <w:t>1</w:t>
      </w:r>
      <w:r>
        <w:fldChar w:fldCharType="end"/>
      </w:r>
      <w:r>
        <w:fldChar w:fldCharType="end"/>
      </w:r>
    </w:p>
    <w:p w14:paraId="35D655E3">
      <w:pPr>
        <w:pStyle w:val="19"/>
        <w:tabs>
          <w:tab w:val="right" w:leader="dot" w:pos="9354"/>
        </w:tabs>
      </w:pPr>
      <w:r>
        <w:fldChar w:fldCharType="begin"/>
      </w:r>
      <w:r>
        <w:instrText xml:space="preserve"> HYPERLINK \l _Toc7835 </w:instrText>
      </w:r>
      <w:r>
        <w:fldChar w:fldCharType="separate"/>
      </w:r>
      <w:r>
        <w:rPr>
          <w:rFonts w:hint="eastAsia"/>
          <w:szCs w:val="21"/>
          <w:lang w:val="en-US" w:eastAsia="zh-CN"/>
        </w:rPr>
        <w:t>5技术要求</w:t>
      </w:r>
      <w:r>
        <w:tab/>
      </w:r>
      <w:r>
        <w:fldChar w:fldCharType="begin"/>
      </w:r>
      <w:r>
        <w:instrText xml:space="preserve"> PAGEREF _Toc7835 \h </w:instrText>
      </w:r>
      <w:r>
        <w:fldChar w:fldCharType="separate"/>
      </w:r>
      <w:r>
        <w:t>2</w:t>
      </w:r>
      <w:r>
        <w:fldChar w:fldCharType="end"/>
      </w:r>
      <w:r>
        <w:fldChar w:fldCharType="end"/>
      </w:r>
    </w:p>
    <w:p w14:paraId="7B2D042B">
      <w:pPr>
        <w:pStyle w:val="19"/>
        <w:tabs>
          <w:tab w:val="right" w:leader="dot" w:pos="9354"/>
        </w:tabs>
      </w:pPr>
      <w:r>
        <w:fldChar w:fldCharType="begin"/>
      </w:r>
      <w:r>
        <w:instrText xml:space="preserve"> HYPERLINK \l _Toc21133 </w:instrText>
      </w:r>
      <w:r>
        <w:fldChar w:fldCharType="separate"/>
      </w:r>
      <w:r>
        <w:rPr>
          <w:rFonts w:hint="eastAsia"/>
          <w:szCs w:val="21"/>
          <w:lang w:val="en-US" w:eastAsia="zh-CN"/>
        </w:rPr>
        <w:t>6实施步骤</w:t>
      </w:r>
      <w:r>
        <w:tab/>
      </w:r>
      <w:r>
        <w:fldChar w:fldCharType="begin"/>
      </w:r>
      <w:r>
        <w:instrText xml:space="preserve"> PAGEREF _Toc21133 \h </w:instrText>
      </w:r>
      <w:r>
        <w:fldChar w:fldCharType="separate"/>
      </w:r>
      <w:r>
        <w:t>2</w:t>
      </w:r>
      <w:r>
        <w:fldChar w:fldCharType="end"/>
      </w:r>
      <w:r>
        <w:fldChar w:fldCharType="end"/>
      </w:r>
    </w:p>
    <w:p w14:paraId="17393F43">
      <w:pPr>
        <w:pStyle w:val="19"/>
        <w:tabs>
          <w:tab w:val="right" w:leader="dot" w:pos="9354"/>
        </w:tabs>
      </w:pPr>
      <w:r>
        <w:fldChar w:fldCharType="begin"/>
      </w:r>
      <w:r>
        <w:instrText xml:space="preserve"> HYPERLINK \l _Toc13097 </w:instrText>
      </w:r>
      <w:r>
        <w:fldChar w:fldCharType="separate"/>
      </w:r>
      <w:r>
        <w:rPr>
          <w:rFonts w:hint="eastAsia"/>
          <w:szCs w:val="21"/>
          <w:lang w:val="en-US" w:eastAsia="zh-CN"/>
        </w:rPr>
        <w:t>7监督与评估</w:t>
      </w:r>
      <w:r>
        <w:tab/>
      </w:r>
      <w:r>
        <w:fldChar w:fldCharType="begin"/>
      </w:r>
      <w:r>
        <w:instrText xml:space="preserve"> PAGEREF _Toc13097 \h </w:instrText>
      </w:r>
      <w:r>
        <w:fldChar w:fldCharType="separate"/>
      </w:r>
      <w:r>
        <w:t>2</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5205"/>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本文件起草单位：国网江苏省电力有限公司南京供电分公司</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张佳</w:t>
      </w:r>
      <w:bookmarkStart w:id="57" w:name="_GoBack"/>
      <w:bookmarkEnd w:id="57"/>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776"/>
      <w:bookmarkStart w:id="27" w:name="BookMark3"/>
      <w:r>
        <w:rPr>
          <w:spacing w:val="320"/>
        </w:rPr>
        <w:t>引</w:t>
      </w:r>
      <w:r>
        <w:t>言</w:t>
      </w:r>
      <w:bookmarkEnd w:id="25"/>
      <w:bookmarkEnd w:id="26"/>
    </w:p>
    <w:p w14:paraId="577F6EE3">
      <w:pPr>
        <w:pStyle w:val="57"/>
        <w:spacing w:line="360" w:lineRule="auto"/>
        <w:ind w:left="0" w:leftChars="0" w:firstLine="420" w:firstLineChars="200"/>
        <w:rPr>
          <w:rFonts w:hint="eastAsia"/>
        </w:rPr>
      </w:pPr>
      <w:r>
        <w:rPr>
          <w:rFonts w:hint="eastAsia"/>
        </w:rPr>
        <w:t>在全球基础设施建设和能源传输网络快速发展的背景下，电力电缆沟跨越河道工程日益增多，围堰及河堤的变形监测成为保障工程安全与河道行洪能力的关键环节。</w:t>
      </w:r>
    </w:p>
    <w:p w14:paraId="10A83832">
      <w:pPr>
        <w:pStyle w:val="57"/>
        <w:spacing w:line="360" w:lineRule="auto"/>
        <w:ind w:left="0" w:leftChars="0" w:firstLine="420" w:firstLineChars="200"/>
        <w:rPr>
          <w:rFonts w:hint="eastAsia"/>
        </w:rPr>
      </w:pPr>
      <w:r>
        <w:rPr>
          <w:rFonts w:hint="eastAsia"/>
        </w:rPr>
        <w:t>传统监测方式存在数据采集频率低、实时性差、分析手段单一等问题，难以满足复杂地质条件下的动态监测需求。本文件基于数字化、智能化监测技术，系统规范了电力电缆沟跨越河道围堰及河堤变形的动态监测流程，从数据采集与传输、设备选型与校准、数据分析与预警到成果评估，形成全生命周期管理标准。通过引入高精度传感器、物联网通信及大数据分析技术，实现变形数据的实时感知、智能分析与风险预警，为工程安全运行提供科学依据。本标准的实施，将有效提升河道工程监测水平，助力能源基础设施与生态环境的协调发展，符合国家关于推进新型基础设施建设的战略要求。</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电力电缆沟跨越河道围堰及河堤变形动态监测操作指引</w:t>
          </w:r>
        </w:p>
      </w:sdtContent>
    </w:sdt>
    <w:bookmarkEnd w:id="29"/>
    <w:p w14:paraId="1339BF1A">
      <w:pPr>
        <w:pStyle w:val="105"/>
        <w:spacing w:before="240" w:after="240" w:line="360" w:lineRule="auto"/>
      </w:pPr>
      <w:bookmarkStart w:id="30" w:name="_Toc26986530"/>
      <w:bookmarkStart w:id="31" w:name="_Toc1016"/>
      <w:bookmarkStart w:id="32" w:name="_Toc26986771"/>
      <w:bookmarkStart w:id="33" w:name="_Toc197342207"/>
      <w:bookmarkStart w:id="34" w:name="_Toc26718930"/>
      <w:bookmarkStart w:id="35" w:name="_Toc17233333"/>
      <w:bookmarkStart w:id="36" w:name="_Toc17233325"/>
      <w:bookmarkStart w:id="37" w:name="_Toc26648465"/>
      <w:bookmarkStart w:id="38" w:name="_Toc97192964"/>
      <w:bookmarkStart w:id="39" w:name="_Toc24884218"/>
      <w:bookmarkStart w:id="40" w:name="_Toc24884211"/>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9"/>
      <w:bookmarkStart w:id="42" w:name="_Toc24884212"/>
      <w:bookmarkStart w:id="43" w:name="_Toc17233326"/>
      <w:bookmarkStart w:id="44" w:name="_Toc26648466"/>
      <w:bookmarkStart w:id="45" w:name="_Toc17233334"/>
      <w:r>
        <w:rPr>
          <w:rFonts w:hint="eastAsia"/>
          <w:lang w:eastAsia="zh-CN"/>
        </w:rPr>
        <w:t>本文件规定了企业人力资源数字化转型的实施指南，包括数据管理与分析、数字化工具与应用、员工体验与参与度提升、安全与隐私保护等方面的技术要求与实施步骤。本文件适用于各类企业进行人力资源数字化转型的规划、设计、实施与评估。</w:t>
      </w:r>
    </w:p>
    <w:p w14:paraId="24B680AA">
      <w:pPr>
        <w:pStyle w:val="105"/>
        <w:spacing w:before="240" w:after="240" w:line="360" w:lineRule="auto"/>
        <w:rPr>
          <w:rFonts w:hint="eastAsia"/>
          <w:szCs w:val="21"/>
        </w:rPr>
      </w:pPr>
      <w:bookmarkStart w:id="46" w:name="_Toc26986531"/>
      <w:bookmarkStart w:id="47" w:name="_Toc97192965"/>
      <w:bookmarkStart w:id="48" w:name="_Toc30928"/>
      <w:bookmarkStart w:id="49" w:name="_Toc26986772"/>
      <w:bookmarkStart w:id="50" w:name="_Toc197342208"/>
      <w:bookmarkStart w:id="51" w:name="_Toc26718931"/>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86F2A8">
      <w:pPr>
        <w:pStyle w:val="57"/>
        <w:spacing w:line="360" w:lineRule="auto"/>
        <w:ind w:firstLine="420"/>
        <w:rPr>
          <w:rFonts w:hint="eastAsia"/>
        </w:rPr>
      </w:pPr>
      <w:r>
        <w:rPr>
          <w:rFonts w:hint="eastAsia"/>
        </w:rPr>
        <w:t>SL 386-2007</w:t>
      </w:r>
      <w:r>
        <w:rPr>
          <w:rFonts w:hint="eastAsia"/>
          <w:lang w:val="en-US" w:eastAsia="zh-CN"/>
        </w:rPr>
        <w:t xml:space="preserve"> </w:t>
      </w:r>
      <w:r>
        <w:rPr>
          <w:rFonts w:hint="eastAsia"/>
        </w:rPr>
        <w:t>水利水电工程边坡工程监测技术规范</w:t>
      </w:r>
    </w:p>
    <w:p w14:paraId="443E8B92">
      <w:pPr>
        <w:pStyle w:val="57"/>
        <w:spacing w:line="360" w:lineRule="auto"/>
        <w:ind w:firstLine="420"/>
        <w:rPr>
          <w:rFonts w:hint="eastAsia"/>
        </w:rPr>
      </w:pPr>
      <w:r>
        <w:rPr>
          <w:rFonts w:hint="eastAsia"/>
        </w:rPr>
        <w:t>GB 50288-2013</w:t>
      </w:r>
      <w:r>
        <w:rPr>
          <w:rFonts w:hint="eastAsia"/>
          <w:lang w:val="en-US" w:eastAsia="zh-CN"/>
        </w:rPr>
        <w:t xml:space="preserve"> </w:t>
      </w:r>
      <w:r>
        <w:rPr>
          <w:rFonts w:hint="eastAsia"/>
        </w:rPr>
        <w:t>灌溉与排水工程设计规范</w:t>
      </w:r>
    </w:p>
    <w:p w14:paraId="1DE695C5">
      <w:pPr>
        <w:pStyle w:val="57"/>
        <w:spacing w:line="360" w:lineRule="auto"/>
        <w:ind w:firstLine="420"/>
        <w:rPr>
          <w:rFonts w:hint="eastAsia"/>
        </w:rPr>
      </w:pPr>
      <w:r>
        <w:rPr>
          <w:rFonts w:hint="eastAsia"/>
        </w:rPr>
        <w:t>GB/T 23001-2017 信息化和工业化融合管理体系要求</w:t>
      </w:r>
    </w:p>
    <w:p w14:paraId="15EE584A">
      <w:pPr>
        <w:pStyle w:val="57"/>
        <w:spacing w:line="360" w:lineRule="auto"/>
        <w:ind w:firstLine="420"/>
        <w:rPr>
          <w:rFonts w:hint="eastAsia"/>
        </w:rPr>
      </w:pPr>
      <w:r>
        <w:rPr>
          <w:rFonts w:hint="eastAsia"/>
        </w:rPr>
        <w:t>GB/T 35273-2020 信息安全技术 个人信息安全规范</w:t>
      </w:r>
    </w:p>
    <w:p w14:paraId="488D16D6">
      <w:pPr>
        <w:pStyle w:val="57"/>
        <w:spacing w:line="360" w:lineRule="auto"/>
        <w:ind w:firstLine="420"/>
        <w:rPr>
          <w:rFonts w:hint="eastAsia"/>
        </w:rPr>
      </w:pPr>
      <w:r>
        <w:rPr>
          <w:rFonts w:hint="eastAsia"/>
        </w:rPr>
        <w:t>GB/T 22239-2019 信息安全技术 网络安全等级保护基本要求</w:t>
      </w:r>
    </w:p>
    <w:bookmarkEnd w:id="28"/>
    <w:p w14:paraId="77D14E71">
      <w:pPr>
        <w:pStyle w:val="105"/>
        <w:spacing w:before="240" w:after="240" w:line="360" w:lineRule="auto"/>
        <w:rPr>
          <w:rFonts w:hint="eastAsia"/>
          <w:szCs w:val="21"/>
        </w:rPr>
      </w:pPr>
      <w:bookmarkStart w:id="52" w:name="_Toc22286"/>
      <w:r>
        <w:rPr>
          <w:rFonts w:hint="eastAsia"/>
          <w:szCs w:val="21"/>
        </w:rPr>
        <w:t>术语和定义</w:t>
      </w:r>
      <w:bookmarkEnd w:id="52"/>
    </w:p>
    <w:p w14:paraId="3C101D90">
      <w:pPr>
        <w:pStyle w:val="57"/>
        <w:spacing w:line="360" w:lineRule="auto"/>
        <w:ind w:firstLine="420"/>
        <w:rPr>
          <w:rFonts w:hint="eastAsia"/>
        </w:rPr>
      </w:pPr>
      <w:r>
        <w:rPr>
          <w:rFonts w:hint="eastAsia"/>
        </w:rPr>
        <w:t>下列术语和定义适用于本文件。</w:t>
      </w:r>
    </w:p>
    <w:p w14:paraId="4D827C3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电力电缆沟跨越河道围堰及河堤变形</w:t>
      </w:r>
    </w:p>
    <w:p w14:paraId="084C9E99">
      <w:pPr>
        <w:pStyle w:val="57"/>
        <w:spacing w:line="360" w:lineRule="auto"/>
        <w:ind w:firstLine="420"/>
        <w:rPr>
          <w:rFonts w:hint="eastAsia"/>
          <w:lang w:val="en-US" w:eastAsia="zh-CN"/>
        </w:rPr>
      </w:pPr>
      <w:r>
        <w:rPr>
          <w:rFonts w:hint="eastAsia"/>
          <w:lang w:val="en-US" w:eastAsia="zh-CN"/>
        </w:rPr>
        <w:t>指电力电缆沟在跨越河道过程中，围堰及河堤因自然因素或人为活动导致的形状、位置或尺寸的变化。</w:t>
      </w:r>
    </w:p>
    <w:p w14:paraId="4BFB697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动态监测</w:t>
      </w:r>
    </w:p>
    <w:p w14:paraId="067A76C2">
      <w:pPr>
        <w:pStyle w:val="57"/>
        <w:spacing w:line="360" w:lineRule="auto"/>
        <w:ind w:firstLine="420"/>
        <w:rPr>
          <w:rFonts w:hint="eastAsia"/>
          <w:lang w:val="en-US" w:eastAsia="zh-CN"/>
        </w:rPr>
      </w:pPr>
      <w:r>
        <w:rPr>
          <w:rFonts w:hint="eastAsia"/>
          <w:lang w:val="en-US" w:eastAsia="zh-CN"/>
        </w:rPr>
        <w:t>通过连续或定期的数据采集，对监测对象进行实时或近实时的状态跟踪与分析。</w:t>
      </w:r>
    </w:p>
    <w:p w14:paraId="783F158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监测点</w:t>
      </w:r>
    </w:p>
    <w:p w14:paraId="17C7DEAF">
      <w:pPr>
        <w:pStyle w:val="57"/>
        <w:spacing w:line="360" w:lineRule="auto"/>
        <w:ind w:firstLine="420"/>
        <w:rPr>
          <w:rFonts w:hint="eastAsia"/>
          <w:lang w:val="en-US" w:eastAsia="zh-CN"/>
        </w:rPr>
      </w:pPr>
      <w:r>
        <w:rPr>
          <w:rFonts w:hint="eastAsia"/>
          <w:lang w:val="en-US" w:eastAsia="zh-CN"/>
        </w:rPr>
        <w:t>为获取变形数据而布设在围堰及河堤上的特定位置。</w:t>
      </w:r>
    </w:p>
    <w:p w14:paraId="4352FC23">
      <w:pPr>
        <w:pStyle w:val="105"/>
        <w:spacing w:before="240" w:after="240" w:line="360" w:lineRule="auto"/>
        <w:rPr>
          <w:rFonts w:hint="eastAsia"/>
          <w:szCs w:val="21"/>
          <w:lang w:val="en-US" w:eastAsia="zh-CN"/>
        </w:rPr>
      </w:pPr>
      <w:bookmarkStart w:id="53" w:name="_Toc11699"/>
      <w:r>
        <w:rPr>
          <w:rFonts w:hint="eastAsia"/>
          <w:szCs w:val="21"/>
          <w:lang w:val="en-US" w:eastAsia="zh-CN"/>
        </w:rPr>
        <w:t>基本要求</w:t>
      </w:r>
      <w:bookmarkEnd w:id="53"/>
    </w:p>
    <w:p w14:paraId="5943EC8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准确性</w:t>
      </w:r>
    </w:p>
    <w:p w14:paraId="352771A9">
      <w:pPr>
        <w:pStyle w:val="57"/>
        <w:spacing w:line="360" w:lineRule="auto"/>
        <w:ind w:firstLine="420"/>
        <w:rPr>
          <w:rFonts w:hint="eastAsia"/>
          <w:lang w:val="en-US" w:eastAsia="zh-CN"/>
        </w:rPr>
      </w:pPr>
      <w:r>
        <w:rPr>
          <w:rFonts w:hint="eastAsia"/>
          <w:lang w:val="en-US" w:eastAsia="zh-CN"/>
        </w:rPr>
        <w:t>监测数据应准确反映围堰及河堤的变形情况，误差控制在规定范围内。</w:t>
      </w:r>
    </w:p>
    <w:p w14:paraId="20FE875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实时性</w:t>
      </w:r>
    </w:p>
    <w:p w14:paraId="142E7954">
      <w:pPr>
        <w:pStyle w:val="57"/>
        <w:spacing w:line="360" w:lineRule="auto"/>
        <w:ind w:firstLine="420"/>
        <w:rPr>
          <w:rFonts w:hint="eastAsia"/>
          <w:lang w:val="en-US" w:eastAsia="zh-CN"/>
        </w:rPr>
      </w:pPr>
      <w:r>
        <w:rPr>
          <w:rFonts w:hint="eastAsia"/>
          <w:lang w:val="en-US" w:eastAsia="zh-CN"/>
        </w:rPr>
        <w:t>数据采集与传输应具备实时性，确保监测结果的及时性和有效性。</w:t>
      </w:r>
    </w:p>
    <w:p w14:paraId="7E033AF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安全性</w:t>
      </w:r>
    </w:p>
    <w:p w14:paraId="4048B4DB">
      <w:pPr>
        <w:pStyle w:val="57"/>
        <w:spacing w:line="360" w:lineRule="auto"/>
        <w:ind w:firstLine="420"/>
        <w:rPr>
          <w:rFonts w:hint="eastAsia"/>
          <w:lang w:val="en-US" w:eastAsia="zh-CN"/>
        </w:rPr>
      </w:pPr>
      <w:r>
        <w:rPr>
          <w:rFonts w:hint="eastAsia"/>
          <w:lang w:val="en-US" w:eastAsia="zh-CN"/>
        </w:rPr>
        <w:t>监测过程应确保人员、设备及环境的安全，防止发生安全事故。</w:t>
      </w:r>
    </w:p>
    <w:p w14:paraId="38EDD1A5">
      <w:pPr>
        <w:pStyle w:val="105"/>
        <w:spacing w:before="240" w:after="240" w:line="360" w:lineRule="auto"/>
        <w:rPr>
          <w:rFonts w:hint="eastAsia"/>
          <w:szCs w:val="21"/>
          <w:lang w:val="en-US" w:eastAsia="zh-CN"/>
        </w:rPr>
      </w:pPr>
      <w:bookmarkStart w:id="54" w:name="_Toc7835"/>
      <w:r>
        <w:rPr>
          <w:rFonts w:hint="eastAsia"/>
          <w:szCs w:val="21"/>
          <w:lang w:val="en-US" w:eastAsia="zh-CN"/>
        </w:rPr>
        <w:t>技术要求</w:t>
      </w:r>
      <w:bookmarkEnd w:id="54"/>
    </w:p>
    <w:p w14:paraId="182A2FD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数据采集与传输</w:t>
      </w:r>
    </w:p>
    <w:p w14:paraId="43430AFC">
      <w:pPr>
        <w:pStyle w:val="57"/>
        <w:spacing w:line="360" w:lineRule="auto"/>
        <w:ind w:firstLine="420"/>
        <w:rPr>
          <w:rFonts w:hint="eastAsia"/>
          <w:lang w:val="en-US" w:eastAsia="zh-CN"/>
        </w:rPr>
      </w:pPr>
      <w:r>
        <w:rPr>
          <w:rFonts w:hint="eastAsia"/>
          <w:lang w:val="en-US" w:eastAsia="zh-CN"/>
        </w:rPr>
        <w:t>一是数据采集频率，根据变形速率和监测需求确定，一般不低于每小时一次；二是数据传输方式，采用有线或无线传输方式，确保数据传输的稳定性和可靠性；三是数据格式，统一数据格式，便于后续处理与分析。</w:t>
      </w:r>
    </w:p>
    <w:p w14:paraId="74AA57F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监测设备与技术</w:t>
      </w:r>
    </w:p>
    <w:p w14:paraId="25634A60">
      <w:pPr>
        <w:pStyle w:val="57"/>
        <w:spacing w:line="360" w:lineRule="auto"/>
        <w:ind w:firstLine="420"/>
        <w:rPr>
          <w:rFonts w:hint="eastAsia"/>
          <w:lang w:val="en-US" w:eastAsia="zh-CN"/>
        </w:rPr>
      </w:pPr>
      <w:r>
        <w:rPr>
          <w:rFonts w:hint="eastAsia"/>
          <w:lang w:val="en-US" w:eastAsia="zh-CN"/>
        </w:rPr>
        <w:t>一是监测设备，选用高精度、高稳定性的监测仪器，如全站仪、GPS接收机、倾斜传感器等；二是监测技术，采用多种监测技术相结合的方式，提高监测结果的准确性和可靠性；三是设备校准，定期对监测设备进行校准，确保测量精度，监测设备精度需满足工程需求，校准周期依据设备类型与使用频率确定，一般不超过3个月。</w:t>
      </w:r>
    </w:p>
    <w:p w14:paraId="72B0A14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数据分析与处理</w:t>
      </w:r>
    </w:p>
    <w:p w14:paraId="5800DDFB">
      <w:pPr>
        <w:pStyle w:val="57"/>
        <w:spacing w:line="360" w:lineRule="auto"/>
        <w:ind w:firstLine="420"/>
        <w:rPr>
          <w:rFonts w:hint="eastAsia"/>
          <w:lang w:val="en-US" w:eastAsia="zh-CN"/>
        </w:rPr>
      </w:pPr>
      <w:r>
        <w:rPr>
          <w:rFonts w:hint="eastAsia"/>
          <w:lang w:val="en-US" w:eastAsia="zh-CN"/>
        </w:rPr>
        <w:t>一是数据分析方法，采用统计分析、时间序列分析、机器学习等方法对监测数据进行处理与分析；二是变形预测，基于历史数据和当前监测结果，建立变形预测模型，预测未来变形趋势；三是报警机制，设置变形阈值，当监测数据超过阈值时自动触发报警机制，数据分析采用合适算法，预测准确率不低于85%；设置报警机制，响应时间不超过1分钟。</w:t>
      </w:r>
    </w:p>
    <w:p w14:paraId="26B052FC">
      <w:pPr>
        <w:pStyle w:val="105"/>
        <w:spacing w:before="240" w:after="240" w:line="360" w:lineRule="auto"/>
        <w:rPr>
          <w:rFonts w:hint="eastAsia"/>
          <w:szCs w:val="21"/>
          <w:lang w:val="en-US" w:eastAsia="zh-CN"/>
        </w:rPr>
      </w:pPr>
      <w:bookmarkStart w:id="55" w:name="_Toc21133"/>
      <w:r>
        <w:rPr>
          <w:rFonts w:hint="eastAsia"/>
          <w:szCs w:val="21"/>
          <w:lang w:val="en-US" w:eastAsia="zh-CN"/>
        </w:rPr>
        <w:t>实施步骤</w:t>
      </w:r>
      <w:bookmarkEnd w:id="55"/>
    </w:p>
    <w:p w14:paraId="719F16D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监测点布设</w:t>
      </w:r>
    </w:p>
    <w:p w14:paraId="314131AE">
      <w:pPr>
        <w:pStyle w:val="57"/>
        <w:spacing w:line="360" w:lineRule="auto"/>
        <w:ind w:firstLine="420"/>
        <w:rPr>
          <w:rFonts w:hint="eastAsia"/>
          <w:lang w:val="en-US" w:eastAsia="zh-CN"/>
        </w:rPr>
      </w:pPr>
      <w:r>
        <w:rPr>
          <w:rFonts w:hint="eastAsia"/>
          <w:lang w:val="en-US" w:eastAsia="zh-CN"/>
        </w:rPr>
        <w:t>根据河道地形、地质条件及电缆沟走向，合理布设监测点，确保监测数据的全面性和代表性。</w:t>
      </w:r>
    </w:p>
    <w:p w14:paraId="1D975E94">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设备安装与调试</w:t>
      </w:r>
    </w:p>
    <w:p w14:paraId="5E9E210B">
      <w:pPr>
        <w:pStyle w:val="57"/>
        <w:spacing w:line="360" w:lineRule="auto"/>
        <w:ind w:firstLine="420"/>
        <w:rPr>
          <w:rFonts w:hint="eastAsia"/>
          <w:lang w:val="en-US" w:eastAsia="zh-CN"/>
        </w:rPr>
      </w:pPr>
      <w:r>
        <w:rPr>
          <w:rFonts w:hint="eastAsia"/>
          <w:lang w:val="en-US" w:eastAsia="zh-CN"/>
        </w:rPr>
        <w:t>按照设备说明书和监测方案要求，正确安装监测设备，并进行调试和校准，确保设备正常运行。</w:t>
      </w:r>
    </w:p>
    <w:p w14:paraId="061BDE7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数据采集与传输实施</w:t>
      </w:r>
    </w:p>
    <w:p w14:paraId="73BD59D7">
      <w:pPr>
        <w:pStyle w:val="57"/>
        <w:spacing w:line="360" w:lineRule="auto"/>
        <w:ind w:firstLine="420"/>
        <w:rPr>
          <w:rFonts w:hint="eastAsia"/>
          <w:lang w:val="en-US" w:eastAsia="zh-CN"/>
        </w:rPr>
      </w:pPr>
      <w:r>
        <w:rPr>
          <w:rFonts w:hint="eastAsia"/>
          <w:lang w:val="en-US" w:eastAsia="zh-CN"/>
        </w:rPr>
        <w:t>启动数据采集系统，按照设定的频率和格式进行数据采集与传输，确保数据的连续性和完整性。</w:t>
      </w:r>
    </w:p>
    <w:p w14:paraId="006FF1C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数据分析与报告生成</w:t>
      </w:r>
    </w:p>
    <w:p w14:paraId="262EBDB8">
      <w:pPr>
        <w:pStyle w:val="57"/>
        <w:spacing w:line="360" w:lineRule="auto"/>
        <w:ind w:firstLine="420"/>
        <w:rPr>
          <w:rFonts w:hint="eastAsia"/>
          <w:lang w:val="en-US" w:eastAsia="zh-CN"/>
        </w:rPr>
      </w:pPr>
      <w:r>
        <w:rPr>
          <w:rFonts w:hint="eastAsia"/>
          <w:lang w:val="en-US" w:eastAsia="zh-CN"/>
        </w:rPr>
        <w:t>对采集到的数据进行处理与分析，生成监测报告，包括变形情况、原因分析、预测结果及建议措施等内容。</w:t>
      </w:r>
    </w:p>
    <w:p w14:paraId="40726578">
      <w:pPr>
        <w:pStyle w:val="105"/>
        <w:spacing w:before="240" w:after="240" w:line="360" w:lineRule="auto"/>
        <w:rPr>
          <w:rFonts w:hint="eastAsia"/>
          <w:szCs w:val="21"/>
          <w:lang w:val="en-US" w:eastAsia="zh-CN"/>
        </w:rPr>
      </w:pPr>
      <w:bookmarkStart w:id="56" w:name="_Toc13097"/>
      <w:r>
        <w:rPr>
          <w:rFonts w:hint="eastAsia"/>
          <w:szCs w:val="21"/>
          <w:lang w:val="en-US" w:eastAsia="zh-CN"/>
        </w:rPr>
        <w:t>监督与评估</w:t>
      </w:r>
      <w:bookmarkEnd w:id="56"/>
    </w:p>
    <w:p w14:paraId="2EDE881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运行管理</w:t>
      </w:r>
    </w:p>
    <w:p w14:paraId="77EB79F6">
      <w:pPr>
        <w:pStyle w:val="57"/>
        <w:spacing w:line="360" w:lineRule="auto"/>
        <w:ind w:firstLine="420"/>
        <w:rPr>
          <w:rFonts w:hint="eastAsia"/>
          <w:lang w:val="en-US" w:eastAsia="zh-CN"/>
        </w:rPr>
      </w:pPr>
      <w:r>
        <w:rPr>
          <w:rFonts w:hint="eastAsia"/>
          <w:lang w:val="en-US" w:eastAsia="zh-CN"/>
        </w:rPr>
        <w:t>设立专门的监测管理团队，负责监测系统的日常运行和维护，定期记录运行数据，生成分析报告。</w:t>
      </w:r>
    </w:p>
    <w:p w14:paraId="13DBB85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绩效评估</w:t>
      </w:r>
    </w:p>
    <w:p w14:paraId="7BD048C1">
      <w:pPr>
        <w:pStyle w:val="57"/>
        <w:spacing w:line="360" w:lineRule="auto"/>
        <w:ind w:firstLine="420"/>
        <w:rPr>
          <w:rFonts w:hint="eastAsia"/>
          <w:lang w:val="en-US" w:eastAsia="zh-CN"/>
        </w:rPr>
      </w:pPr>
      <w:r>
        <w:rPr>
          <w:rFonts w:hint="eastAsia"/>
          <w:lang w:val="en-US" w:eastAsia="zh-CN"/>
        </w:rPr>
        <w:t>制定监测绩效评估指标体系，定期评估监测成效，根据评估结果调整监测策略和实施计划。</w:t>
      </w:r>
    </w:p>
    <w:p w14:paraId="624B803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监管要求与合规性检查</w:t>
      </w:r>
    </w:p>
    <w:p w14:paraId="14E2D39C">
      <w:pPr>
        <w:pStyle w:val="57"/>
        <w:spacing w:line="360" w:lineRule="auto"/>
        <w:ind w:firstLine="420"/>
        <w:rPr>
          <w:rFonts w:hint="eastAsia"/>
          <w:lang w:val="en-US" w:eastAsia="zh-CN"/>
        </w:rPr>
      </w:pPr>
      <w:r>
        <w:rPr>
          <w:rFonts w:hint="eastAsia"/>
          <w:lang w:val="en-US" w:eastAsia="zh-CN"/>
        </w:rPr>
        <w:t>遵守国家相关法律法规和行业标准要求，确保监测活动的合规性。</w:t>
      </w:r>
    </w:p>
    <w:p w14:paraId="2627DC9A">
      <w:pPr>
        <w:pStyle w:val="57"/>
        <w:spacing w:line="360" w:lineRule="auto"/>
        <w:ind w:firstLine="420"/>
        <w:rPr>
          <w:rFonts w:hint="eastAsia"/>
          <w:lang w:val="en-US" w:eastAsia="zh-CN"/>
        </w:rPr>
      </w:pPr>
      <w:r>
        <w:rPr>
          <w:rFonts w:hint="eastAsia"/>
          <w:lang w:val="en-US" w:eastAsia="zh-CN"/>
        </w:rPr>
        <w:t>定期接受监管部门的检查和评估，及时整改不符合项。</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0129—2025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0129—2025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0129—2025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0129—2025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607"/>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1987FE8"/>
    <w:rsid w:val="02063AB2"/>
    <w:rsid w:val="0227136C"/>
    <w:rsid w:val="02571F5F"/>
    <w:rsid w:val="02D45050"/>
    <w:rsid w:val="02EF39CF"/>
    <w:rsid w:val="03455F4E"/>
    <w:rsid w:val="035508BA"/>
    <w:rsid w:val="03B82117"/>
    <w:rsid w:val="03B86720"/>
    <w:rsid w:val="03D8291E"/>
    <w:rsid w:val="047B14FB"/>
    <w:rsid w:val="04B50EB1"/>
    <w:rsid w:val="04BC223F"/>
    <w:rsid w:val="04C133B2"/>
    <w:rsid w:val="04D644D2"/>
    <w:rsid w:val="0594649B"/>
    <w:rsid w:val="059B00A7"/>
    <w:rsid w:val="063A78C0"/>
    <w:rsid w:val="06450013"/>
    <w:rsid w:val="06604E4C"/>
    <w:rsid w:val="067676BD"/>
    <w:rsid w:val="082425D6"/>
    <w:rsid w:val="083D5267"/>
    <w:rsid w:val="09EA5159"/>
    <w:rsid w:val="0A4F1460"/>
    <w:rsid w:val="0A5B6057"/>
    <w:rsid w:val="0BAE0408"/>
    <w:rsid w:val="0BE1433A"/>
    <w:rsid w:val="0C796C68"/>
    <w:rsid w:val="0D704A07"/>
    <w:rsid w:val="0DCA11F6"/>
    <w:rsid w:val="0FC226D4"/>
    <w:rsid w:val="0FD22917"/>
    <w:rsid w:val="10352EA6"/>
    <w:rsid w:val="10853E2D"/>
    <w:rsid w:val="10D8319E"/>
    <w:rsid w:val="119836EC"/>
    <w:rsid w:val="11A5092B"/>
    <w:rsid w:val="123C051C"/>
    <w:rsid w:val="125E320E"/>
    <w:rsid w:val="127777A6"/>
    <w:rsid w:val="12D6271E"/>
    <w:rsid w:val="13225964"/>
    <w:rsid w:val="13611C3D"/>
    <w:rsid w:val="1367270D"/>
    <w:rsid w:val="142034CA"/>
    <w:rsid w:val="14B52807"/>
    <w:rsid w:val="15227E9D"/>
    <w:rsid w:val="16104199"/>
    <w:rsid w:val="165D4F05"/>
    <w:rsid w:val="16B94831"/>
    <w:rsid w:val="16E82A20"/>
    <w:rsid w:val="176C54EA"/>
    <w:rsid w:val="18115FA7"/>
    <w:rsid w:val="18C67773"/>
    <w:rsid w:val="194523AC"/>
    <w:rsid w:val="19996E8D"/>
    <w:rsid w:val="19CF06A0"/>
    <w:rsid w:val="1A287C64"/>
    <w:rsid w:val="1ACA4340"/>
    <w:rsid w:val="1BC616CD"/>
    <w:rsid w:val="1C931680"/>
    <w:rsid w:val="1D4B1F5B"/>
    <w:rsid w:val="1D525097"/>
    <w:rsid w:val="1D74500E"/>
    <w:rsid w:val="1D9A07EC"/>
    <w:rsid w:val="1E6B5C88"/>
    <w:rsid w:val="1F501AAA"/>
    <w:rsid w:val="1F554A44"/>
    <w:rsid w:val="1FF24E4E"/>
    <w:rsid w:val="202F16C0"/>
    <w:rsid w:val="207E61A3"/>
    <w:rsid w:val="213802C2"/>
    <w:rsid w:val="213A656E"/>
    <w:rsid w:val="22032E04"/>
    <w:rsid w:val="234E00AF"/>
    <w:rsid w:val="23AE5EF7"/>
    <w:rsid w:val="24125580"/>
    <w:rsid w:val="24286B52"/>
    <w:rsid w:val="250F386E"/>
    <w:rsid w:val="252630A0"/>
    <w:rsid w:val="258A1146"/>
    <w:rsid w:val="25956469"/>
    <w:rsid w:val="25F767DC"/>
    <w:rsid w:val="264439EB"/>
    <w:rsid w:val="26C358C3"/>
    <w:rsid w:val="274A7334"/>
    <w:rsid w:val="279462AC"/>
    <w:rsid w:val="280671AA"/>
    <w:rsid w:val="285919D0"/>
    <w:rsid w:val="28AC6949"/>
    <w:rsid w:val="28CB3F50"/>
    <w:rsid w:val="29172011"/>
    <w:rsid w:val="294206B6"/>
    <w:rsid w:val="29477285"/>
    <w:rsid w:val="29ED5A45"/>
    <w:rsid w:val="2A247DBB"/>
    <w:rsid w:val="2A4D10C0"/>
    <w:rsid w:val="2A6603D4"/>
    <w:rsid w:val="2AC944BF"/>
    <w:rsid w:val="2B41674B"/>
    <w:rsid w:val="2B4D4497"/>
    <w:rsid w:val="2BAF1907"/>
    <w:rsid w:val="2BFE65C2"/>
    <w:rsid w:val="2C7B4F1A"/>
    <w:rsid w:val="2C90587C"/>
    <w:rsid w:val="2CDE24A4"/>
    <w:rsid w:val="2CFB12A7"/>
    <w:rsid w:val="2D1B36F8"/>
    <w:rsid w:val="2DCF44E2"/>
    <w:rsid w:val="2E89643F"/>
    <w:rsid w:val="2F1A178D"/>
    <w:rsid w:val="2FBF58A6"/>
    <w:rsid w:val="2FC71A29"/>
    <w:rsid w:val="30185CCC"/>
    <w:rsid w:val="30234671"/>
    <w:rsid w:val="30FF50DE"/>
    <w:rsid w:val="31230DCD"/>
    <w:rsid w:val="33890C8F"/>
    <w:rsid w:val="33F61CAC"/>
    <w:rsid w:val="34980849"/>
    <w:rsid w:val="34CD1F56"/>
    <w:rsid w:val="34DF14AF"/>
    <w:rsid w:val="35BA60CE"/>
    <w:rsid w:val="36136B10"/>
    <w:rsid w:val="361909F0"/>
    <w:rsid w:val="36462E68"/>
    <w:rsid w:val="36B31C31"/>
    <w:rsid w:val="38844435"/>
    <w:rsid w:val="38DB1E98"/>
    <w:rsid w:val="39423DBA"/>
    <w:rsid w:val="39A24859"/>
    <w:rsid w:val="39AD1CD6"/>
    <w:rsid w:val="3A241712"/>
    <w:rsid w:val="3A451DB4"/>
    <w:rsid w:val="3A5F6E5C"/>
    <w:rsid w:val="3AD924FC"/>
    <w:rsid w:val="3AE07D2F"/>
    <w:rsid w:val="3B27385D"/>
    <w:rsid w:val="3B9C63F9"/>
    <w:rsid w:val="3C1E74E7"/>
    <w:rsid w:val="3D031FD4"/>
    <w:rsid w:val="3D09631F"/>
    <w:rsid w:val="3D65451B"/>
    <w:rsid w:val="3D8B21D4"/>
    <w:rsid w:val="3DBD4357"/>
    <w:rsid w:val="3DD31485"/>
    <w:rsid w:val="3DE6740A"/>
    <w:rsid w:val="3E6946ED"/>
    <w:rsid w:val="3EAD7F28"/>
    <w:rsid w:val="3F0062A9"/>
    <w:rsid w:val="3F9A4950"/>
    <w:rsid w:val="3FEB6F5A"/>
    <w:rsid w:val="401C07FB"/>
    <w:rsid w:val="421D3616"/>
    <w:rsid w:val="42293D69"/>
    <w:rsid w:val="427A2817"/>
    <w:rsid w:val="429D02B3"/>
    <w:rsid w:val="42EA346B"/>
    <w:rsid w:val="433E1A96"/>
    <w:rsid w:val="443D5731"/>
    <w:rsid w:val="44983428"/>
    <w:rsid w:val="45220F6C"/>
    <w:rsid w:val="456D21BF"/>
    <w:rsid w:val="45F60406"/>
    <w:rsid w:val="46AB11F1"/>
    <w:rsid w:val="46DF70EC"/>
    <w:rsid w:val="46EA695F"/>
    <w:rsid w:val="471D3E1A"/>
    <w:rsid w:val="47203CF1"/>
    <w:rsid w:val="47310761"/>
    <w:rsid w:val="4751378A"/>
    <w:rsid w:val="48621D83"/>
    <w:rsid w:val="48972517"/>
    <w:rsid w:val="48BF5427"/>
    <w:rsid w:val="495A7BA0"/>
    <w:rsid w:val="498E0956"/>
    <w:rsid w:val="4AC80D07"/>
    <w:rsid w:val="4B8D7117"/>
    <w:rsid w:val="4CEA0599"/>
    <w:rsid w:val="4CEC60BF"/>
    <w:rsid w:val="4D112DB7"/>
    <w:rsid w:val="4E04568A"/>
    <w:rsid w:val="4E7C16C5"/>
    <w:rsid w:val="4F0911AA"/>
    <w:rsid w:val="4F3124AF"/>
    <w:rsid w:val="50242014"/>
    <w:rsid w:val="510A745C"/>
    <w:rsid w:val="512A365A"/>
    <w:rsid w:val="51527191"/>
    <w:rsid w:val="51962A9D"/>
    <w:rsid w:val="51986815"/>
    <w:rsid w:val="51EE0B2B"/>
    <w:rsid w:val="52E00474"/>
    <w:rsid w:val="52FE6B4C"/>
    <w:rsid w:val="53890B0C"/>
    <w:rsid w:val="540208BE"/>
    <w:rsid w:val="54322F51"/>
    <w:rsid w:val="547277F2"/>
    <w:rsid w:val="54831562"/>
    <w:rsid w:val="54BE47E5"/>
    <w:rsid w:val="54D67D81"/>
    <w:rsid w:val="55006BAB"/>
    <w:rsid w:val="552C79A0"/>
    <w:rsid w:val="55515659"/>
    <w:rsid w:val="55911EF9"/>
    <w:rsid w:val="5641747C"/>
    <w:rsid w:val="565F5B54"/>
    <w:rsid w:val="573E4B9B"/>
    <w:rsid w:val="57633422"/>
    <w:rsid w:val="57D7752B"/>
    <w:rsid w:val="585316E8"/>
    <w:rsid w:val="58676F42"/>
    <w:rsid w:val="588B70D4"/>
    <w:rsid w:val="59AA17DC"/>
    <w:rsid w:val="59D96484"/>
    <w:rsid w:val="5AA82FEB"/>
    <w:rsid w:val="5B4A6DD2"/>
    <w:rsid w:val="5BA81D4B"/>
    <w:rsid w:val="5D170F36"/>
    <w:rsid w:val="5DAE61D8"/>
    <w:rsid w:val="5DBE5856"/>
    <w:rsid w:val="5E761C8C"/>
    <w:rsid w:val="5F447FDD"/>
    <w:rsid w:val="5F5A7800"/>
    <w:rsid w:val="5F5C378C"/>
    <w:rsid w:val="5FAB3BB8"/>
    <w:rsid w:val="6008725C"/>
    <w:rsid w:val="607448F1"/>
    <w:rsid w:val="60792979"/>
    <w:rsid w:val="60C50CA9"/>
    <w:rsid w:val="610417D1"/>
    <w:rsid w:val="61A651A2"/>
    <w:rsid w:val="61DE0274"/>
    <w:rsid w:val="62824F60"/>
    <w:rsid w:val="62CE02E9"/>
    <w:rsid w:val="63422A85"/>
    <w:rsid w:val="635D166D"/>
    <w:rsid w:val="63C74D38"/>
    <w:rsid w:val="63DD1F37"/>
    <w:rsid w:val="64410F8F"/>
    <w:rsid w:val="64502F80"/>
    <w:rsid w:val="64562060"/>
    <w:rsid w:val="646627A3"/>
    <w:rsid w:val="64AD2180"/>
    <w:rsid w:val="65501489"/>
    <w:rsid w:val="65705687"/>
    <w:rsid w:val="658E3D60"/>
    <w:rsid w:val="65B73BCD"/>
    <w:rsid w:val="66E77BCB"/>
    <w:rsid w:val="68846345"/>
    <w:rsid w:val="68F62348"/>
    <w:rsid w:val="69407A67"/>
    <w:rsid w:val="694C1F68"/>
    <w:rsid w:val="6B4C26F3"/>
    <w:rsid w:val="6B60619E"/>
    <w:rsid w:val="6BF559D1"/>
    <w:rsid w:val="6C2216A6"/>
    <w:rsid w:val="6C351337"/>
    <w:rsid w:val="6CE55009"/>
    <w:rsid w:val="6D940381"/>
    <w:rsid w:val="6E645FA5"/>
    <w:rsid w:val="6EE669BA"/>
    <w:rsid w:val="6F655B31"/>
    <w:rsid w:val="6F776C50"/>
    <w:rsid w:val="6FA80114"/>
    <w:rsid w:val="701E42B5"/>
    <w:rsid w:val="705A140E"/>
    <w:rsid w:val="7084648B"/>
    <w:rsid w:val="712970EF"/>
    <w:rsid w:val="71357785"/>
    <w:rsid w:val="715E6CDC"/>
    <w:rsid w:val="72155D12"/>
    <w:rsid w:val="72653996"/>
    <w:rsid w:val="72695938"/>
    <w:rsid w:val="72A921D9"/>
    <w:rsid w:val="735C6961"/>
    <w:rsid w:val="7367064C"/>
    <w:rsid w:val="73F2195D"/>
    <w:rsid w:val="740A3B48"/>
    <w:rsid w:val="753B71DD"/>
    <w:rsid w:val="756B293B"/>
    <w:rsid w:val="75D03F20"/>
    <w:rsid w:val="75DA1174"/>
    <w:rsid w:val="76612DCA"/>
    <w:rsid w:val="78AD1F12"/>
    <w:rsid w:val="78CC09CF"/>
    <w:rsid w:val="78CD4747"/>
    <w:rsid w:val="79256331"/>
    <w:rsid w:val="79A4194C"/>
    <w:rsid w:val="7AA54A68"/>
    <w:rsid w:val="7BAE0860"/>
    <w:rsid w:val="7BF070CA"/>
    <w:rsid w:val="7C093CE8"/>
    <w:rsid w:val="7C1E59E5"/>
    <w:rsid w:val="7C2F7BF3"/>
    <w:rsid w:val="7C930A71"/>
    <w:rsid w:val="7CCE07E8"/>
    <w:rsid w:val="7CFD1A9F"/>
    <w:rsid w:val="7D5D41EC"/>
    <w:rsid w:val="7DBC3708"/>
    <w:rsid w:val="7DEC566F"/>
    <w:rsid w:val="7ECA3C03"/>
    <w:rsid w:val="7EEF69EF"/>
    <w:rsid w:val="7F2F1CB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1999</Words>
  <Characters>2212</Characters>
  <Lines>48</Lines>
  <Paragraphs>13</Paragraphs>
  <TotalTime>0</TotalTime>
  <ScaleCrop>false</ScaleCrop>
  <LinksUpToDate>false</LinksUpToDate>
  <CharactersWithSpaces>2270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2025-10-29T08:29:28Z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