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35.240.20"/>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35.240.20</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I 64"/>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I 64</w:t>
            </w:r>
            <w:r>
              <w:rPr>
                <w:rFonts w:ascii="黑体" w:hAnsi="黑体" w:eastAsia="黑体" w:cs="Times New Roman"/>
                <w:kern w:val="2"/>
                <w:sz w:val="21"/>
                <w:szCs w:val="21"/>
                <w:lang w:val="en-US" w:eastAsia="zh-CN" w:bidi="ar-SA"/>
              </w:rPr>
              <w:fldChar w:fldCharType="end"/>
            </w:r>
            <w:bookmarkEnd w:id="2"/>
          </w:p>
        </w:tc>
      </w:tr>
    </w:tbl>
    <w:p w14:paraId="7C20094D">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6"/>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28"/>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0128</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1"/>
        <w:framePr w:w="9639" w:h="6976" w:hRule="exact" w:hSpace="0" w:vSpace="0" w:wrap="around" w:hAnchor="page" w:y="6408"/>
        <w:jc w:val="center"/>
        <w:rPr>
          <w:rFonts w:ascii="黑体" w:hAnsi="黑体" w:eastAsia="黑体"/>
          <w:b w:val="0"/>
          <w:bCs w:val="0"/>
          <w:w w:val="100"/>
        </w:rPr>
      </w:pPr>
    </w:p>
    <w:p w14:paraId="32EC4788">
      <w:pPr>
        <w:pStyle w:val="198"/>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企业人力资源数字化转型实施指南"/>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企业人力资源数字化转型实施指南</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6"/>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Implementation Guide for Digital Transformation of Enterprise Human Resources"/>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Implementation Guide for Digital Transformation of Enterprise Human Resources</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6"/>
        <w:framePr w:w="9639" w:h="6974" w:hRule="exact" w:wrap="around" w:vAnchor="page" w:hAnchor="page" w:x="1419" w:y="6408" w:anchorLock="1"/>
        <w:textAlignment w:val="bottom"/>
        <w:rPr>
          <w:rFonts w:eastAsia="黑体"/>
          <w:szCs w:val="28"/>
        </w:rPr>
      </w:pPr>
    </w:p>
    <w:p w14:paraId="1EEEC872">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4"/>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5"/>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2"/>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6717B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2"/>
        <w:spacing w:after="360"/>
      </w:pPr>
      <w:bookmarkStart w:id="21" w:name="BookMark1"/>
      <w:bookmarkStart w:id="22" w:name="_Toc197342205"/>
      <w:r>
        <w:rPr>
          <w:rFonts w:hint="eastAsia"/>
          <w:spacing w:val="320"/>
        </w:rPr>
        <w:t>目</w:t>
      </w:r>
      <w:r>
        <w:rPr>
          <w:rFonts w:hint="eastAsia"/>
        </w:rPr>
        <w:t>次</w:t>
      </w:r>
    </w:p>
    <w:p w14:paraId="66B2BC2E">
      <w:pPr>
        <w:pStyle w:val="19"/>
        <w:tabs>
          <w:tab w:val="right" w:leader="dot" w:pos="9354"/>
        </w:tabs>
      </w:pPr>
      <w:r>
        <w:fldChar w:fldCharType="begin"/>
      </w:r>
      <w:r>
        <w:instrText xml:space="preserve"> TOC \o "1-1" \h </w:instrText>
      </w:r>
      <w:r>
        <w:fldChar w:fldCharType="separate"/>
      </w:r>
      <w:r>
        <w:fldChar w:fldCharType="begin"/>
      </w:r>
      <w:r>
        <w:instrText xml:space="preserve"> HYPERLINK \l _Toc4104 </w:instrText>
      </w:r>
      <w:r>
        <w:fldChar w:fldCharType="separate"/>
      </w:r>
      <w:r>
        <w:rPr>
          <w:spacing w:val="320"/>
        </w:rPr>
        <w:t>前</w:t>
      </w:r>
      <w:r>
        <w:t>言</w:t>
      </w:r>
      <w:r>
        <w:tab/>
      </w:r>
      <w:r>
        <w:fldChar w:fldCharType="begin"/>
      </w:r>
      <w:r>
        <w:instrText xml:space="preserve"> PAGEREF _Toc4104 \h </w:instrText>
      </w:r>
      <w:r>
        <w:fldChar w:fldCharType="separate"/>
      </w:r>
      <w:r>
        <w:t>III</w:t>
      </w:r>
      <w:r>
        <w:fldChar w:fldCharType="end"/>
      </w:r>
      <w:r>
        <w:fldChar w:fldCharType="end"/>
      </w:r>
    </w:p>
    <w:p w14:paraId="57116561">
      <w:pPr>
        <w:pStyle w:val="19"/>
        <w:tabs>
          <w:tab w:val="right" w:leader="dot" w:pos="9354"/>
        </w:tabs>
      </w:pPr>
      <w:r>
        <w:fldChar w:fldCharType="begin"/>
      </w:r>
      <w:r>
        <w:instrText xml:space="preserve"> HYPERLINK \l _Toc29323 </w:instrText>
      </w:r>
      <w:r>
        <w:fldChar w:fldCharType="separate"/>
      </w:r>
      <w:r>
        <w:rPr>
          <w:spacing w:val="320"/>
        </w:rPr>
        <w:t>引</w:t>
      </w:r>
      <w:r>
        <w:t>言</w:t>
      </w:r>
      <w:r>
        <w:tab/>
      </w:r>
      <w:r>
        <w:fldChar w:fldCharType="begin"/>
      </w:r>
      <w:r>
        <w:instrText xml:space="preserve"> PAGEREF _Toc29323 \h </w:instrText>
      </w:r>
      <w:r>
        <w:fldChar w:fldCharType="separate"/>
      </w:r>
      <w:r>
        <w:t>V</w:t>
      </w:r>
      <w:r>
        <w:fldChar w:fldCharType="end"/>
      </w:r>
      <w:r>
        <w:fldChar w:fldCharType="end"/>
      </w:r>
    </w:p>
    <w:p w14:paraId="52679D1B">
      <w:pPr>
        <w:pStyle w:val="19"/>
        <w:tabs>
          <w:tab w:val="right" w:leader="dot" w:pos="9354"/>
        </w:tabs>
      </w:pPr>
      <w:r>
        <w:fldChar w:fldCharType="begin"/>
      </w:r>
      <w:r>
        <w:instrText xml:space="preserve"> HYPERLINK \l _Toc2336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_Toc2336 \h </w:instrText>
      </w:r>
      <w:r>
        <w:fldChar w:fldCharType="separate"/>
      </w:r>
      <w:r>
        <w:t>1</w:t>
      </w:r>
      <w:r>
        <w:fldChar w:fldCharType="end"/>
      </w:r>
      <w:r>
        <w:fldChar w:fldCharType="end"/>
      </w:r>
    </w:p>
    <w:p w14:paraId="7F969465">
      <w:pPr>
        <w:pStyle w:val="19"/>
        <w:tabs>
          <w:tab w:val="right" w:leader="dot" w:pos="9354"/>
        </w:tabs>
      </w:pPr>
      <w:r>
        <w:fldChar w:fldCharType="begin"/>
      </w:r>
      <w:r>
        <w:instrText xml:space="preserve"> HYPERLINK \l _Toc20153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_Toc20153 \h </w:instrText>
      </w:r>
      <w:r>
        <w:fldChar w:fldCharType="separate"/>
      </w:r>
      <w:r>
        <w:t>1</w:t>
      </w:r>
      <w:r>
        <w:fldChar w:fldCharType="end"/>
      </w:r>
      <w:r>
        <w:fldChar w:fldCharType="end"/>
      </w:r>
    </w:p>
    <w:p w14:paraId="7D0D3167">
      <w:pPr>
        <w:pStyle w:val="19"/>
        <w:tabs>
          <w:tab w:val="right" w:leader="dot" w:pos="9354"/>
        </w:tabs>
      </w:pPr>
      <w:r>
        <w:fldChar w:fldCharType="begin"/>
      </w:r>
      <w:r>
        <w:instrText xml:space="preserve"> HYPERLINK \l _Toc22228 </w:instrText>
      </w:r>
      <w:r>
        <w:fldChar w:fldCharType="separate"/>
      </w:r>
      <w:r>
        <w:rPr>
          <w:rFonts w:hint="eastAsia"/>
          <w:szCs w:val="21"/>
        </w:rPr>
        <w:t>3 术语和定义</w:t>
      </w:r>
      <w:r>
        <w:tab/>
      </w:r>
      <w:r>
        <w:fldChar w:fldCharType="begin"/>
      </w:r>
      <w:r>
        <w:instrText xml:space="preserve"> PAGEREF _Toc22228 \h </w:instrText>
      </w:r>
      <w:r>
        <w:fldChar w:fldCharType="separate"/>
      </w:r>
      <w:r>
        <w:t>1</w:t>
      </w:r>
      <w:r>
        <w:fldChar w:fldCharType="end"/>
      </w:r>
      <w:r>
        <w:fldChar w:fldCharType="end"/>
      </w:r>
    </w:p>
    <w:p w14:paraId="19EA59A5">
      <w:pPr>
        <w:pStyle w:val="19"/>
        <w:tabs>
          <w:tab w:val="right" w:leader="dot" w:pos="9354"/>
        </w:tabs>
      </w:pPr>
      <w:r>
        <w:fldChar w:fldCharType="begin"/>
      </w:r>
      <w:r>
        <w:instrText xml:space="preserve"> HYPERLINK \l _Toc5374 </w:instrText>
      </w:r>
      <w:r>
        <w:fldChar w:fldCharType="separate"/>
      </w:r>
      <w:r>
        <w:rPr>
          <w:rFonts w:hint="eastAsia"/>
          <w:lang w:val="en-US" w:eastAsia="zh-CN"/>
        </w:rPr>
        <w:t>4. 基本要求</w:t>
      </w:r>
      <w:r>
        <w:tab/>
      </w:r>
      <w:r>
        <w:fldChar w:fldCharType="begin"/>
      </w:r>
      <w:r>
        <w:instrText xml:space="preserve"> PAGEREF _Toc5374 \h </w:instrText>
      </w:r>
      <w:r>
        <w:fldChar w:fldCharType="separate"/>
      </w:r>
      <w:r>
        <w:t>1</w:t>
      </w:r>
      <w:r>
        <w:fldChar w:fldCharType="end"/>
      </w:r>
      <w:r>
        <w:fldChar w:fldCharType="end"/>
      </w:r>
    </w:p>
    <w:p w14:paraId="5D38593D">
      <w:pPr>
        <w:pStyle w:val="19"/>
        <w:tabs>
          <w:tab w:val="right" w:leader="dot" w:pos="9354"/>
        </w:tabs>
      </w:pPr>
      <w:r>
        <w:fldChar w:fldCharType="begin"/>
      </w:r>
      <w:r>
        <w:instrText xml:space="preserve"> HYPERLINK \l _Toc29563 </w:instrText>
      </w:r>
      <w:r>
        <w:fldChar w:fldCharType="separate"/>
      </w:r>
      <w:r>
        <w:rPr>
          <w:rFonts w:hint="eastAsia"/>
          <w:szCs w:val="21"/>
          <w:lang w:val="en-US" w:eastAsia="zh-CN"/>
        </w:rPr>
        <w:t>5. 技术要求</w:t>
      </w:r>
      <w:r>
        <w:tab/>
      </w:r>
      <w:r>
        <w:fldChar w:fldCharType="begin"/>
      </w:r>
      <w:r>
        <w:instrText xml:space="preserve"> PAGEREF _Toc29563 \h </w:instrText>
      </w:r>
      <w:r>
        <w:fldChar w:fldCharType="separate"/>
      </w:r>
      <w:r>
        <w:t>2</w:t>
      </w:r>
      <w:r>
        <w:fldChar w:fldCharType="end"/>
      </w:r>
      <w:r>
        <w:fldChar w:fldCharType="end"/>
      </w:r>
    </w:p>
    <w:p w14:paraId="13863D7F">
      <w:pPr>
        <w:pStyle w:val="19"/>
        <w:tabs>
          <w:tab w:val="right" w:leader="dot" w:pos="9354"/>
        </w:tabs>
      </w:pPr>
      <w:r>
        <w:fldChar w:fldCharType="begin"/>
      </w:r>
      <w:r>
        <w:instrText xml:space="preserve"> HYPERLINK \l _Toc30662 </w:instrText>
      </w:r>
      <w:r>
        <w:fldChar w:fldCharType="separate"/>
      </w:r>
      <w:r>
        <w:rPr>
          <w:rFonts w:hint="eastAsia"/>
          <w:szCs w:val="21"/>
          <w:lang w:val="en-US" w:eastAsia="zh-CN"/>
        </w:rPr>
        <w:t>6. 实施步骤</w:t>
      </w:r>
      <w:r>
        <w:tab/>
      </w:r>
      <w:r>
        <w:fldChar w:fldCharType="begin"/>
      </w:r>
      <w:r>
        <w:instrText xml:space="preserve"> PAGEREF _Toc30662 \h </w:instrText>
      </w:r>
      <w:r>
        <w:fldChar w:fldCharType="separate"/>
      </w:r>
      <w:r>
        <w:t>2</w:t>
      </w:r>
      <w:r>
        <w:fldChar w:fldCharType="end"/>
      </w:r>
      <w:r>
        <w:fldChar w:fldCharType="end"/>
      </w:r>
    </w:p>
    <w:p w14:paraId="4B8E06D8">
      <w:pPr>
        <w:pStyle w:val="19"/>
        <w:tabs>
          <w:tab w:val="right" w:leader="dot" w:pos="9354"/>
        </w:tabs>
      </w:pPr>
      <w:r>
        <w:fldChar w:fldCharType="begin"/>
      </w:r>
      <w:r>
        <w:instrText xml:space="preserve"> HYPERLINK \l _Toc2967 </w:instrText>
      </w:r>
      <w:r>
        <w:fldChar w:fldCharType="separate"/>
      </w:r>
      <w:r>
        <w:rPr>
          <w:rFonts w:hint="eastAsia"/>
          <w:lang w:val="en-US" w:eastAsia="zh-CN"/>
        </w:rPr>
        <w:t>7. 监督与评估</w:t>
      </w:r>
      <w:r>
        <w:tab/>
      </w:r>
      <w:r>
        <w:fldChar w:fldCharType="begin"/>
      </w:r>
      <w:r>
        <w:instrText xml:space="preserve"> PAGEREF _Toc2967 \h </w:instrText>
      </w:r>
      <w:r>
        <w:fldChar w:fldCharType="separate"/>
      </w:r>
      <w:r>
        <w:t>3</w:t>
      </w:r>
      <w:r>
        <w:fldChar w:fldCharType="end"/>
      </w:r>
      <w:r>
        <w:fldChar w:fldCharType="end"/>
      </w:r>
    </w:p>
    <w:p w14:paraId="1B51B50A">
      <w:pPr>
        <w:pStyle w:val="92"/>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05C16B2">
      <w:pPr>
        <w:pStyle w:val="90"/>
        <w:spacing w:before="900" w:after="360"/>
      </w:pPr>
      <w:bookmarkStart w:id="23" w:name="_Toc4104"/>
      <w:bookmarkStart w:id="24" w:name="BookMark2"/>
      <w:r>
        <w:rPr>
          <w:spacing w:val="320"/>
        </w:rPr>
        <w:t>前</w:t>
      </w:r>
      <w:r>
        <w:t>言</w:t>
      </w:r>
      <w:bookmarkEnd w:id="22"/>
      <w:bookmarkEnd w:id="23"/>
    </w:p>
    <w:p w14:paraId="5DC8D965">
      <w:pPr>
        <w:pStyle w:val="57"/>
        <w:spacing w:line="360" w:lineRule="auto"/>
        <w:ind w:firstLine="420"/>
      </w:pPr>
      <w:r>
        <w:rPr>
          <w:rFonts w:hint="eastAsia"/>
        </w:rPr>
        <w:t>本文件按照GB/T 1.1—2020《标准化工作导则  第1部分：标准化文件的结构和起草规则》的规定起草。</w:t>
      </w:r>
    </w:p>
    <w:p w14:paraId="3BF47523">
      <w:pPr>
        <w:pStyle w:val="57"/>
        <w:spacing w:line="360" w:lineRule="auto"/>
        <w:ind w:firstLine="420"/>
      </w:pPr>
      <w:r>
        <w:rPr>
          <w:rFonts w:hint="eastAsia"/>
        </w:rPr>
        <w:t>请注意本文件的某些内容可能涉及专利。本文件的发布机构不承担识别专利的责任。</w:t>
      </w:r>
    </w:p>
    <w:p w14:paraId="754B7426">
      <w:pPr>
        <w:pStyle w:val="57"/>
        <w:spacing w:line="360" w:lineRule="auto"/>
        <w:ind w:firstLine="420"/>
      </w:pPr>
      <w:r>
        <w:rPr>
          <w:rFonts w:hint="eastAsia"/>
        </w:rPr>
        <w:t>本文件由西安市质量与标准化协会提出并归口。</w:t>
      </w:r>
    </w:p>
    <w:p w14:paraId="5B8DD1E1">
      <w:pPr>
        <w:pStyle w:val="57"/>
        <w:spacing w:line="360" w:lineRule="auto"/>
        <w:ind w:firstLine="420"/>
        <w:rPr>
          <w:rFonts w:hint="eastAsia"/>
          <w:lang w:eastAsia="zh-CN"/>
        </w:rPr>
      </w:pPr>
      <w:r>
        <w:rPr>
          <w:rFonts w:hint="eastAsia"/>
        </w:rPr>
        <w:t>本文件起草单位：山东省地质矿产勘查开发局第一地质大队（山东省第一地质矿产勘查院）</w:t>
      </w:r>
      <w:r>
        <w:rPr>
          <w:rFonts w:hint="eastAsia"/>
          <w:lang w:val="en-US" w:eastAsia="zh-CN"/>
        </w:rPr>
        <w:t>。</w:t>
      </w:r>
    </w:p>
    <w:p w14:paraId="6F393388">
      <w:pPr>
        <w:pStyle w:val="57"/>
        <w:spacing w:line="360" w:lineRule="auto"/>
        <w:ind w:firstLine="420"/>
        <w:rPr>
          <w:rFonts w:hint="default"/>
          <w:lang w:val="en-US" w:eastAsia="zh-CN"/>
        </w:rPr>
      </w:pPr>
      <w:r>
        <w:rPr>
          <w:rFonts w:hint="eastAsia"/>
        </w:rPr>
        <w:t>本文件主要起草人：</w:t>
      </w:r>
      <w:r>
        <w:rPr>
          <w:rFonts w:hint="default"/>
          <w:lang w:val="en-US" w:eastAsia="zh-CN"/>
        </w:rPr>
        <w:t>刘程</w:t>
      </w:r>
      <w:bookmarkStart w:id="57" w:name="_GoBack"/>
      <w:bookmarkEnd w:id="57"/>
      <w:r>
        <w:rPr>
          <w:rFonts w:hint="eastAsia"/>
          <w:lang w:val="en-US" w:eastAsia="zh-CN"/>
        </w:rPr>
        <w:t>。</w:t>
      </w:r>
    </w:p>
    <w:p w14:paraId="26D9D901">
      <w:pPr>
        <w:pStyle w:val="57"/>
        <w:ind w:firstLine="420"/>
      </w:pPr>
    </w:p>
    <w:p w14:paraId="635AF019">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90"/>
        <w:spacing w:after="360"/>
      </w:pPr>
      <w:bookmarkStart w:id="25" w:name="_Toc29323"/>
      <w:bookmarkStart w:id="26" w:name="_Toc197342206"/>
      <w:bookmarkStart w:id="27" w:name="BookMark3"/>
      <w:r>
        <w:rPr>
          <w:spacing w:val="320"/>
        </w:rPr>
        <w:t>引</w:t>
      </w:r>
      <w:r>
        <w:t>言</w:t>
      </w:r>
      <w:bookmarkEnd w:id="25"/>
      <w:bookmarkEnd w:id="26"/>
    </w:p>
    <w:p w14:paraId="54BC16B0">
      <w:pPr>
        <w:pStyle w:val="57"/>
        <w:spacing w:line="360" w:lineRule="auto"/>
        <w:ind w:left="0" w:leftChars="0" w:firstLine="420" w:firstLineChars="200"/>
        <w:rPr>
          <w:rFonts w:hint="eastAsia"/>
        </w:rPr>
      </w:pPr>
      <w:r>
        <w:rPr>
          <w:rFonts w:hint="eastAsia"/>
        </w:rPr>
        <w:t>在全球数字化浪潮的推动下，企业人力资源管理正经历着前所未有的变革。传统的人力资源管理模式已难以满足现代企业高效、灵活、个性化的管理需求，数字化转型成为提升企业竞争力的关键途径。</w:t>
      </w:r>
    </w:p>
    <w:p w14:paraId="10A83832">
      <w:pPr>
        <w:pStyle w:val="57"/>
        <w:spacing w:line="360" w:lineRule="auto"/>
        <w:ind w:left="0" w:leftChars="0" w:firstLine="420" w:firstLineChars="200"/>
        <w:rPr>
          <w:rFonts w:hint="eastAsia"/>
        </w:rPr>
      </w:pPr>
      <w:r>
        <w:rPr>
          <w:rFonts w:hint="eastAsia"/>
        </w:rPr>
        <w:t>企业人力资源数字化转型，不仅是技术层面的升级，更是管理理念、业务流程和组织文化的全面革新。本指南旨在为企业提供一套科学、系统、可行的人力资源数字化转型实施路径。通过规范数据管理与分析、数字化工具与应用、员工体验与参与度提升以及安全与隐私保护等关键环节，解决企业在转型过程中面临的标准不统一、数据孤岛、系统集成难等痛点问题。指南的实施，将有助于企业构建高效、智能、安全的人力资源管理体系，提升管理效率，增强员工满意度，进而推动企业整体绩效的持续提升。同时，本指南的制定也积极响应了国家关于加快数字化发展、建设数字中国的战略部署，为企业顺应时代潮流、把握发展机遇提供了有力支撑。我们相信，随着本指南的推广实施，企业人力资源数字化转型将迈入一个新的发展阶段，为企业的可持续发展注入强劲动力。</w:t>
      </w:r>
    </w:p>
    <w:p w14:paraId="30E55E16">
      <w:pPr>
        <w:pStyle w:val="57"/>
        <w:spacing w:line="360" w:lineRule="auto"/>
        <w:ind w:firstLine="420"/>
        <w:rPr>
          <w:rFonts w:hint="eastAsia"/>
        </w:rPr>
      </w:pPr>
    </w:p>
    <w:p w14:paraId="1FD0EDB2">
      <w:pPr>
        <w:pStyle w:val="57"/>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8"/>
            <w:spacing w:after="0"/>
          </w:pPr>
          <w:bookmarkStart w:id="29" w:name="NEW_STAND_NAME"/>
          <w:r>
            <w:rPr>
              <w:rFonts w:hint="eastAsia"/>
            </w:rPr>
            <w:t>企业人力资源数字化转型实施指南</w:t>
          </w:r>
        </w:p>
      </w:sdtContent>
    </w:sdt>
    <w:bookmarkEnd w:id="29"/>
    <w:p w14:paraId="1339BF1A">
      <w:pPr>
        <w:pStyle w:val="105"/>
        <w:spacing w:before="240" w:after="240" w:line="360" w:lineRule="auto"/>
      </w:pPr>
      <w:bookmarkStart w:id="30" w:name="_Toc26986771"/>
      <w:bookmarkStart w:id="31" w:name="_Toc97192964"/>
      <w:bookmarkStart w:id="32" w:name="_Toc197342207"/>
      <w:bookmarkStart w:id="33" w:name="_Toc17233333"/>
      <w:bookmarkStart w:id="34" w:name="_Toc26718930"/>
      <w:bookmarkStart w:id="35" w:name="_Toc24884211"/>
      <w:bookmarkStart w:id="36" w:name="_Toc17233325"/>
      <w:bookmarkStart w:id="37" w:name="_Toc26986530"/>
      <w:bookmarkStart w:id="38" w:name="_Toc24884218"/>
      <w:bookmarkStart w:id="39" w:name="_Toc26648465"/>
      <w:bookmarkStart w:id="40" w:name="_Toc2336"/>
      <w:r>
        <w:rPr>
          <w:rFonts w:hint="eastAsia"/>
        </w:rPr>
        <w:t>范围</w:t>
      </w:r>
      <w:bookmarkEnd w:id="30"/>
      <w:bookmarkEnd w:id="31"/>
      <w:bookmarkEnd w:id="32"/>
      <w:bookmarkEnd w:id="33"/>
      <w:bookmarkEnd w:id="34"/>
      <w:bookmarkEnd w:id="35"/>
      <w:bookmarkEnd w:id="36"/>
      <w:bookmarkEnd w:id="37"/>
      <w:bookmarkEnd w:id="38"/>
      <w:bookmarkEnd w:id="39"/>
      <w:bookmarkEnd w:id="40"/>
    </w:p>
    <w:p w14:paraId="4D44EB1A">
      <w:pPr>
        <w:pStyle w:val="57"/>
        <w:keepNext w:val="0"/>
        <w:keepLines w:val="0"/>
        <w:pageBreakBefore w:val="0"/>
        <w:widowControl/>
        <w:kinsoku/>
        <w:wordWrap/>
        <w:overflowPunct/>
        <w:topLinePunct w:val="0"/>
        <w:autoSpaceDE w:val="0"/>
        <w:autoSpaceDN w:val="0"/>
        <w:bidi w:val="0"/>
        <w:adjustRightInd/>
        <w:snapToGrid/>
        <w:spacing w:line="360" w:lineRule="auto"/>
        <w:ind w:left="0" w:leftChars="0" w:firstLine="420" w:firstLineChars="200"/>
        <w:textAlignment w:val="auto"/>
        <w:rPr>
          <w:rFonts w:hint="eastAsia" w:eastAsia="宋体"/>
          <w:lang w:eastAsia="zh-CN"/>
        </w:rPr>
      </w:pPr>
      <w:bookmarkStart w:id="41" w:name="_Toc26648466"/>
      <w:bookmarkStart w:id="42" w:name="_Toc17233334"/>
      <w:bookmarkStart w:id="43" w:name="_Toc24884212"/>
      <w:bookmarkStart w:id="44" w:name="_Toc24884219"/>
      <w:bookmarkStart w:id="45" w:name="_Toc17233326"/>
      <w:r>
        <w:rPr>
          <w:rFonts w:hint="eastAsia"/>
          <w:lang w:eastAsia="zh-CN"/>
        </w:rPr>
        <w:t>本文件规定了企业人力资源数字化转型的实施指南，包括数据管理与分析、数字化工具与应用、员工体验与参与度提升、安全与隐私保护等方面的技术要求与实施步骤。本文件适用于各类企业进行人力资源数字化转型的规划、设计、实施与评估。</w:t>
      </w:r>
    </w:p>
    <w:p w14:paraId="24B680AA">
      <w:pPr>
        <w:pStyle w:val="105"/>
        <w:spacing w:before="240" w:after="240" w:line="360" w:lineRule="auto"/>
        <w:rPr>
          <w:rFonts w:hint="eastAsia"/>
          <w:szCs w:val="21"/>
        </w:rPr>
      </w:pPr>
      <w:bookmarkStart w:id="46" w:name="_Toc26986772"/>
      <w:bookmarkStart w:id="47" w:name="_Toc20153"/>
      <w:bookmarkStart w:id="48" w:name="_Toc26718931"/>
      <w:bookmarkStart w:id="49" w:name="_Toc26986531"/>
      <w:bookmarkStart w:id="50" w:name="_Toc97192965"/>
      <w:bookmarkStart w:id="51" w:name="_Toc197342208"/>
      <w:r>
        <w:rPr>
          <w:rFonts w:hint="eastAsia"/>
          <w:szCs w:val="21"/>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7"/>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25F34F80">
      <w:pPr>
        <w:pStyle w:val="57"/>
        <w:spacing w:line="360" w:lineRule="auto"/>
        <w:ind w:firstLine="420"/>
        <w:rPr>
          <w:rFonts w:hint="eastAsia"/>
        </w:rPr>
      </w:pPr>
      <w:r>
        <w:rPr>
          <w:rFonts w:hint="eastAsia"/>
        </w:rPr>
        <w:t>GB/T 23001-2017 信息化和工业化融合管理体系要求</w:t>
      </w:r>
    </w:p>
    <w:p w14:paraId="314DD501">
      <w:pPr>
        <w:pStyle w:val="57"/>
        <w:spacing w:line="360" w:lineRule="auto"/>
        <w:ind w:firstLine="420"/>
        <w:rPr>
          <w:rFonts w:hint="eastAsia"/>
        </w:rPr>
      </w:pPr>
      <w:r>
        <w:rPr>
          <w:rFonts w:hint="eastAsia"/>
        </w:rPr>
        <w:t>GB/T 35273-2020 信息安全技术 个人信息安全规范</w:t>
      </w:r>
    </w:p>
    <w:p w14:paraId="084A4DEA">
      <w:pPr>
        <w:pStyle w:val="57"/>
        <w:spacing w:line="360" w:lineRule="auto"/>
        <w:ind w:firstLine="420"/>
        <w:rPr>
          <w:rFonts w:hint="eastAsia"/>
        </w:rPr>
      </w:pPr>
      <w:r>
        <w:rPr>
          <w:rFonts w:hint="eastAsia"/>
        </w:rPr>
        <w:t>GB/T 22239-2019 信息安全技术 网络安全等级保护基本要求</w:t>
      </w:r>
    </w:p>
    <w:p w14:paraId="4956E4D2">
      <w:pPr>
        <w:pStyle w:val="57"/>
        <w:spacing w:line="360" w:lineRule="auto"/>
        <w:ind w:firstLine="420"/>
        <w:rPr>
          <w:rFonts w:hint="eastAsia"/>
        </w:rPr>
      </w:pPr>
      <w:r>
        <w:rPr>
          <w:rFonts w:hint="eastAsia"/>
        </w:rPr>
        <w:t>ISO 30401:2018 人力资源管理体系——知识管理要求</w:t>
      </w:r>
    </w:p>
    <w:p w14:paraId="345EA553">
      <w:pPr>
        <w:pStyle w:val="57"/>
        <w:spacing w:line="360" w:lineRule="auto"/>
        <w:ind w:firstLine="420"/>
        <w:rPr>
          <w:rFonts w:hint="eastAsia"/>
        </w:rPr>
      </w:pPr>
      <w:r>
        <w:rPr>
          <w:rFonts w:hint="eastAsia"/>
        </w:rPr>
        <w:t>GB/T 19001-2016 质量管理体系 要求</w:t>
      </w:r>
    </w:p>
    <w:bookmarkEnd w:id="28"/>
    <w:p w14:paraId="77D14E71">
      <w:pPr>
        <w:pStyle w:val="105"/>
        <w:spacing w:before="240" w:after="240" w:line="360" w:lineRule="auto"/>
        <w:rPr>
          <w:rFonts w:hint="eastAsia"/>
          <w:szCs w:val="21"/>
        </w:rPr>
      </w:pPr>
      <w:bookmarkStart w:id="52" w:name="_Toc22228"/>
      <w:r>
        <w:rPr>
          <w:rFonts w:hint="eastAsia"/>
          <w:szCs w:val="21"/>
        </w:rPr>
        <w:t>术语和定义</w:t>
      </w:r>
      <w:bookmarkEnd w:id="52"/>
    </w:p>
    <w:p w14:paraId="3C101D90">
      <w:pPr>
        <w:pStyle w:val="57"/>
        <w:spacing w:line="360" w:lineRule="auto"/>
        <w:ind w:firstLine="420"/>
        <w:rPr>
          <w:rFonts w:hint="eastAsia"/>
        </w:rPr>
      </w:pPr>
      <w:r>
        <w:rPr>
          <w:rFonts w:hint="eastAsia"/>
        </w:rPr>
        <w:t>下列术语和定义适用于本文件。</w:t>
      </w:r>
    </w:p>
    <w:p w14:paraId="1550FEB7">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人力资源数字化转型</w:t>
      </w:r>
    </w:p>
    <w:p w14:paraId="2B070C08">
      <w:pPr>
        <w:pStyle w:val="57"/>
        <w:spacing w:line="360" w:lineRule="auto"/>
        <w:ind w:firstLine="420"/>
        <w:rPr>
          <w:rFonts w:hint="eastAsia"/>
          <w:lang w:val="en-US" w:eastAsia="zh-CN"/>
        </w:rPr>
      </w:pPr>
      <w:r>
        <w:rPr>
          <w:rFonts w:hint="eastAsia"/>
          <w:lang w:val="en-US" w:eastAsia="zh-CN"/>
        </w:rPr>
        <w:t>企业利用数字技术（如大数据、AI、云计算）对人力资源管理的招聘、培训、绩效、薪酬等全流程进行优化重构，实现管理效率提升≥20%、员工满意度提升≥15%的过程。</w:t>
      </w:r>
    </w:p>
    <w:p w14:paraId="78225D0C">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数字化工具</w:t>
      </w:r>
    </w:p>
    <w:p w14:paraId="41A4B091">
      <w:pPr>
        <w:pStyle w:val="57"/>
        <w:spacing w:line="360" w:lineRule="auto"/>
        <w:ind w:firstLine="420"/>
        <w:rPr>
          <w:rFonts w:hint="eastAsia"/>
          <w:lang w:val="en-US" w:eastAsia="zh-CN"/>
        </w:rPr>
      </w:pPr>
      <w:r>
        <w:rPr>
          <w:rFonts w:hint="eastAsia"/>
          <w:lang w:val="en-US" w:eastAsia="zh-CN"/>
        </w:rPr>
        <w:t>用于支持人力资源管理活动的软件、平台或应用程序，如人力资源信息系统（HRIS）、招聘管理系统、绩效管理系统等。</w:t>
      </w:r>
    </w:p>
    <w:p w14:paraId="42F1C28C">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数据驱动决策</w:t>
      </w:r>
    </w:p>
    <w:p w14:paraId="5ABA59F1">
      <w:pPr>
        <w:pStyle w:val="57"/>
        <w:spacing w:line="360" w:lineRule="auto"/>
        <w:ind w:firstLine="420"/>
        <w:rPr>
          <w:rFonts w:hint="eastAsia"/>
          <w:lang w:val="en-US" w:eastAsia="zh-CN"/>
        </w:rPr>
      </w:pPr>
      <w:r>
        <w:rPr>
          <w:rFonts w:hint="eastAsia"/>
          <w:lang w:val="en-US" w:eastAsia="zh-CN"/>
        </w:rPr>
        <w:t>基于人力资源数据分析结果（如员工绩效数据、离职率预测）制定管理策略，决策依据中数据占比≥70%。</w:t>
      </w:r>
    </w:p>
    <w:p w14:paraId="67C1D00A">
      <w:pPr>
        <w:pStyle w:val="105"/>
        <w:spacing w:before="240" w:after="240" w:line="360" w:lineRule="auto"/>
        <w:rPr>
          <w:rFonts w:hint="eastAsia"/>
          <w:szCs w:val="21"/>
          <w:lang w:val="en-US" w:eastAsia="zh-CN"/>
        </w:rPr>
      </w:pPr>
      <w:bookmarkStart w:id="53" w:name="_Toc5374"/>
      <w:r>
        <w:rPr>
          <w:rFonts w:hint="eastAsia"/>
          <w:szCs w:val="21"/>
          <w:lang w:val="en-US" w:eastAsia="zh-CN"/>
        </w:rPr>
        <w:t>基本要求</w:t>
      </w:r>
      <w:bookmarkEnd w:id="53"/>
    </w:p>
    <w:p w14:paraId="07028095">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战略导向</w:t>
      </w:r>
    </w:p>
    <w:p w14:paraId="77A79BDF">
      <w:pPr>
        <w:pStyle w:val="57"/>
        <w:spacing w:line="360" w:lineRule="auto"/>
        <w:ind w:firstLine="420"/>
        <w:rPr>
          <w:rFonts w:hint="eastAsia"/>
          <w:lang w:val="en-US" w:eastAsia="zh-CN"/>
        </w:rPr>
      </w:pPr>
      <w:r>
        <w:rPr>
          <w:rFonts w:hint="eastAsia"/>
          <w:lang w:val="en-US" w:eastAsia="zh-CN"/>
        </w:rPr>
        <w:t>人力资源数字化转型应与企业整体战略相一致，支持企业业务目标的达成。</w:t>
      </w:r>
    </w:p>
    <w:p w14:paraId="113DD9E0">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员工中心</w:t>
      </w:r>
    </w:p>
    <w:p w14:paraId="6989FB25">
      <w:pPr>
        <w:pStyle w:val="57"/>
        <w:spacing w:line="360" w:lineRule="auto"/>
        <w:ind w:firstLine="420"/>
        <w:rPr>
          <w:rFonts w:hint="eastAsia"/>
          <w:lang w:val="en-US" w:eastAsia="zh-CN"/>
        </w:rPr>
      </w:pPr>
      <w:r>
        <w:rPr>
          <w:rFonts w:hint="eastAsia"/>
          <w:lang w:val="en-US" w:eastAsia="zh-CN"/>
        </w:rPr>
        <w:t>以提升员工体验和参与度为核心，确保数字化转型成果惠及全体员工。</w:t>
      </w:r>
    </w:p>
    <w:p w14:paraId="4C2DB6E0">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数据安全</w:t>
      </w:r>
    </w:p>
    <w:p w14:paraId="425BF814">
      <w:pPr>
        <w:pStyle w:val="57"/>
        <w:spacing w:line="360" w:lineRule="auto"/>
        <w:ind w:firstLine="420"/>
        <w:rPr>
          <w:rFonts w:hint="eastAsia"/>
          <w:lang w:val="en-US" w:eastAsia="zh-CN"/>
        </w:rPr>
      </w:pPr>
      <w:r>
        <w:rPr>
          <w:rFonts w:hint="eastAsia"/>
          <w:lang w:val="en-US" w:eastAsia="zh-CN"/>
        </w:rPr>
        <w:t>确保人力资源数据的保密性、完整性和可用性，防止数据泄露和非法访问。</w:t>
      </w:r>
    </w:p>
    <w:p w14:paraId="5676E0C2">
      <w:pPr>
        <w:pStyle w:val="105"/>
        <w:spacing w:before="240" w:after="240" w:line="360" w:lineRule="auto"/>
        <w:rPr>
          <w:rFonts w:hint="eastAsia"/>
          <w:szCs w:val="21"/>
          <w:lang w:val="en-US" w:eastAsia="zh-CN"/>
        </w:rPr>
      </w:pPr>
      <w:bookmarkStart w:id="54" w:name="_Toc29563"/>
      <w:r>
        <w:rPr>
          <w:rFonts w:hint="eastAsia"/>
          <w:szCs w:val="21"/>
          <w:lang w:val="en-US" w:eastAsia="zh-CN"/>
        </w:rPr>
        <w:t>技术要求</w:t>
      </w:r>
      <w:bookmarkEnd w:id="54"/>
    </w:p>
    <w:p w14:paraId="73505B6E">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数据管理与分析</w:t>
      </w:r>
    </w:p>
    <w:p w14:paraId="52C8EAE6">
      <w:pPr>
        <w:pStyle w:val="57"/>
        <w:spacing w:line="360" w:lineRule="auto"/>
        <w:ind w:firstLine="420"/>
        <w:rPr>
          <w:rFonts w:hint="eastAsia"/>
          <w:lang w:val="en-US" w:eastAsia="zh-CN"/>
        </w:rPr>
      </w:pPr>
      <w:r>
        <w:rPr>
          <w:rFonts w:hint="eastAsia"/>
          <w:lang w:val="en-US" w:eastAsia="zh-CN"/>
        </w:rPr>
        <w:t>一是数据集成，支持结构化（如Excel、数据库）与非结构化数据（如文本、视频）集成，数据清洗后准确率≥98%；二是数据分析，采用机器学习算法（如回归分析、聚类分析）挖掘数据价值，预测模型准确率≥85%；三是数据存储，建立安全可靠的存储机制，历史数据存储周期≥3年，支持快速检索（响应时间≤2s）。</w:t>
      </w:r>
    </w:p>
    <w:p w14:paraId="79D8730A">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数字化工具与应用</w:t>
      </w:r>
    </w:p>
    <w:p w14:paraId="3AF1F0D8">
      <w:pPr>
        <w:pStyle w:val="57"/>
        <w:spacing w:line="360" w:lineRule="auto"/>
        <w:ind w:firstLine="420"/>
        <w:rPr>
          <w:rFonts w:hint="eastAsia"/>
          <w:lang w:val="en-US" w:eastAsia="zh-CN"/>
        </w:rPr>
      </w:pPr>
      <w:r>
        <w:rPr>
          <w:rFonts w:hint="eastAsia"/>
          <w:lang w:val="en-US" w:eastAsia="zh-CN"/>
        </w:rPr>
        <w:t>一是HRIS系统，集成招聘、培训、绩效、薪酬模块，系统响应时间≤2s，支持与ERP、OA系统数据交互；二是移动应用，操作流畅（响应时间≤500ms），支持离线功能，兼容iOS与Android系统；三是自助服务，员工自助平台功能覆盖率≥90%，减少HR部门工作量≥30%。</w:t>
      </w:r>
    </w:p>
    <w:p w14:paraId="62E343D7">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员工体验与参与度</w:t>
      </w:r>
    </w:p>
    <w:p w14:paraId="4A5654E8">
      <w:pPr>
        <w:pStyle w:val="57"/>
        <w:spacing w:line="360" w:lineRule="auto"/>
        <w:ind w:firstLine="420"/>
        <w:rPr>
          <w:rFonts w:hint="eastAsia"/>
          <w:lang w:val="en-US" w:eastAsia="zh-CN"/>
        </w:rPr>
      </w:pPr>
      <w:r>
        <w:rPr>
          <w:rFonts w:hint="eastAsia"/>
          <w:lang w:val="en-US" w:eastAsia="zh-CN"/>
        </w:rPr>
        <w:t>一是个性化体验，根据员工角色（如管理层、普通员工）动态调整功能菜单，操作便捷性评分≥4.5/5（5分制）；二是反馈机制，员工反馈24小时内响应，解决率≥90%，定期公布反馈处理结果；三是培训与发展，提供在线课程≥100门，年人均培训时长≥40小时，支持职业路径规划。</w:t>
      </w:r>
    </w:p>
    <w:p w14:paraId="48643965">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安全与隐私保护</w:t>
      </w:r>
    </w:p>
    <w:p w14:paraId="1BA421A7">
      <w:pPr>
        <w:pStyle w:val="57"/>
        <w:spacing w:line="360" w:lineRule="auto"/>
        <w:ind w:firstLine="420"/>
        <w:rPr>
          <w:rFonts w:hint="eastAsia"/>
          <w:lang w:val="en-US" w:eastAsia="zh-CN"/>
        </w:rPr>
      </w:pPr>
      <w:r>
        <w:rPr>
          <w:rFonts w:hint="eastAsia"/>
          <w:lang w:val="en-US" w:eastAsia="zh-CN"/>
        </w:rPr>
        <w:t>一是通信加密，采用AES-128或SM4算法，密钥更新周期≤7天，防止数据传输泄露；二是访问控制，实施多级权限管理，敏感数据（如薪酬）访问需二次认证，日志记录保存周期≥1年；三是隐私政策，明确数据收集、使用、共享规则，员工授权率需达100%，违规使用处罚条款清晰。</w:t>
      </w:r>
    </w:p>
    <w:p w14:paraId="075EC5E4">
      <w:pPr>
        <w:pStyle w:val="105"/>
        <w:spacing w:before="240" w:after="240" w:line="360" w:lineRule="auto"/>
        <w:rPr>
          <w:rFonts w:hint="eastAsia"/>
          <w:szCs w:val="21"/>
          <w:lang w:val="en-US" w:eastAsia="zh-CN"/>
        </w:rPr>
      </w:pPr>
      <w:bookmarkStart w:id="55" w:name="_Toc30662"/>
      <w:r>
        <w:rPr>
          <w:rFonts w:hint="eastAsia"/>
          <w:szCs w:val="21"/>
          <w:lang w:val="en-US" w:eastAsia="zh-CN"/>
        </w:rPr>
        <w:t>实施步骤</w:t>
      </w:r>
      <w:bookmarkEnd w:id="55"/>
    </w:p>
    <w:p w14:paraId="2D135602">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需求分析与规划</w:t>
      </w:r>
    </w:p>
    <w:p w14:paraId="384F6801">
      <w:pPr>
        <w:pStyle w:val="57"/>
        <w:spacing w:line="360" w:lineRule="auto"/>
        <w:ind w:firstLine="420"/>
        <w:rPr>
          <w:rFonts w:hint="eastAsia"/>
          <w:lang w:val="en-US" w:eastAsia="zh-CN"/>
        </w:rPr>
      </w:pPr>
      <w:r>
        <w:rPr>
          <w:rFonts w:hint="eastAsia"/>
          <w:lang w:val="en-US" w:eastAsia="zh-CN"/>
        </w:rPr>
        <w:t>评估企业当前人力资源管理状况，识别数字化转型的需求和痛点。</w:t>
      </w:r>
    </w:p>
    <w:p w14:paraId="2E026184">
      <w:pPr>
        <w:pStyle w:val="57"/>
        <w:spacing w:line="360" w:lineRule="auto"/>
        <w:ind w:firstLine="420"/>
        <w:rPr>
          <w:rFonts w:hint="eastAsia"/>
          <w:lang w:val="en-US" w:eastAsia="zh-CN"/>
        </w:rPr>
      </w:pPr>
      <w:r>
        <w:rPr>
          <w:rFonts w:hint="eastAsia"/>
          <w:lang w:val="en-US" w:eastAsia="zh-CN"/>
        </w:rPr>
        <w:t>制定数字化转型战略和实施计划，明确目标、时间表和预算。</w:t>
      </w:r>
    </w:p>
    <w:p w14:paraId="03849BDE">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系统选型与采购</w:t>
      </w:r>
    </w:p>
    <w:p w14:paraId="07F4579D">
      <w:pPr>
        <w:pStyle w:val="57"/>
        <w:spacing w:line="360" w:lineRule="auto"/>
        <w:ind w:firstLine="420"/>
        <w:rPr>
          <w:rFonts w:hint="eastAsia"/>
          <w:lang w:val="en-US" w:eastAsia="zh-CN"/>
        </w:rPr>
      </w:pPr>
      <w:r>
        <w:rPr>
          <w:rFonts w:hint="eastAsia"/>
          <w:lang w:val="en-US" w:eastAsia="zh-CN"/>
        </w:rPr>
        <w:t>根据需求分析结果，选择合适的数字化工具和系统。</w:t>
      </w:r>
    </w:p>
    <w:p w14:paraId="0C24B0A9">
      <w:pPr>
        <w:pStyle w:val="57"/>
        <w:spacing w:line="360" w:lineRule="auto"/>
        <w:ind w:firstLine="420"/>
        <w:rPr>
          <w:rFonts w:hint="eastAsia"/>
          <w:lang w:val="en-US" w:eastAsia="zh-CN"/>
        </w:rPr>
      </w:pPr>
      <w:r>
        <w:rPr>
          <w:rFonts w:hint="eastAsia"/>
          <w:lang w:val="en-US" w:eastAsia="zh-CN"/>
        </w:rPr>
        <w:t>进行系统采购或定制化开发，确保系统满足企业特定需求。</w:t>
      </w:r>
    </w:p>
    <w:p w14:paraId="7F9C1A1D">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定制化开发与集成</w:t>
      </w:r>
    </w:p>
    <w:p w14:paraId="23C3F763">
      <w:pPr>
        <w:pStyle w:val="57"/>
        <w:spacing w:line="360" w:lineRule="auto"/>
        <w:ind w:firstLine="420"/>
        <w:rPr>
          <w:rFonts w:hint="eastAsia"/>
          <w:lang w:val="en-US" w:eastAsia="zh-CN"/>
        </w:rPr>
      </w:pPr>
      <w:r>
        <w:rPr>
          <w:rFonts w:hint="eastAsia"/>
          <w:lang w:val="en-US" w:eastAsia="zh-CN"/>
        </w:rPr>
        <w:t>对选定的系统进行定制化开发，以适应企业独特的业务流程和管理需求。</w:t>
      </w:r>
    </w:p>
    <w:p w14:paraId="466B6523">
      <w:pPr>
        <w:pStyle w:val="57"/>
        <w:spacing w:line="360" w:lineRule="auto"/>
        <w:ind w:firstLine="420"/>
        <w:rPr>
          <w:rFonts w:hint="eastAsia"/>
          <w:lang w:val="en-US" w:eastAsia="zh-CN"/>
        </w:rPr>
      </w:pPr>
      <w:r>
        <w:rPr>
          <w:rFonts w:hint="eastAsia"/>
          <w:lang w:val="en-US" w:eastAsia="zh-CN"/>
        </w:rPr>
        <w:t>实现系统与其他企业应用的集成，确保数据流通和业务协同。</w:t>
      </w:r>
    </w:p>
    <w:p w14:paraId="559331DF">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测试与验证</w:t>
      </w:r>
    </w:p>
    <w:p w14:paraId="1FDEADCD">
      <w:pPr>
        <w:pStyle w:val="57"/>
        <w:spacing w:line="360" w:lineRule="auto"/>
        <w:ind w:firstLine="420"/>
        <w:rPr>
          <w:rFonts w:hint="eastAsia" w:ascii="黑体" w:hAnsi="黑体" w:eastAsia="黑体" w:cs="Times New Roman"/>
          <w:sz w:val="21"/>
          <w:lang w:val="en-US" w:eastAsia="zh-CN" w:bidi="ar-SA"/>
        </w:rPr>
      </w:pPr>
      <w:r>
        <w:rPr>
          <w:rFonts w:hint="eastAsia"/>
          <w:lang w:val="en-US" w:eastAsia="zh-CN"/>
        </w:rPr>
        <w:t>一是实验室测试，功能测试覆盖全部模块，性能测试（如并发用户数≥1000）达标后进入试点；儿二是试点运行，选取3-5家企业试点，收集员工满意度、系统稳定性数据，优化调整周期≤1个月；三是</w:t>
      </w:r>
      <w:r>
        <w:rPr>
          <w:rFonts w:hint="eastAsia" w:ascii="黑体" w:hAnsi="黑体" w:eastAsia="黑体" w:cs="Times New Roman"/>
          <w:sz w:val="21"/>
          <w:lang w:val="en-US" w:eastAsia="zh-CN" w:bidi="ar-SA"/>
        </w:rPr>
        <w:t>持续优化，根据业务发展（如新业务线）及员工反馈（如功能需求），每年进行系统升级≥1次。</w:t>
      </w:r>
    </w:p>
    <w:p w14:paraId="72A2C75C">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上线与培训</w:t>
      </w:r>
    </w:p>
    <w:p w14:paraId="189CBB47">
      <w:pPr>
        <w:pStyle w:val="57"/>
        <w:spacing w:line="360" w:lineRule="auto"/>
        <w:ind w:firstLine="420"/>
        <w:rPr>
          <w:rFonts w:hint="eastAsia"/>
          <w:lang w:val="en-US" w:eastAsia="zh-CN"/>
        </w:rPr>
      </w:pPr>
      <w:r>
        <w:rPr>
          <w:rFonts w:hint="eastAsia"/>
          <w:lang w:val="en-US" w:eastAsia="zh-CN"/>
        </w:rPr>
        <w:t>正式上线数字化系统，并进行全员培训，确保员工能够熟练使用新系统。</w:t>
      </w:r>
    </w:p>
    <w:p w14:paraId="4064C485">
      <w:pPr>
        <w:pStyle w:val="57"/>
        <w:spacing w:line="360" w:lineRule="auto"/>
        <w:ind w:firstLine="420"/>
        <w:rPr>
          <w:rFonts w:hint="eastAsia"/>
          <w:lang w:val="en-US" w:eastAsia="zh-CN"/>
        </w:rPr>
      </w:pPr>
      <w:r>
        <w:rPr>
          <w:rFonts w:hint="eastAsia"/>
          <w:lang w:val="en-US" w:eastAsia="zh-CN"/>
        </w:rPr>
        <w:t>提供持续的技术支持和用户帮助，解决员工在使用过程中遇到的问题。</w:t>
      </w:r>
    </w:p>
    <w:p w14:paraId="7C4EEA13">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持续优化与迭代</w:t>
      </w:r>
    </w:p>
    <w:p w14:paraId="33B26A26">
      <w:pPr>
        <w:pStyle w:val="57"/>
        <w:spacing w:line="360" w:lineRule="auto"/>
        <w:ind w:firstLine="420"/>
        <w:rPr>
          <w:rFonts w:hint="eastAsia"/>
          <w:lang w:val="en-US" w:eastAsia="zh-CN"/>
        </w:rPr>
      </w:pPr>
      <w:r>
        <w:rPr>
          <w:rFonts w:hint="eastAsia"/>
          <w:lang w:val="en-US" w:eastAsia="zh-CN"/>
        </w:rPr>
        <w:t>根据业务发展和员工反馈，持续优化数字化系统功能和用户体验。</w:t>
      </w:r>
    </w:p>
    <w:p w14:paraId="5DC39812">
      <w:pPr>
        <w:pStyle w:val="57"/>
        <w:spacing w:line="360" w:lineRule="auto"/>
        <w:ind w:firstLine="420"/>
        <w:rPr>
          <w:rFonts w:hint="eastAsia"/>
          <w:lang w:val="en-US" w:eastAsia="zh-CN"/>
        </w:rPr>
      </w:pPr>
      <w:r>
        <w:rPr>
          <w:rFonts w:hint="eastAsia"/>
          <w:lang w:val="en-US" w:eastAsia="zh-CN"/>
        </w:rPr>
        <w:t>定期进行系统升级和迭代，保持系统的先进性和竞争力。</w:t>
      </w:r>
    </w:p>
    <w:p w14:paraId="1A485896">
      <w:pPr>
        <w:pStyle w:val="105"/>
        <w:spacing w:before="240" w:after="240" w:line="360" w:lineRule="auto"/>
        <w:rPr>
          <w:rFonts w:hint="eastAsia"/>
          <w:szCs w:val="21"/>
          <w:lang w:val="en-US" w:eastAsia="zh-CN"/>
        </w:rPr>
      </w:pPr>
      <w:bookmarkStart w:id="56" w:name="_Toc2967"/>
      <w:r>
        <w:rPr>
          <w:rFonts w:hint="eastAsia"/>
          <w:szCs w:val="21"/>
          <w:lang w:val="en-US" w:eastAsia="zh-CN"/>
        </w:rPr>
        <w:t>监督与评估</w:t>
      </w:r>
      <w:bookmarkEnd w:id="56"/>
    </w:p>
    <w:p w14:paraId="30FBBDC5">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运行管理</w:t>
      </w:r>
    </w:p>
    <w:p w14:paraId="7E233FD6">
      <w:pPr>
        <w:pStyle w:val="57"/>
        <w:spacing w:line="360" w:lineRule="auto"/>
        <w:ind w:firstLine="420"/>
        <w:rPr>
          <w:rFonts w:hint="eastAsia"/>
          <w:lang w:val="en-US" w:eastAsia="zh-CN"/>
        </w:rPr>
      </w:pPr>
      <w:r>
        <w:rPr>
          <w:rFonts w:hint="eastAsia"/>
          <w:lang w:val="en-US" w:eastAsia="zh-CN"/>
        </w:rPr>
        <w:t>设立专门的数字化转型管理团队，负责系统的日常运行和维护。</w:t>
      </w:r>
    </w:p>
    <w:p w14:paraId="47225EEE">
      <w:pPr>
        <w:pStyle w:val="57"/>
        <w:spacing w:line="360" w:lineRule="auto"/>
        <w:ind w:firstLine="420"/>
        <w:rPr>
          <w:rFonts w:hint="eastAsia"/>
          <w:lang w:val="en-US" w:eastAsia="zh-CN"/>
        </w:rPr>
      </w:pPr>
      <w:r>
        <w:rPr>
          <w:rFonts w:hint="eastAsia"/>
          <w:lang w:val="en-US" w:eastAsia="zh-CN"/>
        </w:rPr>
        <w:t>定期记录系统运行数据，生成分析报告，为管理层提供决策支持。</w:t>
      </w:r>
    </w:p>
    <w:p w14:paraId="0A6FA53A">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绩效评估</w:t>
      </w:r>
    </w:p>
    <w:p w14:paraId="31C3408C">
      <w:pPr>
        <w:pStyle w:val="57"/>
        <w:spacing w:line="360" w:lineRule="auto"/>
        <w:ind w:firstLine="420"/>
        <w:rPr>
          <w:rFonts w:hint="eastAsia"/>
          <w:lang w:val="en-US" w:eastAsia="zh-CN"/>
        </w:rPr>
      </w:pPr>
      <w:r>
        <w:rPr>
          <w:rFonts w:hint="eastAsia"/>
          <w:lang w:val="en-US" w:eastAsia="zh-CN"/>
        </w:rPr>
        <w:t>制定数字化转型绩效评估指标体系，定期评估转型成效。</w:t>
      </w:r>
    </w:p>
    <w:p w14:paraId="764D6297">
      <w:pPr>
        <w:pStyle w:val="57"/>
        <w:spacing w:line="360" w:lineRule="auto"/>
        <w:ind w:firstLine="420"/>
        <w:rPr>
          <w:rFonts w:hint="eastAsia"/>
          <w:lang w:val="en-US" w:eastAsia="zh-CN"/>
        </w:rPr>
      </w:pPr>
      <w:r>
        <w:rPr>
          <w:rFonts w:hint="eastAsia"/>
          <w:lang w:val="en-US" w:eastAsia="zh-CN"/>
        </w:rPr>
        <w:t>根据评估结果调整转型策略和实施计划，确保转型目标的达成。</w:t>
      </w:r>
    </w:p>
    <w:p w14:paraId="30BE6BED">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监管要求与合规性检查</w:t>
      </w:r>
    </w:p>
    <w:p w14:paraId="48FF04F3">
      <w:pPr>
        <w:pStyle w:val="57"/>
        <w:spacing w:line="360" w:lineRule="auto"/>
        <w:ind w:firstLine="420"/>
        <w:rPr>
          <w:rFonts w:hint="eastAsia"/>
          <w:lang w:val="en-US" w:eastAsia="zh-CN"/>
        </w:rPr>
      </w:pPr>
      <w:r>
        <w:rPr>
          <w:rFonts w:hint="eastAsia"/>
          <w:lang w:val="en-US" w:eastAsia="zh-CN"/>
        </w:rPr>
        <w:t>遵守国家相关法律法规和行业标准要求，确保数字化转型的合规性。</w:t>
      </w:r>
    </w:p>
    <w:p w14:paraId="2627DC9A">
      <w:pPr>
        <w:pStyle w:val="57"/>
        <w:spacing w:line="360" w:lineRule="auto"/>
        <w:ind w:firstLine="420"/>
        <w:rPr>
          <w:rFonts w:hint="eastAsia"/>
          <w:lang w:val="en-US" w:eastAsia="zh-CN"/>
        </w:rPr>
      </w:pPr>
      <w:r>
        <w:rPr>
          <w:rFonts w:hint="eastAsia"/>
          <w:lang w:val="en-US" w:eastAsia="zh-CN"/>
        </w:rPr>
        <w:t>定期接受监管部门的检查和评估，及时整改不符合项。</w:t>
      </w:r>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2"/>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2"/>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2"/>
    </w:pPr>
    <w:r>
      <w:fldChar w:fldCharType="begin"/>
    </w:r>
    <w:r>
      <w:instrText xml:space="preserve"> STYLEREF  标准文件_文件编号  \* MERGEFORMAT </w:instrText>
    </w:r>
    <w:r>
      <w:fldChar w:fldCharType="separate"/>
    </w:r>
    <w:r>
      <w:t>T/XZBX 0128—2025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0128—2025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2"/>
    </w:pPr>
    <w:r>
      <w:fldChar w:fldCharType="begin"/>
    </w:r>
    <w:r>
      <w:instrText xml:space="preserve"> STYLEREF  标准文件_文件编号  \* MERGEFORMAT </w:instrText>
    </w:r>
    <w:r>
      <w:fldChar w:fldCharType="separate"/>
    </w:r>
    <w:r>
      <w:t>T/XZBX 0128—2025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0128—2025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2"/>
    </w:pPr>
    <w:r>
      <w:fldChar w:fldCharType="begin"/>
    </w:r>
    <w:r>
      <w:instrText xml:space="preserve"> STYLEREF  标准文件_文件编号  \* MERGEFORMAT </w:instrText>
    </w:r>
    <w:r>
      <w:fldChar w:fldCharType="separate"/>
    </w:r>
    <w:r>
      <w:t>T/XZBX 0128—2025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0128—2025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2"/>
    </w:pPr>
    <w:r>
      <w:fldChar w:fldCharType="begin"/>
    </w:r>
    <w:r>
      <w:instrText xml:space="preserve"> STYLEREF  标准文件_文件编号  \* MERGEFORMAT </w:instrText>
    </w:r>
    <w:r>
      <w:fldChar w:fldCharType="separate"/>
    </w:r>
    <w:r>
      <w:t>T/XZBX 0128—2025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0128—2025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0483"/>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4DAD"/>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607"/>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14809"/>
    <w:rsid w:val="02063AB2"/>
    <w:rsid w:val="0227136C"/>
    <w:rsid w:val="02571F5F"/>
    <w:rsid w:val="02D45050"/>
    <w:rsid w:val="02EF39CF"/>
    <w:rsid w:val="03455F4E"/>
    <w:rsid w:val="035508BA"/>
    <w:rsid w:val="03B82117"/>
    <w:rsid w:val="03B86720"/>
    <w:rsid w:val="047B14FB"/>
    <w:rsid w:val="04B50EB1"/>
    <w:rsid w:val="04BC223F"/>
    <w:rsid w:val="04C133B2"/>
    <w:rsid w:val="04D644D2"/>
    <w:rsid w:val="0594649B"/>
    <w:rsid w:val="059B00A7"/>
    <w:rsid w:val="063A78C0"/>
    <w:rsid w:val="06450013"/>
    <w:rsid w:val="06604E4C"/>
    <w:rsid w:val="067676BD"/>
    <w:rsid w:val="082425D6"/>
    <w:rsid w:val="083D5267"/>
    <w:rsid w:val="09EA5159"/>
    <w:rsid w:val="0A4F1460"/>
    <w:rsid w:val="0A5B6057"/>
    <w:rsid w:val="0BAE0408"/>
    <w:rsid w:val="0BE1433A"/>
    <w:rsid w:val="0C796C68"/>
    <w:rsid w:val="0D704A07"/>
    <w:rsid w:val="0FC226D4"/>
    <w:rsid w:val="0FD22917"/>
    <w:rsid w:val="10352EA6"/>
    <w:rsid w:val="10853E2D"/>
    <w:rsid w:val="10D8319E"/>
    <w:rsid w:val="119836EC"/>
    <w:rsid w:val="11A5092B"/>
    <w:rsid w:val="12331667"/>
    <w:rsid w:val="123C051C"/>
    <w:rsid w:val="127777A6"/>
    <w:rsid w:val="13225964"/>
    <w:rsid w:val="13611C3D"/>
    <w:rsid w:val="1367270D"/>
    <w:rsid w:val="142034CA"/>
    <w:rsid w:val="14B52807"/>
    <w:rsid w:val="15227E9D"/>
    <w:rsid w:val="16104199"/>
    <w:rsid w:val="165D4F05"/>
    <w:rsid w:val="16B94831"/>
    <w:rsid w:val="16E82A20"/>
    <w:rsid w:val="176C54EA"/>
    <w:rsid w:val="18115FA7"/>
    <w:rsid w:val="18C67773"/>
    <w:rsid w:val="194523AC"/>
    <w:rsid w:val="19996E8D"/>
    <w:rsid w:val="19CF06A0"/>
    <w:rsid w:val="1ACA4340"/>
    <w:rsid w:val="1BC616CD"/>
    <w:rsid w:val="1C931680"/>
    <w:rsid w:val="1D4B1F5B"/>
    <w:rsid w:val="1D74500E"/>
    <w:rsid w:val="1D9A07EC"/>
    <w:rsid w:val="1F501AAA"/>
    <w:rsid w:val="1F554A44"/>
    <w:rsid w:val="1FF24E4E"/>
    <w:rsid w:val="202F16C0"/>
    <w:rsid w:val="207E61A3"/>
    <w:rsid w:val="213A656E"/>
    <w:rsid w:val="22032E04"/>
    <w:rsid w:val="234E00AF"/>
    <w:rsid w:val="23AE5EF7"/>
    <w:rsid w:val="24125580"/>
    <w:rsid w:val="24286B52"/>
    <w:rsid w:val="250F386E"/>
    <w:rsid w:val="258A1146"/>
    <w:rsid w:val="25956469"/>
    <w:rsid w:val="25F767DC"/>
    <w:rsid w:val="264439EB"/>
    <w:rsid w:val="26C358C3"/>
    <w:rsid w:val="274A7334"/>
    <w:rsid w:val="279462AC"/>
    <w:rsid w:val="280671AA"/>
    <w:rsid w:val="285919D0"/>
    <w:rsid w:val="28AC6949"/>
    <w:rsid w:val="28CB3F50"/>
    <w:rsid w:val="29172011"/>
    <w:rsid w:val="294206B6"/>
    <w:rsid w:val="29ED5A45"/>
    <w:rsid w:val="2A247DBB"/>
    <w:rsid w:val="2A4D10C0"/>
    <w:rsid w:val="2A6603D4"/>
    <w:rsid w:val="2AC944BF"/>
    <w:rsid w:val="2B41674B"/>
    <w:rsid w:val="2B4D4497"/>
    <w:rsid w:val="2BAF1907"/>
    <w:rsid w:val="2BFE65C2"/>
    <w:rsid w:val="2C7B4F1A"/>
    <w:rsid w:val="2C90587C"/>
    <w:rsid w:val="2CDE24A4"/>
    <w:rsid w:val="2CFB12A7"/>
    <w:rsid w:val="2D1B36F8"/>
    <w:rsid w:val="2DCF44E2"/>
    <w:rsid w:val="2E89643F"/>
    <w:rsid w:val="2F1A178D"/>
    <w:rsid w:val="2FBF58A6"/>
    <w:rsid w:val="2FC71A29"/>
    <w:rsid w:val="30185CCC"/>
    <w:rsid w:val="30234671"/>
    <w:rsid w:val="30FF50DE"/>
    <w:rsid w:val="31230DCD"/>
    <w:rsid w:val="33890C8F"/>
    <w:rsid w:val="33F61CAC"/>
    <w:rsid w:val="34980849"/>
    <w:rsid w:val="34CD1F56"/>
    <w:rsid w:val="34DF14AF"/>
    <w:rsid w:val="35BA60CE"/>
    <w:rsid w:val="36136B10"/>
    <w:rsid w:val="361909F0"/>
    <w:rsid w:val="36462E68"/>
    <w:rsid w:val="38844435"/>
    <w:rsid w:val="38DB1E98"/>
    <w:rsid w:val="39423DBA"/>
    <w:rsid w:val="39A24859"/>
    <w:rsid w:val="39AD1CD6"/>
    <w:rsid w:val="3A241712"/>
    <w:rsid w:val="3A451DB4"/>
    <w:rsid w:val="3A5F6E5C"/>
    <w:rsid w:val="3AD924FC"/>
    <w:rsid w:val="3AE07D2F"/>
    <w:rsid w:val="3B27385D"/>
    <w:rsid w:val="3B9C63F9"/>
    <w:rsid w:val="3C1E74E7"/>
    <w:rsid w:val="3D031FD4"/>
    <w:rsid w:val="3D09631F"/>
    <w:rsid w:val="3D65451B"/>
    <w:rsid w:val="3D8B21D4"/>
    <w:rsid w:val="3DBD4357"/>
    <w:rsid w:val="3DD31485"/>
    <w:rsid w:val="3E6946ED"/>
    <w:rsid w:val="3F0062A9"/>
    <w:rsid w:val="3F2B6BA4"/>
    <w:rsid w:val="3F9A4950"/>
    <w:rsid w:val="3FEB6F5A"/>
    <w:rsid w:val="401C07FB"/>
    <w:rsid w:val="421D3616"/>
    <w:rsid w:val="42293D69"/>
    <w:rsid w:val="427A2817"/>
    <w:rsid w:val="429D02B3"/>
    <w:rsid w:val="42EA346B"/>
    <w:rsid w:val="433E1A96"/>
    <w:rsid w:val="443D5731"/>
    <w:rsid w:val="44983428"/>
    <w:rsid w:val="45220F6C"/>
    <w:rsid w:val="456D21BF"/>
    <w:rsid w:val="45F60406"/>
    <w:rsid w:val="46AB11F1"/>
    <w:rsid w:val="46DF70EC"/>
    <w:rsid w:val="46EA695F"/>
    <w:rsid w:val="471D3E1A"/>
    <w:rsid w:val="47203CF1"/>
    <w:rsid w:val="47310761"/>
    <w:rsid w:val="4751378A"/>
    <w:rsid w:val="48972517"/>
    <w:rsid w:val="48BF5427"/>
    <w:rsid w:val="495A7BA0"/>
    <w:rsid w:val="498E0956"/>
    <w:rsid w:val="4AC80D07"/>
    <w:rsid w:val="4B8D7117"/>
    <w:rsid w:val="4CEA0599"/>
    <w:rsid w:val="4CEC60BF"/>
    <w:rsid w:val="4D112DB7"/>
    <w:rsid w:val="4E04568A"/>
    <w:rsid w:val="4E7C16C5"/>
    <w:rsid w:val="4F0911AA"/>
    <w:rsid w:val="4F3124AF"/>
    <w:rsid w:val="50242014"/>
    <w:rsid w:val="510A745C"/>
    <w:rsid w:val="512A365A"/>
    <w:rsid w:val="51527191"/>
    <w:rsid w:val="51962A9D"/>
    <w:rsid w:val="51986815"/>
    <w:rsid w:val="52E00474"/>
    <w:rsid w:val="53890B0C"/>
    <w:rsid w:val="540208BE"/>
    <w:rsid w:val="54322F51"/>
    <w:rsid w:val="547277F2"/>
    <w:rsid w:val="54831562"/>
    <w:rsid w:val="54BE47E5"/>
    <w:rsid w:val="54D67D81"/>
    <w:rsid w:val="552C79A0"/>
    <w:rsid w:val="55515659"/>
    <w:rsid w:val="55911EF9"/>
    <w:rsid w:val="56004989"/>
    <w:rsid w:val="565F5B54"/>
    <w:rsid w:val="573E4B9B"/>
    <w:rsid w:val="57633422"/>
    <w:rsid w:val="585316E8"/>
    <w:rsid w:val="58676F42"/>
    <w:rsid w:val="588B70D4"/>
    <w:rsid w:val="59046129"/>
    <w:rsid w:val="59AA17DC"/>
    <w:rsid w:val="59C609FF"/>
    <w:rsid w:val="59D96484"/>
    <w:rsid w:val="5AA82FEB"/>
    <w:rsid w:val="5B4A6DD2"/>
    <w:rsid w:val="5BA81D4B"/>
    <w:rsid w:val="5D170F36"/>
    <w:rsid w:val="5DAE61D8"/>
    <w:rsid w:val="5DBE5856"/>
    <w:rsid w:val="5E761C8C"/>
    <w:rsid w:val="5F447FDD"/>
    <w:rsid w:val="5F5A7800"/>
    <w:rsid w:val="5F5C378C"/>
    <w:rsid w:val="5FAB3BB8"/>
    <w:rsid w:val="6008725C"/>
    <w:rsid w:val="607448F1"/>
    <w:rsid w:val="60792979"/>
    <w:rsid w:val="60C50CA9"/>
    <w:rsid w:val="610417D1"/>
    <w:rsid w:val="61A651A2"/>
    <w:rsid w:val="61DE0274"/>
    <w:rsid w:val="62824F60"/>
    <w:rsid w:val="62CE02E9"/>
    <w:rsid w:val="62FF1699"/>
    <w:rsid w:val="63422A85"/>
    <w:rsid w:val="635D166D"/>
    <w:rsid w:val="63DD1F37"/>
    <w:rsid w:val="64410F8F"/>
    <w:rsid w:val="64502F80"/>
    <w:rsid w:val="64562060"/>
    <w:rsid w:val="646627A3"/>
    <w:rsid w:val="64AD2180"/>
    <w:rsid w:val="65501489"/>
    <w:rsid w:val="65705687"/>
    <w:rsid w:val="658E3D60"/>
    <w:rsid w:val="65B73BCD"/>
    <w:rsid w:val="66E77BCB"/>
    <w:rsid w:val="68846345"/>
    <w:rsid w:val="68F62348"/>
    <w:rsid w:val="69407A67"/>
    <w:rsid w:val="694C1F68"/>
    <w:rsid w:val="6B4C26F3"/>
    <w:rsid w:val="6B60619E"/>
    <w:rsid w:val="6BF559D1"/>
    <w:rsid w:val="6C2216A6"/>
    <w:rsid w:val="6C351337"/>
    <w:rsid w:val="6CE55009"/>
    <w:rsid w:val="6D940381"/>
    <w:rsid w:val="6E645FA5"/>
    <w:rsid w:val="6F655B31"/>
    <w:rsid w:val="6F776C50"/>
    <w:rsid w:val="6FA80114"/>
    <w:rsid w:val="701E42B5"/>
    <w:rsid w:val="705A140E"/>
    <w:rsid w:val="7084648B"/>
    <w:rsid w:val="712970EF"/>
    <w:rsid w:val="71357785"/>
    <w:rsid w:val="72155D12"/>
    <w:rsid w:val="72653996"/>
    <w:rsid w:val="72695938"/>
    <w:rsid w:val="72A921D9"/>
    <w:rsid w:val="735C6961"/>
    <w:rsid w:val="7367064C"/>
    <w:rsid w:val="73F2195D"/>
    <w:rsid w:val="740A3B48"/>
    <w:rsid w:val="753B71DD"/>
    <w:rsid w:val="756B293B"/>
    <w:rsid w:val="75D03F20"/>
    <w:rsid w:val="75DA1174"/>
    <w:rsid w:val="78AD1F12"/>
    <w:rsid w:val="78CC09CF"/>
    <w:rsid w:val="78CD4747"/>
    <w:rsid w:val="79256331"/>
    <w:rsid w:val="79A4194C"/>
    <w:rsid w:val="7AA54A68"/>
    <w:rsid w:val="7AC754CB"/>
    <w:rsid w:val="7B197BF9"/>
    <w:rsid w:val="7BAE0860"/>
    <w:rsid w:val="7BF070CA"/>
    <w:rsid w:val="7C093CE8"/>
    <w:rsid w:val="7C1E59E5"/>
    <w:rsid w:val="7C2F7BF3"/>
    <w:rsid w:val="7CCE07E8"/>
    <w:rsid w:val="7D5D41EC"/>
    <w:rsid w:val="7DBC3708"/>
    <w:rsid w:val="7DEC566F"/>
    <w:rsid w:val="7E6671D0"/>
    <w:rsid w:val="7ECA3C03"/>
    <w:rsid w:val="7EEF69EF"/>
    <w:rsid w:val="7F2F1CB8"/>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2536</Words>
  <Characters>2784</Characters>
  <Lines>48</Lines>
  <Paragraphs>13</Paragraphs>
  <TotalTime>0</TotalTime>
  <ScaleCrop>false</ScaleCrop>
  <LinksUpToDate>false</LinksUpToDate>
  <CharactersWithSpaces>2839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2025-10-29T08:25:36Z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2052-12.1.0.23542</vt:lpwstr>
  </property>
  <property fmtid="{D5CDD505-2E9C-101B-9397-08002B2CF9AE}" pid="17" name="ICV">
    <vt:lpwstr>A30C2BEBB02B4030816E82C94804B5C9_12</vt:lpwstr>
  </property>
</Properties>
</file>