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27.16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27.160</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D 44"/>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D 44</w:t>
            </w:r>
            <w:r>
              <w:rPr>
                <w:rFonts w:ascii="黑体" w:hAnsi="黑体" w:eastAsia="黑体" w:cs="Times New Roman"/>
                <w:kern w:val="2"/>
                <w:sz w:val="21"/>
                <w:szCs w:val="21"/>
                <w:lang w:val="en-US" w:eastAsia="zh-CN" w:bidi="ar-SA"/>
              </w:rPr>
              <w:fldChar w:fldCharType="end"/>
            </w:r>
            <w:bookmarkEnd w:id="2"/>
          </w:p>
        </w:tc>
      </w:tr>
    </w:tbl>
    <w:p w14:paraId="7C20094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6"/>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27"/>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0127</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1"/>
        <w:framePr w:w="9639" w:h="6976" w:hRule="exact" w:hSpace="0" w:vSpace="0" w:wrap="around" w:hAnchor="page" w:y="6408"/>
        <w:jc w:val="center"/>
        <w:rPr>
          <w:rFonts w:ascii="黑体" w:hAnsi="黑体" w:eastAsia="黑体"/>
          <w:b w:val="0"/>
          <w:bCs w:val="0"/>
          <w:w w:val="100"/>
        </w:rPr>
      </w:pPr>
    </w:p>
    <w:p w14:paraId="32EC4788">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光伏与储能协同并网功率调控应用指南"/>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光伏与储能协同并网功率调控应用指南</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Application Guide for Coordinated Grid-Connection Power Regulation of Photovoltaic and Energy Storage Systems"/>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Application Guide for Coordinated Grid-Connection Power Regulation of Photovoltaic and Energy Storage Systems</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6"/>
        <w:framePr w:w="9639" w:h="6974" w:hRule="exact" w:wrap="around" w:vAnchor="page" w:hAnchor="page" w:x="1419" w:y="6408" w:anchorLock="1"/>
        <w:textAlignment w:val="bottom"/>
        <w:rPr>
          <w:rFonts w:eastAsia="黑体"/>
          <w:szCs w:val="28"/>
        </w:rPr>
      </w:pPr>
    </w:p>
    <w:p w14:paraId="1EEEC87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4"/>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5"/>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2"/>
        <w:spacing w:after="360"/>
      </w:pPr>
      <w:bookmarkStart w:id="21" w:name="BookMark1"/>
      <w:bookmarkStart w:id="22" w:name="_Toc197342205"/>
      <w:r>
        <w:rPr>
          <w:rFonts w:hint="eastAsia"/>
          <w:spacing w:val="320"/>
        </w:rPr>
        <w:t>目</w:t>
      </w:r>
      <w:r>
        <w:rPr>
          <w:rFonts w:hint="eastAsia"/>
        </w:rPr>
        <w:t>次</w:t>
      </w:r>
    </w:p>
    <w:p w14:paraId="47750E8F">
      <w:pPr>
        <w:pStyle w:val="19"/>
        <w:tabs>
          <w:tab w:val="right" w:leader="dot" w:pos="9354"/>
        </w:tabs>
      </w:pPr>
      <w:r>
        <w:fldChar w:fldCharType="begin"/>
      </w:r>
      <w:r>
        <w:instrText xml:space="preserve"> TOC \o "1-1" \h </w:instrText>
      </w:r>
      <w:r>
        <w:fldChar w:fldCharType="separate"/>
      </w:r>
      <w:r>
        <w:fldChar w:fldCharType="begin"/>
      </w:r>
      <w:r>
        <w:instrText xml:space="preserve"> HYPERLINK \l _Toc14656 </w:instrText>
      </w:r>
      <w:r>
        <w:fldChar w:fldCharType="separate"/>
      </w:r>
      <w:r>
        <w:rPr>
          <w:spacing w:val="320"/>
        </w:rPr>
        <w:t>前</w:t>
      </w:r>
      <w:r>
        <w:t>言</w:t>
      </w:r>
      <w:r>
        <w:tab/>
      </w:r>
      <w:r>
        <w:fldChar w:fldCharType="begin"/>
      </w:r>
      <w:r>
        <w:instrText xml:space="preserve"> PAGEREF _Toc14656 \h </w:instrText>
      </w:r>
      <w:r>
        <w:fldChar w:fldCharType="separate"/>
      </w:r>
      <w:r>
        <w:t>III</w:t>
      </w:r>
      <w:r>
        <w:fldChar w:fldCharType="end"/>
      </w:r>
      <w:r>
        <w:fldChar w:fldCharType="end"/>
      </w:r>
    </w:p>
    <w:p w14:paraId="4B5F3101">
      <w:pPr>
        <w:pStyle w:val="19"/>
        <w:tabs>
          <w:tab w:val="right" w:leader="dot" w:pos="9354"/>
        </w:tabs>
      </w:pPr>
      <w:r>
        <w:fldChar w:fldCharType="begin"/>
      </w:r>
      <w:r>
        <w:instrText xml:space="preserve"> HYPERLINK \l _Toc25160 </w:instrText>
      </w:r>
      <w:r>
        <w:fldChar w:fldCharType="separate"/>
      </w:r>
      <w:r>
        <w:rPr>
          <w:spacing w:val="320"/>
        </w:rPr>
        <w:t>引</w:t>
      </w:r>
      <w:r>
        <w:t>言</w:t>
      </w:r>
      <w:r>
        <w:tab/>
      </w:r>
      <w:r>
        <w:fldChar w:fldCharType="begin"/>
      </w:r>
      <w:r>
        <w:instrText xml:space="preserve"> PAGEREF _Toc25160 \h </w:instrText>
      </w:r>
      <w:r>
        <w:fldChar w:fldCharType="separate"/>
      </w:r>
      <w:r>
        <w:t>V</w:t>
      </w:r>
      <w:r>
        <w:fldChar w:fldCharType="end"/>
      </w:r>
      <w:r>
        <w:fldChar w:fldCharType="end"/>
      </w:r>
    </w:p>
    <w:p w14:paraId="1FC62C54">
      <w:pPr>
        <w:pStyle w:val="19"/>
        <w:tabs>
          <w:tab w:val="right" w:leader="dot" w:pos="9354"/>
        </w:tabs>
      </w:pPr>
      <w:r>
        <w:fldChar w:fldCharType="begin"/>
      </w:r>
      <w:r>
        <w:instrText xml:space="preserve"> HYPERLINK \l _Toc2665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_Toc2665 \h </w:instrText>
      </w:r>
      <w:r>
        <w:fldChar w:fldCharType="separate"/>
      </w:r>
      <w:r>
        <w:t>1</w:t>
      </w:r>
      <w:r>
        <w:fldChar w:fldCharType="end"/>
      </w:r>
      <w:r>
        <w:fldChar w:fldCharType="end"/>
      </w:r>
    </w:p>
    <w:p w14:paraId="0A80A712">
      <w:pPr>
        <w:pStyle w:val="19"/>
        <w:tabs>
          <w:tab w:val="right" w:leader="dot" w:pos="9354"/>
        </w:tabs>
      </w:pPr>
      <w:r>
        <w:fldChar w:fldCharType="begin"/>
      </w:r>
      <w:r>
        <w:instrText xml:space="preserve"> HYPERLINK \l _Toc24905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_Toc24905 \h </w:instrText>
      </w:r>
      <w:r>
        <w:fldChar w:fldCharType="separate"/>
      </w:r>
      <w:r>
        <w:t>1</w:t>
      </w:r>
      <w:r>
        <w:fldChar w:fldCharType="end"/>
      </w:r>
      <w:r>
        <w:fldChar w:fldCharType="end"/>
      </w:r>
    </w:p>
    <w:p w14:paraId="683B3715">
      <w:pPr>
        <w:pStyle w:val="19"/>
        <w:tabs>
          <w:tab w:val="right" w:leader="dot" w:pos="9354"/>
        </w:tabs>
      </w:pPr>
      <w:r>
        <w:fldChar w:fldCharType="begin"/>
      </w:r>
      <w:r>
        <w:instrText xml:space="preserve"> HYPERLINK \l _Toc1037 </w:instrText>
      </w:r>
      <w:r>
        <w:fldChar w:fldCharType="separate"/>
      </w:r>
      <w:r>
        <w:rPr>
          <w:rFonts w:hint="eastAsia"/>
          <w:szCs w:val="21"/>
        </w:rPr>
        <w:t>3 术语和定义</w:t>
      </w:r>
      <w:r>
        <w:tab/>
      </w:r>
      <w:r>
        <w:fldChar w:fldCharType="begin"/>
      </w:r>
      <w:r>
        <w:instrText xml:space="preserve"> PAGEREF _Toc1037 \h </w:instrText>
      </w:r>
      <w:r>
        <w:fldChar w:fldCharType="separate"/>
      </w:r>
      <w:r>
        <w:t>1</w:t>
      </w:r>
      <w:r>
        <w:fldChar w:fldCharType="end"/>
      </w:r>
      <w:r>
        <w:fldChar w:fldCharType="end"/>
      </w:r>
    </w:p>
    <w:p w14:paraId="537B1079">
      <w:pPr>
        <w:pStyle w:val="19"/>
        <w:tabs>
          <w:tab w:val="right" w:leader="dot" w:pos="9354"/>
        </w:tabs>
      </w:pPr>
      <w:r>
        <w:fldChar w:fldCharType="begin"/>
      </w:r>
      <w:r>
        <w:instrText xml:space="preserve"> HYPERLINK \l _Toc9730 </w:instrText>
      </w:r>
      <w:r>
        <w:fldChar w:fldCharType="separate"/>
      </w:r>
      <w:r>
        <w:rPr>
          <w:rFonts w:hint="eastAsia"/>
          <w:szCs w:val="21"/>
        </w:rPr>
        <w:t>4 基本要求</w:t>
      </w:r>
      <w:r>
        <w:tab/>
      </w:r>
      <w:r>
        <w:fldChar w:fldCharType="begin"/>
      </w:r>
      <w:r>
        <w:instrText xml:space="preserve"> PAGEREF _Toc9730 \h </w:instrText>
      </w:r>
      <w:r>
        <w:fldChar w:fldCharType="separate"/>
      </w:r>
      <w:r>
        <w:t>1</w:t>
      </w:r>
      <w:r>
        <w:fldChar w:fldCharType="end"/>
      </w:r>
      <w:r>
        <w:fldChar w:fldCharType="end"/>
      </w:r>
    </w:p>
    <w:p w14:paraId="450202DA">
      <w:pPr>
        <w:pStyle w:val="19"/>
        <w:tabs>
          <w:tab w:val="right" w:leader="dot" w:pos="9354"/>
        </w:tabs>
      </w:pPr>
      <w:r>
        <w:fldChar w:fldCharType="begin"/>
      </w:r>
      <w:r>
        <w:instrText xml:space="preserve"> HYPERLINK \l _Toc24597 </w:instrText>
      </w:r>
      <w:r>
        <w:fldChar w:fldCharType="separate"/>
      </w:r>
      <w:r>
        <w:rPr>
          <w:rFonts w:hint="eastAsia"/>
          <w:szCs w:val="21"/>
        </w:rPr>
        <w:t>5 技术要求</w:t>
      </w:r>
      <w:r>
        <w:tab/>
      </w:r>
      <w:r>
        <w:fldChar w:fldCharType="begin"/>
      </w:r>
      <w:r>
        <w:instrText xml:space="preserve"> PAGEREF _Toc24597 \h </w:instrText>
      </w:r>
      <w:r>
        <w:fldChar w:fldCharType="separate"/>
      </w:r>
      <w:r>
        <w:t>2</w:t>
      </w:r>
      <w:r>
        <w:fldChar w:fldCharType="end"/>
      </w:r>
      <w:r>
        <w:fldChar w:fldCharType="end"/>
      </w:r>
    </w:p>
    <w:p w14:paraId="5DF21E70">
      <w:pPr>
        <w:pStyle w:val="19"/>
        <w:tabs>
          <w:tab w:val="right" w:leader="dot" w:pos="9354"/>
        </w:tabs>
      </w:pPr>
      <w:r>
        <w:fldChar w:fldCharType="begin"/>
      </w:r>
      <w:r>
        <w:instrText xml:space="preserve"> HYPERLINK \l _Toc22011 </w:instrText>
      </w:r>
      <w:r>
        <w:fldChar w:fldCharType="separate"/>
      </w:r>
      <w:r>
        <w:rPr>
          <w:rFonts w:hint="eastAsia"/>
          <w:szCs w:val="21"/>
        </w:rPr>
        <w:t>6 测试与验证</w:t>
      </w:r>
      <w:r>
        <w:tab/>
      </w:r>
      <w:r>
        <w:fldChar w:fldCharType="begin"/>
      </w:r>
      <w:r>
        <w:instrText xml:space="preserve"> PAGEREF _Toc22011 \h </w:instrText>
      </w:r>
      <w:r>
        <w:fldChar w:fldCharType="separate"/>
      </w:r>
      <w:r>
        <w:t>2</w:t>
      </w:r>
      <w:r>
        <w:fldChar w:fldCharType="end"/>
      </w:r>
      <w:r>
        <w:fldChar w:fldCharType="end"/>
      </w:r>
    </w:p>
    <w:p w14:paraId="038D7F64">
      <w:pPr>
        <w:pStyle w:val="19"/>
        <w:tabs>
          <w:tab w:val="right" w:leader="dot" w:pos="9354"/>
        </w:tabs>
      </w:pPr>
      <w:r>
        <w:fldChar w:fldCharType="begin"/>
      </w:r>
      <w:r>
        <w:instrText xml:space="preserve"> HYPERLINK \l _Toc15386 </w:instrText>
      </w:r>
      <w:r>
        <w:fldChar w:fldCharType="separate"/>
      </w:r>
      <w:r>
        <w:rPr>
          <w:rFonts w:hint="eastAsia"/>
          <w:szCs w:val="21"/>
        </w:rPr>
        <w:t>7 实施与监督</w:t>
      </w:r>
      <w:r>
        <w:tab/>
      </w:r>
      <w:r>
        <w:fldChar w:fldCharType="begin"/>
      </w:r>
      <w:r>
        <w:instrText xml:space="preserve"> PAGEREF _Toc15386 \h </w:instrText>
      </w:r>
      <w:r>
        <w:fldChar w:fldCharType="separate"/>
      </w:r>
      <w:r>
        <w:t>2</w:t>
      </w:r>
      <w:r>
        <w:fldChar w:fldCharType="end"/>
      </w:r>
      <w:r>
        <w:fldChar w:fldCharType="end"/>
      </w:r>
    </w:p>
    <w:p w14:paraId="1B51B50A">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90"/>
        <w:spacing w:before="900" w:after="360"/>
      </w:pPr>
      <w:bookmarkStart w:id="23" w:name="_Toc14656"/>
      <w:bookmarkStart w:id="24" w:name="BookMark2"/>
      <w:r>
        <w:rPr>
          <w:spacing w:val="320"/>
        </w:rPr>
        <w:t>前</w:t>
      </w:r>
      <w:r>
        <w:t>言</w:t>
      </w:r>
      <w:bookmarkEnd w:id="22"/>
      <w:bookmarkEnd w:id="23"/>
    </w:p>
    <w:p w14:paraId="5DC8D965">
      <w:pPr>
        <w:pStyle w:val="57"/>
        <w:spacing w:line="360" w:lineRule="auto"/>
        <w:ind w:firstLine="420"/>
      </w:pPr>
      <w:r>
        <w:rPr>
          <w:rFonts w:hint="eastAsia"/>
        </w:rPr>
        <w:t>本文件按照GB/T 1.1—2020《标准化工作导则  第1部分：标准化文件的结构和起草规则》的规定起草。</w:t>
      </w:r>
    </w:p>
    <w:p w14:paraId="3BF47523">
      <w:pPr>
        <w:pStyle w:val="57"/>
        <w:spacing w:line="360" w:lineRule="auto"/>
        <w:ind w:firstLine="420"/>
      </w:pPr>
      <w:r>
        <w:rPr>
          <w:rFonts w:hint="eastAsia"/>
        </w:rPr>
        <w:t>请注意本文件的某些内容可能涉及专利。本文件的发布机构不承担识别专利的责任。</w:t>
      </w:r>
    </w:p>
    <w:p w14:paraId="754B7426">
      <w:pPr>
        <w:pStyle w:val="57"/>
        <w:spacing w:line="360" w:lineRule="auto"/>
        <w:ind w:firstLine="420"/>
      </w:pPr>
      <w:r>
        <w:rPr>
          <w:rFonts w:hint="eastAsia"/>
        </w:rPr>
        <w:t>本文件由西安市质量与标准化协会提出并归口。</w:t>
      </w:r>
    </w:p>
    <w:p w14:paraId="5B8DD1E1">
      <w:pPr>
        <w:pStyle w:val="57"/>
        <w:spacing w:line="360" w:lineRule="auto"/>
        <w:ind w:firstLine="420"/>
        <w:rPr>
          <w:rFonts w:hint="eastAsia"/>
          <w:lang w:eastAsia="zh-CN"/>
        </w:rPr>
      </w:pPr>
      <w:r>
        <w:rPr>
          <w:rFonts w:hint="eastAsia"/>
        </w:rPr>
        <w:t>本文件起草单位：滨州市技师学院</w:t>
      </w:r>
      <w:r>
        <w:rPr>
          <w:rFonts w:hint="eastAsia"/>
          <w:lang w:val="en-US" w:eastAsia="zh-CN"/>
        </w:rPr>
        <w:t>。</w:t>
      </w:r>
    </w:p>
    <w:p w14:paraId="6F393388">
      <w:pPr>
        <w:pStyle w:val="57"/>
        <w:spacing w:line="360" w:lineRule="auto"/>
        <w:ind w:firstLine="420"/>
        <w:rPr>
          <w:rFonts w:hint="default"/>
          <w:lang w:val="en-US" w:eastAsia="zh-CN"/>
        </w:rPr>
      </w:pPr>
      <w:r>
        <w:rPr>
          <w:rFonts w:hint="eastAsia"/>
        </w:rPr>
        <w:t>本文件主要起草人：</w:t>
      </w:r>
      <w:r>
        <w:rPr>
          <w:rFonts w:hint="default"/>
          <w:lang w:val="en-US" w:eastAsia="zh-CN"/>
        </w:rPr>
        <w:t>尚川川</w:t>
      </w:r>
      <w:r>
        <w:rPr>
          <w:rFonts w:hint="eastAsia"/>
          <w:lang w:val="en-US" w:eastAsia="zh-CN"/>
        </w:rPr>
        <w:t>。</w:t>
      </w:r>
      <w:bookmarkStart w:id="57" w:name="_GoBack"/>
      <w:bookmarkEnd w:id="57"/>
    </w:p>
    <w:p w14:paraId="26D9D901">
      <w:pPr>
        <w:pStyle w:val="57"/>
        <w:ind w:firstLine="420"/>
      </w:pPr>
    </w:p>
    <w:p w14:paraId="635AF019">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90"/>
        <w:spacing w:after="360"/>
      </w:pPr>
      <w:bookmarkStart w:id="25" w:name="_Toc197342206"/>
      <w:bookmarkStart w:id="26" w:name="_Toc25160"/>
      <w:bookmarkStart w:id="27" w:name="BookMark3"/>
      <w:r>
        <w:rPr>
          <w:spacing w:val="320"/>
        </w:rPr>
        <w:t>引</w:t>
      </w:r>
      <w:r>
        <w:t>言</w:t>
      </w:r>
      <w:bookmarkEnd w:id="25"/>
      <w:bookmarkEnd w:id="26"/>
    </w:p>
    <w:p w14:paraId="3DE740DD">
      <w:pPr>
        <w:pStyle w:val="57"/>
        <w:spacing w:line="360" w:lineRule="auto"/>
        <w:ind w:left="0" w:leftChars="0" w:firstLine="420" w:firstLineChars="200"/>
        <w:rPr>
          <w:rFonts w:hint="eastAsia"/>
        </w:rPr>
      </w:pPr>
      <w:r>
        <w:rPr>
          <w:rFonts w:hint="eastAsia"/>
        </w:rPr>
        <w:t>在全球能源转型与“双碳”目标驱动下，光伏发电与储能技术的协同应用已成为构建新型电力系统的核心路径。</w:t>
      </w:r>
    </w:p>
    <w:p w14:paraId="10A83832">
      <w:pPr>
        <w:pStyle w:val="57"/>
        <w:spacing w:line="360" w:lineRule="auto"/>
        <w:ind w:left="0" w:leftChars="0" w:firstLine="420" w:firstLineChars="200"/>
        <w:rPr>
          <w:rFonts w:hint="eastAsia"/>
        </w:rPr>
      </w:pPr>
      <w:r>
        <w:rPr>
          <w:rFonts w:hint="eastAsia"/>
        </w:rPr>
        <w:t>截至2025年，我国光伏累计装机容量突破8亿千瓦，储能装机规模超1.5亿千瓦，高比例可再生能源接入对电网稳定性提出严峻挑战。传统并网模式下，光伏出力的间歇性与波动性易导致电网频率偏移、电压波动，而储能系统的独立运行又面临调度灵活性不足、经济性偏低等问题，难以满足电网对功率动态平衡的精细化需求。当前，光伏与储能协同控制技术虽取得进展，但标准体系滞后制约了规模化应用。一方面，数据交互缺乏统一规范，不同厂商设备通信协议兼容性差，导致协同响应延迟；另一方面，功率预测模型精度不足，超短期预测误差率普遍超过10%，影响调度决策准确性。此外，安全防护机制不完善，网络攻击与设备故障易引发连锁风险，威胁电网安全运行。本指南聚焦光伏与储能协同并网的关键环节，通过规范数据采集、功率预测、控制策略及安全防护等技术要求，解决标准不统一、调控不精准、安全不可靠等痛点。指南的实施将推动行业技术升级，提升可再生能源消纳能力，为构建“源网荷储”一体化智慧电网提供标准化支撑，助力我国能源结构绿色低碳转型。</w:t>
      </w:r>
    </w:p>
    <w:p w14:paraId="30E55E16">
      <w:pPr>
        <w:pStyle w:val="57"/>
        <w:spacing w:line="360" w:lineRule="auto"/>
        <w:ind w:firstLine="420"/>
        <w:rPr>
          <w:rFonts w:hint="eastAsia"/>
        </w:rPr>
      </w:pPr>
    </w:p>
    <w:p w14:paraId="1FD0EDB2">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8"/>
            <w:spacing w:after="0"/>
          </w:pPr>
          <w:bookmarkStart w:id="29" w:name="NEW_STAND_NAME"/>
          <w:r>
            <w:rPr>
              <w:rFonts w:hint="eastAsia"/>
            </w:rPr>
            <w:t>光伏与储能协同并网功率调控应用指南</w:t>
          </w:r>
        </w:p>
      </w:sdtContent>
    </w:sdt>
    <w:bookmarkEnd w:id="29"/>
    <w:p w14:paraId="1339BF1A">
      <w:pPr>
        <w:pStyle w:val="105"/>
        <w:spacing w:before="240" w:after="240" w:line="360" w:lineRule="auto"/>
      </w:pPr>
      <w:bookmarkStart w:id="30" w:name="_Toc197342207"/>
      <w:bookmarkStart w:id="31" w:name="_Toc97192964"/>
      <w:bookmarkStart w:id="32" w:name="_Toc26986771"/>
      <w:bookmarkStart w:id="33" w:name="_Toc17233333"/>
      <w:bookmarkStart w:id="34" w:name="_Toc26718930"/>
      <w:bookmarkStart w:id="35" w:name="_Toc26986530"/>
      <w:bookmarkStart w:id="36" w:name="_Toc24884218"/>
      <w:bookmarkStart w:id="37" w:name="_Toc17233325"/>
      <w:bookmarkStart w:id="38" w:name="_Toc26648465"/>
      <w:bookmarkStart w:id="39" w:name="_Toc24884211"/>
      <w:bookmarkStart w:id="40" w:name="_Toc2665"/>
      <w:r>
        <w:rPr>
          <w:rFonts w:hint="eastAsia"/>
        </w:rPr>
        <w:t>范围</w:t>
      </w:r>
      <w:bookmarkEnd w:id="30"/>
      <w:bookmarkEnd w:id="31"/>
      <w:bookmarkEnd w:id="32"/>
      <w:bookmarkEnd w:id="33"/>
      <w:bookmarkEnd w:id="34"/>
      <w:bookmarkEnd w:id="35"/>
      <w:bookmarkEnd w:id="36"/>
      <w:bookmarkEnd w:id="37"/>
      <w:bookmarkEnd w:id="38"/>
      <w:bookmarkEnd w:id="39"/>
      <w:bookmarkEnd w:id="40"/>
    </w:p>
    <w:p w14:paraId="4D44EB1A">
      <w:pPr>
        <w:pStyle w:val="57"/>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eastAsia="宋体"/>
          <w:lang w:eastAsia="zh-CN"/>
        </w:rPr>
      </w:pPr>
      <w:bookmarkStart w:id="41" w:name="_Toc17233334"/>
      <w:bookmarkStart w:id="42" w:name="_Toc24884219"/>
      <w:bookmarkStart w:id="43" w:name="_Toc24884212"/>
      <w:bookmarkStart w:id="44" w:name="_Toc17233326"/>
      <w:bookmarkStart w:id="45" w:name="_Toc26648466"/>
      <w:r>
        <w:rPr>
          <w:rFonts w:hint="eastAsia"/>
          <w:lang w:eastAsia="zh-CN"/>
        </w:rPr>
        <w:t>本文件规定了光伏与储能协同并网功率调控的技术要求，包括数据交互、功率预测、协同控制策略及安全防护等内容。本文件适用于光伏发电系统、储能系统及配套调控设备的研发、设计、测试与运行维护。</w:t>
      </w:r>
    </w:p>
    <w:p w14:paraId="24B680AA">
      <w:pPr>
        <w:pStyle w:val="105"/>
        <w:spacing w:before="240" w:after="240" w:line="360" w:lineRule="auto"/>
        <w:rPr>
          <w:rFonts w:hint="eastAsia"/>
          <w:szCs w:val="21"/>
        </w:rPr>
      </w:pPr>
      <w:bookmarkStart w:id="46" w:name="_Toc26986531"/>
      <w:bookmarkStart w:id="47" w:name="_Toc24905"/>
      <w:bookmarkStart w:id="48" w:name="_Toc97192965"/>
      <w:bookmarkStart w:id="49" w:name="_Toc197342208"/>
      <w:bookmarkStart w:id="50" w:name="_Toc26718931"/>
      <w:bookmarkStart w:id="51" w:name="_Toc26986772"/>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C5E881D">
      <w:pPr>
        <w:pStyle w:val="57"/>
        <w:spacing w:line="360" w:lineRule="auto"/>
        <w:ind w:firstLine="420"/>
        <w:rPr>
          <w:rFonts w:hint="eastAsia"/>
        </w:rPr>
      </w:pPr>
      <w:r>
        <w:rPr>
          <w:rFonts w:hint="eastAsia"/>
        </w:rPr>
        <w:t>GB/T 36547-2018 电化学储能系统接入电网技术规定</w:t>
      </w:r>
    </w:p>
    <w:p w14:paraId="22F719BA">
      <w:pPr>
        <w:pStyle w:val="57"/>
        <w:spacing w:line="360" w:lineRule="auto"/>
        <w:ind w:firstLine="420"/>
        <w:rPr>
          <w:rFonts w:hint="eastAsia"/>
        </w:rPr>
      </w:pPr>
      <w:r>
        <w:rPr>
          <w:rFonts w:hint="eastAsia"/>
        </w:rPr>
        <w:t>GB/T 33593-2017 分布式电源并网技术要求</w:t>
      </w:r>
    </w:p>
    <w:p w14:paraId="1B7A0879">
      <w:pPr>
        <w:pStyle w:val="57"/>
        <w:spacing w:line="360" w:lineRule="auto"/>
        <w:ind w:firstLine="420"/>
        <w:rPr>
          <w:rFonts w:hint="eastAsia"/>
        </w:rPr>
      </w:pPr>
      <w:r>
        <w:rPr>
          <w:rFonts w:hint="eastAsia"/>
        </w:rPr>
        <w:t>GB/T 19964-2012 光伏发电站接入电力系统技术规定</w:t>
      </w:r>
    </w:p>
    <w:p w14:paraId="7AEBF368">
      <w:pPr>
        <w:pStyle w:val="57"/>
        <w:spacing w:line="360" w:lineRule="auto"/>
        <w:ind w:firstLine="420"/>
        <w:rPr>
          <w:rFonts w:hint="eastAsia"/>
        </w:rPr>
      </w:pPr>
      <w:r>
        <w:rPr>
          <w:rFonts w:hint="eastAsia"/>
        </w:rPr>
        <w:t>IEC 61850-7-420 电力系统自动化通信网络与系统</w:t>
      </w:r>
    </w:p>
    <w:bookmarkEnd w:id="28"/>
    <w:p w14:paraId="77D14E71">
      <w:pPr>
        <w:pStyle w:val="105"/>
        <w:spacing w:before="240" w:after="240" w:line="360" w:lineRule="auto"/>
        <w:rPr>
          <w:rFonts w:hint="eastAsia"/>
          <w:szCs w:val="21"/>
        </w:rPr>
      </w:pPr>
      <w:bookmarkStart w:id="52" w:name="_Toc1037"/>
      <w:r>
        <w:rPr>
          <w:rFonts w:hint="eastAsia"/>
          <w:szCs w:val="21"/>
        </w:rPr>
        <w:t>术语和定义</w:t>
      </w:r>
      <w:bookmarkEnd w:id="52"/>
    </w:p>
    <w:p w14:paraId="3C101D90">
      <w:pPr>
        <w:pStyle w:val="57"/>
        <w:spacing w:line="360" w:lineRule="auto"/>
        <w:ind w:firstLine="420"/>
        <w:rPr>
          <w:rFonts w:hint="eastAsia"/>
        </w:rPr>
      </w:pPr>
      <w:r>
        <w:rPr>
          <w:rFonts w:hint="eastAsia"/>
        </w:rPr>
        <w:t>下列术语和定义适用于本文件。</w:t>
      </w:r>
    </w:p>
    <w:p w14:paraId="36057356">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协同并网功率调控</w:t>
      </w:r>
    </w:p>
    <w:p w14:paraId="32A3A7C4">
      <w:pPr>
        <w:pStyle w:val="57"/>
        <w:spacing w:line="360" w:lineRule="auto"/>
        <w:ind w:firstLine="420"/>
        <w:rPr>
          <w:rFonts w:hint="eastAsia"/>
        </w:rPr>
      </w:pPr>
      <w:r>
        <w:rPr>
          <w:rFonts w:hint="eastAsia"/>
        </w:rPr>
        <w:t>通过光伏发电系统与储能系统的联合控制，实现输出功率平滑调节（调节速率≥10%额定功率/秒）、电网需求响应（响应时间≤200ms）及故障快速恢复（隔离时间≤0.1秒）的过程。</w:t>
      </w:r>
    </w:p>
    <w:p w14:paraId="20E6C78B">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功率预测误差率</w:t>
      </w:r>
    </w:p>
    <w:p w14:paraId="4A88423C">
      <w:pPr>
        <w:pStyle w:val="57"/>
        <w:spacing w:line="360" w:lineRule="auto"/>
        <w:ind w:firstLine="420"/>
        <w:rPr>
          <w:rFonts w:hint="eastAsia"/>
        </w:rPr>
      </w:pPr>
      <w:r>
        <w:rPr>
          <w:rFonts w:hint="eastAsia"/>
        </w:rPr>
        <w:t>预测功率与实际功率的偏差占实际功率的百分比，计算公式为：</w:t>
      </w:r>
    </w:p>
    <w:p w14:paraId="07DCC1AD">
      <w:pPr>
        <w:pStyle w:val="57"/>
        <w:spacing w:line="360" w:lineRule="auto"/>
        <w:ind w:firstLine="420"/>
        <w:rPr>
          <w:rFonts w:hint="default"/>
          <w:lang w:val="en-US"/>
        </w:rPr>
      </w:pPr>
      <m:oMathPara>
        <m:oMath>
          <m:r>
            <m:rPr>
              <m:sty m:val="p"/>
            </m:rPr>
            <w:rPr>
              <w:rFonts w:hint="eastAsia" w:ascii="仿宋" w:hAnsi="仿宋" w:eastAsia="仿宋"/>
              <w:sz w:val="32"/>
              <w:szCs w:val="32"/>
              <w:highlight w:val="none"/>
            </w:rPr>
            <m:t>误差率=</m:t>
          </m:r>
          <m:f>
            <m:fPr>
              <m:ctrlPr>
                <w:rPr>
                  <w:rFonts w:hint="eastAsia" w:ascii="仿宋" w:hAnsi="仿宋" w:eastAsia="仿宋"/>
                  <w:sz w:val="32"/>
                  <w:szCs w:val="32"/>
                  <w:highlight w:val="none"/>
                </w:rPr>
              </m:ctrlPr>
            </m:fPr>
            <m:num>
              <m:d>
                <m:dPr>
                  <m:begChr m:val="|"/>
                  <m:endChr m:val="|"/>
                  <m:ctrlPr>
                    <w:rPr>
                      <w:rFonts w:hint="eastAsia" w:ascii="仿宋" w:hAnsi="仿宋" w:eastAsia="仿宋"/>
                      <w:sz w:val="32"/>
                      <w:szCs w:val="32"/>
                      <w:highlight w:val="none"/>
                    </w:rPr>
                  </m:ctrlPr>
                </m:dPr>
                <m:e>
                  <m:r>
                    <m:rPr>
                      <m:nor/>
                      <m:sty m:val="p"/>
                    </m:rPr>
                    <w:rPr>
                      <w:rFonts w:hint="default" w:ascii="Times New Roman" w:hAnsi="Times New Roman" w:eastAsia="Times New Roman" w:cs="Times New Roman"/>
                      <w:b w:val="0"/>
                      <w:i w:val="0"/>
                      <w:iCs w:val="0"/>
                      <w:caps w:val="0"/>
                      <w:color w:val="0D0D0D"/>
                      <w:spacing w:val="0"/>
                      <w:sz w:val="24"/>
                      <w:szCs w:val="24"/>
                      <w:shd w:val="clear" w:fill="FFFFFF"/>
                    </w:rPr>
                    <m:t>预测功率−实际功率</m:t>
                  </m:r>
                  <m:ctrlPr>
                    <w:rPr>
                      <w:rFonts w:hint="eastAsia" w:ascii="仿宋" w:hAnsi="仿宋" w:eastAsia="仿宋"/>
                      <w:sz w:val="32"/>
                      <w:szCs w:val="32"/>
                      <w:highlight w:val="none"/>
                    </w:rPr>
                  </m:ctrlPr>
                </m:e>
              </m:d>
              <m:ctrlPr>
                <w:rPr>
                  <w:rFonts w:hint="eastAsia" w:ascii="仿宋" w:hAnsi="仿宋" w:eastAsia="仿宋"/>
                  <w:sz w:val="32"/>
                  <w:szCs w:val="32"/>
                  <w:highlight w:val="none"/>
                </w:rPr>
              </m:ctrlPr>
            </m:num>
            <m:den>
              <m:r>
                <m:rPr>
                  <m:sty m:val="p"/>
                </m:rPr>
                <w:rPr>
                  <w:rFonts w:hint="eastAsia" w:ascii="仿宋" w:hAnsi="仿宋" w:eastAsia="仿宋"/>
                  <w:sz w:val="32"/>
                  <w:szCs w:val="32"/>
                  <w:highlight w:val="none"/>
                </w:rPr>
                <m:t xml:space="preserve">实际功率 </m:t>
              </m:r>
              <m:ctrlPr>
                <w:rPr>
                  <w:rFonts w:hint="eastAsia" w:ascii="仿宋" w:hAnsi="仿宋" w:eastAsia="仿宋"/>
                  <w:sz w:val="32"/>
                  <w:szCs w:val="32"/>
                  <w:highlight w:val="none"/>
                </w:rPr>
              </m:ctrlPr>
            </m:den>
          </m:f>
          <m:r>
            <m:rPr>
              <m:sty m:val="p"/>
            </m:rPr>
            <w:rPr>
              <w:rFonts w:hint="default" w:ascii="Cambria Math" w:hAnsi="Cambria Math" w:eastAsia="仿宋" w:cs="Cambria Math"/>
              <w:sz w:val="32"/>
              <w:szCs w:val="32"/>
              <w:highlight w:val="none"/>
            </w:rPr>
            <m:t>×</m:t>
          </m:r>
          <m:r>
            <m:rPr>
              <m:sty m:val="p"/>
            </m:rPr>
            <w:rPr>
              <w:rFonts w:hint="eastAsia" w:ascii="仿宋" w:hAnsi="仿宋" w:eastAsia="仿宋"/>
              <w:sz w:val="32"/>
              <w:szCs w:val="32"/>
              <w:highlight w:val="none"/>
            </w:rPr>
            <m:t>100%</m:t>
          </m:r>
        </m:oMath>
      </m:oMathPara>
    </w:p>
    <w:p w14:paraId="41B90456">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响应时间</w:t>
      </w:r>
    </w:p>
    <w:p w14:paraId="20CCCE6D">
      <w:pPr>
        <w:pStyle w:val="57"/>
        <w:spacing w:line="360" w:lineRule="auto"/>
        <w:ind w:firstLine="420"/>
        <w:rPr>
          <w:rFonts w:hint="eastAsia"/>
        </w:rPr>
      </w:pPr>
      <w:r>
        <w:rPr>
          <w:rFonts w:hint="eastAsia"/>
        </w:rPr>
        <w:t>从接收调控指令到系统输出功率达到目标值90%所需的时间。</w:t>
      </w:r>
    </w:p>
    <w:p w14:paraId="5464F3BC">
      <w:pPr>
        <w:pStyle w:val="105"/>
        <w:spacing w:before="240" w:after="240" w:line="360" w:lineRule="auto"/>
        <w:rPr>
          <w:rFonts w:hint="eastAsia"/>
          <w:szCs w:val="21"/>
        </w:rPr>
      </w:pPr>
      <w:bookmarkStart w:id="53" w:name="_Toc9730"/>
      <w:r>
        <w:rPr>
          <w:rFonts w:hint="eastAsia"/>
          <w:szCs w:val="21"/>
        </w:rPr>
        <w:t>基本要求</w:t>
      </w:r>
      <w:bookmarkEnd w:id="53"/>
    </w:p>
    <w:p w14:paraId="75F83C9B">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协同控制原则</w:t>
      </w:r>
    </w:p>
    <w:p w14:paraId="1B75A62D">
      <w:pPr>
        <w:pStyle w:val="57"/>
        <w:spacing w:line="360" w:lineRule="auto"/>
        <w:ind w:firstLine="420"/>
        <w:rPr>
          <w:rFonts w:hint="eastAsia"/>
        </w:rPr>
      </w:pPr>
      <w:r>
        <w:rPr>
          <w:rFonts w:hint="eastAsia"/>
        </w:rPr>
        <w:t>应遵循“安全优先、效率提升、经济最优”原则，确保系统运行稳定。</w:t>
      </w:r>
    </w:p>
    <w:p w14:paraId="72926BEF">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数据交互要求</w:t>
      </w:r>
    </w:p>
    <w:p w14:paraId="0725B407">
      <w:pPr>
        <w:pStyle w:val="57"/>
        <w:spacing w:line="360" w:lineRule="auto"/>
        <w:ind w:firstLine="420"/>
        <w:rPr>
          <w:rFonts w:hint="eastAsia"/>
        </w:rPr>
      </w:pPr>
      <w:r>
        <w:rPr>
          <w:rFonts w:hint="eastAsia"/>
        </w:rPr>
        <w:t>通信协议：采用IEC 61850-7-420或Modbus TCP协议，确保跨厂商设备互联互通。</w:t>
      </w:r>
    </w:p>
    <w:p w14:paraId="78375EE6">
      <w:pPr>
        <w:pStyle w:val="57"/>
        <w:spacing w:line="360" w:lineRule="auto"/>
        <w:ind w:firstLine="420"/>
        <w:rPr>
          <w:rFonts w:hint="eastAsia"/>
        </w:rPr>
      </w:pPr>
      <w:r>
        <w:rPr>
          <w:rFonts w:hint="eastAsia"/>
        </w:rPr>
        <w:t>采样频率：功率、电压等关键参数采样频率≥10Hz，数据传输延迟≤50ms。</w:t>
      </w:r>
    </w:p>
    <w:p w14:paraId="2F1354F1">
      <w:pPr>
        <w:pStyle w:val="105"/>
        <w:spacing w:before="240" w:after="240" w:line="360" w:lineRule="auto"/>
        <w:rPr>
          <w:rFonts w:hint="eastAsia"/>
          <w:szCs w:val="21"/>
        </w:rPr>
      </w:pPr>
      <w:bookmarkStart w:id="54" w:name="_Toc24597"/>
      <w:r>
        <w:rPr>
          <w:rFonts w:hint="eastAsia"/>
          <w:szCs w:val="21"/>
        </w:rPr>
        <w:t>技术要求</w:t>
      </w:r>
      <w:bookmarkEnd w:id="54"/>
    </w:p>
    <w:p w14:paraId="3051632B">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功率预测</w:t>
      </w:r>
    </w:p>
    <w:p w14:paraId="5DA3D769">
      <w:pPr>
        <w:pStyle w:val="57"/>
        <w:spacing w:line="360" w:lineRule="auto"/>
        <w:ind w:firstLine="420"/>
        <w:rPr>
          <w:rFonts w:hint="eastAsia"/>
        </w:rPr>
      </w:pPr>
      <w:r>
        <w:rPr>
          <w:rFonts w:hint="eastAsia"/>
        </w:rPr>
        <w:t>采用物理模型与数据驱动模型结合的方式，短期预测误差率≤8%，超短期预测误差率≤5%，每15分钟更新一次预测结果，历史数据存储周期≥1年。</w:t>
      </w:r>
    </w:p>
    <w:p w14:paraId="74D69594">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协同控制策略</w:t>
      </w:r>
    </w:p>
    <w:p w14:paraId="3F8D59CA">
      <w:pPr>
        <w:pStyle w:val="57"/>
        <w:spacing w:line="360" w:lineRule="auto"/>
        <w:ind w:firstLine="420"/>
        <w:rPr>
          <w:rFonts w:hint="eastAsia"/>
        </w:rPr>
      </w:pPr>
      <w:r>
        <w:rPr>
          <w:rFonts w:hint="eastAsia"/>
        </w:rPr>
        <w:t>平滑控制：储能系统充放电功率调节速率≥10%额定功率/秒，平抑光伏出力波动。</w:t>
      </w:r>
    </w:p>
    <w:p w14:paraId="35375FE8">
      <w:pPr>
        <w:pStyle w:val="57"/>
        <w:spacing w:line="360" w:lineRule="auto"/>
        <w:ind w:firstLine="420"/>
        <w:rPr>
          <w:rFonts w:hint="eastAsia"/>
        </w:rPr>
      </w:pPr>
      <w:r>
        <w:rPr>
          <w:rFonts w:hint="eastAsia"/>
        </w:rPr>
        <w:t>需求响应：接收电网调度指令后，响应时间≤200ms，调节精度≥95%。</w:t>
      </w:r>
    </w:p>
    <w:p w14:paraId="0A69C51B">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安全防护</w:t>
      </w:r>
    </w:p>
    <w:p w14:paraId="6FB7CA27">
      <w:pPr>
        <w:pStyle w:val="57"/>
        <w:spacing w:line="360" w:lineRule="auto"/>
        <w:ind w:firstLine="420"/>
        <w:rPr>
          <w:rFonts w:hint="eastAsia"/>
        </w:rPr>
      </w:pPr>
      <w:r>
        <w:rPr>
          <w:rFonts w:hint="eastAsia"/>
        </w:rPr>
        <w:t>通信加密：采用AES-128或SM4算法，密钥更新周期≤7天。</w:t>
      </w:r>
    </w:p>
    <w:p w14:paraId="5670747E">
      <w:pPr>
        <w:pStyle w:val="57"/>
        <w:spacing w:line="360" w:lineRule="auto"/>
        <w:ind w:firstLine="420"/>
        <w:rPr>
          <w:rFonts w:hint="eastAsia"/>
        </w:rPr>
      </w:pPr>
      <w:r>
        <w:rPr>
          <w:rFonts w:hint="eastAsia"/>
        </w:rPr>
        <w:t>故障隔离：检测到异常时，0.1秒内切断故障设备与电网的连接。</w:t>
      </w:r>
    </w:p>
    <w:p w14:paraId="37EE6E96">
      <w:pPr>
        <w:pStyle w:val="105"/>
        <w:spacing w:before="240" w:after="240" w:line="360" w:lineRule="auto"/>
        <w:rPr>
          <w:rFonts w:hint="eastAsia"/>
          <w:szCs w:val="21"/>
        </w:rPr>
      </w:pPr>
      <w:bookmarkStart w:id="55" w:name="_Toc22011"/>
      <w:r>
        <w:rPr>
          <w:rFonts w:hint="eastAsia"/>
          <w:szCs w:val="21"/>
        </w:rPr>
        <w:t>测试与验证</w:t>
      </w:r>
      <w:bookmarkEnd w:id="55"/>
    </w:p>
    <w:p w14:paraId="2D2E43E5">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实验室测试</w:t>
      </w:r>
    </w:p>
    <w:p w14:paraId="62D128D9">
      <w:pPr>
        <w:pStyle w:val="57"/>
        <w:spacing w:line="360" w:lineRule="auto"/>
        <w:ind w:firstLine="420"/>
        <w:rPr>
          <w:rFonts w:hint="eastAsia"/>
        </w:rPr>
      </w:pPr>
      <w:r>
        <w:rPr>
          <w:rFonts w:hint="eastAsia"/>
        </w:rPr>
        <w:t>功率阶跃响应测试，输入10%额定功率阶跃信号，记录系统响应时间与超调量；长时间运行测试，连续运行72小时，记录功率预测误差率与设备故障率。</w:t>
      </w:r>
    </w:p>
    <w:p w14:paraId="58185C4D">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现场验收</w:t>
      </w:r>
    </w:p>
    <w:p w14:paraId="0AC8231C">
      <w:pPr>
        <w:pStyle w:val="57"/>
        <w:spacing w:line="360" w:lineRule="auto"/>
        <w:ind w:firstLine="420"/>
        <w:rPr>
          <w:rFonts w:hint="eastAsia"/>
        </w:rPr>
      </w:pPr>
      <w:r>
        <w:rPr>
          <w:rFonts w:hint="eastAsia"/>
        </w:rPr>
        <w:t>并网性能测试</w:t>
      </w:r>
      <w:r>
        <w:rPr>
          <w:rFonts w:hint="eastAsia"/>
          <w:lang w:eastAsia="zh-CN"/>
        </w:rPr>
        <w:t>，</w:t>
      </w:r>
      <w:r>
        <w:rPr>
          <w:rFonts w:hint="eastAsia"/>
        </w:rPr>
        <w:t>实际电网环境下验证功率调节精度与响应时间</w:t>
      </w:r>
      <w:r>
        <w:rPr>
          <w:rFonts w:hint="eastAsia"/>
          <w:lang w:eastAsia="zh-CN"/>
        </w:rPr>
        <w:t>；</w:t>
      </w:r>
      <w:r>
        <w:rPr>
          <w:rFonts w:hint="eastAsia"/>
        </w:rPr>
        <w:t>安全防护测试</w:t>
      </w:r>
      <w:r>
        <w:rPr>
          <w:rFonts w:hint="eastAsia"/>
          <w:lang w:eastAsia="zh-CN"/>
        </w:rPr>
        <w:t>，</w:t>
      </w:r>
      <w:r>
        <w:rPr>
          <w:rFonts w:hint="eastAsia"/>
        </w:rPr>
        <w:t>模拟网络攻击，验证通信加密与故障隔离有效性。</w:t>
      </w:r>
    </w:p>
    <w:p w14:paraId="09D1A759">
      <w:pPr>
        <w:pStyle w:val="105"/>
        <w:spacing w:before="240" w:after="240" w:line="360" w:lineRule="auto"/>
        <w:rPr>
          <w:rFonts w:hint="eastAsia"/>
          <w:szCs w:val="21"/>
        </w:rPr>
      </w:pPr>
      <w:bookmarkStart w:id="56" w:name="_Toc15386"/>
      <w:r>
        <w:rPr>
          <w:rFonts w:hint="eastAsia"/>
          <w:szCs w:val="21"/>
        </w:rPr>
        <w:t>实施与监督</w:t>
      </w:r>
      <w:bookmarkEnd w:id="56"/>
    </w:p>
    <w:p w14:paraId="7733132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运行管理</w:t>
      </w:r>
    </w:p>
    <w:p w14:paraId="510CA8BE">
      <w:pPr>
        <w:pStyle w:val="57"/>
        <w:spacing w:line="360" w:lineRule="auto"/>
        <w:ind w:firstLine="420"/>
        <w:rPr>
          <w:rFonts w:hint="eastAsia"/>
        </w:rPr>
      </w:pPr>
      <w:r>
        <w:rPr>
          <w:rFonts w:hint="eastAsia"/>
        </w:rPr>
        <w:t>操作人员应接受专业培训，持证上岗。</w:t>
      </w:r>
    </w:p>
    <w:p w14:paraId="2565C597">
      <w:pPr>
        <w:pStyle w:val="57"/>
        <w:spacing w:line="360" w:lineRule="auto"/>
        <w:ind w:firstLine="420"/>
        <w:rPr>
          <w:rFonts w:hint="eastAsia"/>
        </w:rPr>
      </w:pPr>
      <w:r>
        <w:rPr>
          <w:rFonts w:hint="eastAsia"/>
        </w:rPr>
        <w:t>每日记录运行数据，每月生成分析报告。</w:t>
      </w:r>
    </w:p>
    <w:p w14:paraId="164E0578">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监管要求</w:t>
      </w:r>
    </w:p>
    <w:p w14:paraId="674D595E">
      <w:pPr>
        <w:pStyle w:val="57"/>
        <w:spacing w:line="360" w:lineRule="auto"/>
        <w:ind w:firstLine="420"/>
        <w:rPr>
          <w:rFonts w:hint="eastAsia"/>
        </w:rPr>
      </w:pPr>
      <w:r>
        <w:rPr>
          <w:rFonts w:hint="eastAsia"/>
        </w:rPr>
        <w:t>监管部门每季度开展一次抽查，重点检查功率预测误差率与安全防护措施。</w:t>
      </w:r>
    </w:p>
    <w:p w14:paraId="2627DC9A">
      <w:pPr>
        <w:pStyle w:val="57"/>
        <w:spacing w:line="360" w:lineRule="auto"/>
        <w:ind w:firstLine="420"/>
        <w:rPr>
          <w:rFonts w:hint="eastAsia"/>
          <w:lang w:val="en-US" w:eastAsia="zh-CN"/>
        </w:rPr>
      </w:pPr>
      <w:r>
        <w:rPr>
          <w:rFonts w:hint="eastAsia"/>
        </w:rPr>
        <w:t>对不符合标准要求的系统，限期整改并复验。</w:t>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2"/>
    </w:pPr>
    <w:r>
      <w:fldChar w:fldCharType="begin"/>
    </w:r>
    <w:r>
      <w:instrText xml:space="preserve"> STYLEREF  标准文件_文件编号  \* MERGEFORMAT </w:instrText>
    </w:r>
    <w:r>
      <w:fldChar w:fldCharType="separate"/>
    </w:r>
    <w:r>
      <w:t>T/XZBX 0127—2025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0127—2025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2"/>
    </w:pPr>
    <w:r>
      <w:fldChar w:fldCharType="begin"/>
    </w:r>
    <w:r>
      <w:instrText xml:space="preserve"> STYLEREF  标准文件_文件编号  \* MERGEFORMAT </w:instrText>
    </w:r>
    <w:r>
      <w:fldChar w:fldCharType="separate"/>
    </w:r>
    <w:r>
      <w:t>T/XZBX 0127—2025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0127—2025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2"/>
    </w:pPr>
    <w:r>
      <w:fldChar w:fldCharType="begin"/>
    </w:r>
    <w:r>
      <w:instrText xml:space="preserve"> STYLEREF  标准文件_文件编号  \* MERGEFORMAT </w:instrText>
    </w:r>
    <w:r>
      <w:fldChar w:fldCharType="separate"/>
    </w:r>
    <w:r>
      <w:t>T/XZBX 0127—2025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0127—2025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2"/>
    </w:pPr>
    <w:r>
      <w:fldChar w:fldCharType="begin"/>
    </w:r>
    <w:r>
      <w:instrText xml:space="preserve"> STYLEREF  标准文件_文件编号  \* MERGEFORMAT </w:instrText>
    </w:r>
    <w:r>
      <w:fldChar w:fldCharType="separate"/>
    </w:r>
    <w:r>
      <w:t>T/XZBX 0127—2025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0127—2025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483"/>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DAD"/>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14809"/>
    <w:rsid w:val="02063AB2"/>
    <w:rsid w:val="0227136C"/>
    <w:rsid w:val="02571F5F"/>
    <w:rsid w:val="02D45050"/>
    <w:rsid w:val="02EF39CF"/>
    <w:rsid w:val="03455F4E"/>
    <w:rsid w:val="035508BA"/>
    <w:rsid w:val="03B82117"/>
    <w:rsid w:val="03B86720"/>
    <w:rsid w:val="047B14FB"/>
    <w:rsid w:val="04B50EB1"/>
    <w:rsid w:val="04BC223F"/>
    <w:rsid w:val="04C133B2"/>
    <w:rsid w:val="04D644D2"/>
    <w:rsid w:val="0594649B"/>
    <w:rsid w:val="059B00A7"/>
    <w:rsid w:val="063A78C0"/>
    <w:rsid w:val="06450013"/>
    <w:rsid w:val="067676BD"/>
    <w:rsid w:val="06F059D5"/>
    <w:rsid w:val="07B73642"/>
    <w:rsid w:val="082425D6"/>
    <w:rsid w:val="083D5267"/>
    <w:rsid w:val="09EA5159"/>
    <w:rsid w:val="0A4F1460"/>
    <w:rsid w:val="0A5B6057"/>
    <w:rsid w:val="0AF67B2D"/>
    <w:rsid w:val="0BAE0408"/>
    <w:rsid w:val="0BE1433A"/>
    <w:rsid w:val="0C796C68"/>
    <w:rsid w:val="0FD22917"/>
    <w:rsid w:val="10352EA6"/>
    <w:rsid w:val="10D8319E"/>
    <w:rsid w:val="119836EC"/>
    <w:rsid w:val="11A5092B"/>
    <w:rsid w:val="123C051C"/>
    <w:rsid w:val="127777A6"/>
    <w:rsid w:val="13225964"/>
    <w:rsid w:val="13611C3D"/>
    <w:rsid w:val="1367270D"/>
    <w:rsid w:val="142034CA"/>
    <w:rsid w:val="14B52807"/>
    <w:rsid w:val="15227E9D"/>
    <w:rsid w:val="16104199"/>
    <w:rsid w:val="165D4F05"/>
    <w:rsid w:val="16B94831"/>
    <w:rsid w:val="16E82A20"/>
    <w:rsid w:val="176C54EA"/>
    <w:rsid w:val="18115FA7"/>
    <w:rsid w:val="18C67773"/>
    <w:rsid w:val="194523AC"/>
    <w:rsid w:val="19996E8D"/>
    <w:rsid w:val="19CF06A0"/>
    <w:rsid w:val="1ACA4340"/>
    <w:rsid w:val="1BC616CD"/>
    <w:rsid w:val="1C931680"/>
    <w:rsid w:val="1D4B1F5B"/>
    <w:rsid w:val="1D74500E"/>
    <w:rsid w:val="1D9A07EC"/>
    <w:rsid w:val="1F501AAA"/>
    <w:rsid w:val="1F554A44"/>
    <w:rsid w:val="1FF24E4E"/>
    <w:rsid w:val="202F16C0"/>
    <w:rsid w:val="22032E04"/>
    <w:rsid w:val="234E00AF"/>
    <w:rsid w:val="23AE5EF7"/>
    <w:rsid w:val="24125580"/>
    <w:rsid w:val="24286B52"/>
    <w:rsid w:val="250F386E"/>
    <w:rsid w:val="258A1146"/>
    <w:rsid w:val="25956469"/>
    <w:rsid w:val="25F767DC"/>
    <w:rsid w:val="264439EB"/>
    <w:rsid w:val="26C358C3"/>
    <w:rsid w:val="274A7334"/>
    <w:rsid w:val="279462AC"/>
    <w:rsid w:val="280671AA"/>
    <w:rsid w:val="285919D0"/>
    <w:rsid w:val="28AC6949"/>
    <w:rsid w:val="28CB3F50"/>
    <w:rsid w:val="29172011"/>
    <w:rsid w:val="294206B6"/>
    <w:rsid w:val="29ED5A45"/>
    <w:rsid w:val="2A247DBB"/>
    <w:rsid w:val="2A4D10C0"/>
    <w:rsid w:val="2AC944BF"/>
    <w:rsid w:val="2B41674B"/>
    <w:rsid w:val="2B4D4497"/>
    <w:rsid w:val="2BAF1907"/>
    <w:rsid w:val="2BFE65C2"/>
    <w:rsid w:val="2C7B4F1A"/>
    <w:rsid w:val="2C90587C"/>
    <w:rsid w:val="2CDE24A4"/>
    <w:rsid w:val="2CFB12A7"/>
    <w:rsid w:val="2D1B36F8"/>
    <w:rsid w:val="2DCF44E2"/>
    <w:rsid w:val="2E89643F"/>
    <w:rsid w:val="2F1A178D"/>
    <w:rsid w:val="2FBF58A6"/>
    <w:rsid w:val="2FC71A29"/>
    <w:rsid w:val="30185CCC"/>
    <w:rsid w:val="30234671"/>
    <w:rsid w:val="30FF50DE"/>
    <w:rsid w:val="31230DCD"/>
    <w:rsid w:val="33890C8F"/>
    <w:rsid w:val="33F61CAC"/>
    <w:rsid w:val="34980849"/>
    <w:rsid w:val="34CD1F56"/>
    <w:rsid w:val="34DF14AF"/>
    <w:rsid w:val="35BA60CE"/>
    <w:rsid w:val="36136B10"/>
    <w:rsid w:val="36462E68"/>
    <w:rsid w:val="38844435"/>
    <w:rsid w:val="38DB1E98"/>
    <w:rsid w:val="39423DBA"/>
    <w:rsid w:val="39A24859"/>
    <w:rsid w:val="39AD1CD6"/>
    <w:rsid w:val="3A451DB4"/>
    <w:rsid w:val="3A5F6E5C"/>
    <w:rsid w:val="3AD924FC"/>
    <w:rsid w:val="3AE07D2F"/>
    <w:rsid w:val="3B27385D"/>
    <w:rsid w:val="3B9C63F9"/>
    <w:rsid w:val="3C1E74E7"/>
    <w:rsid w:val="3D031FD4"/>
    <w:rsid w:val="3D09631F"/>
    <w:rsid w:val="3D65451B"/>
    <w:rsid w:val="3D8B21D4"/>
    <w:rsid w:val="3DBD4357"/>
    <w:rsid w:val="3DD31485"/>
    <w:rsid w:val="3E6946ED"/>
    <w:rsid w:val="3F0062A9"/>
    <w:rsid w:val="3F9A4950"/>
    <w:rsid w:val="3FEB6F5A"/>
    <w:rsid w:val="401C07FB"/>
    <w:rsid w:val="421D3616"/>
    <w:rsid w:val="42293D69"/>
    <w:rsid w:val="427A2817"/>
    <w:rsid w:val="429D02B3"/>
    <w:rsid w:val="42EA346B"/>
    <w:rsid w:val="433E1A96"/>
    <w:rsid w:val="443D5731"/>
    <w:rsid w:val="44983428"/>
    <w:rsid w:val="45220F6C"/>
    <w:rsid w:val="456D21BF"/>
    <w:rsid w:val="45F60406"/>
    <w:rsid w:val="46AB11F1"/>
    <w:rsid w:val="46DF70EC"/>
    <w:rsid w:val="46EA695F"/>
    <w:rsid w:val="47203CF1"/>
    <w:rsid w:val="47310761"/>
    <w:rsid w:val="47627C1A"/>
    <w:rsid w:val="48972517"/>
    <w:rsid w:val="48BF5427"/>
    <w:rsid w:val="495A7BA0"/>
    <w:rsid w:val="4AC80D07"/>
    <w:rsid w:val="4B8D7117"/>
    <w:rsid w:val="4CEA0599"/>
    <w:rsid w:val="4CEC60BF"/>
    <w:rsid w:val="4E04568A"/>
    <w:rsid w:val="4E7C16C5"/>
    <w:rsid w:val="4F0911AA"/>
    <w:rsid w:val="4F3124AF"/>
    <w:rsid w:val="50242014"/>
    <w:rsid w:val="510A745C"/>
    <w:rsid w:val="512A365A"/>
    <w:rsid w:val="51527191"/>
    <w:rsid w:val="51962A9D"/>
    <w:rsid w:val="51986815"/>
    <w:rsid w:val="52E00474"/>
    <w:rsid w:val="53890B0C"/>
    <w:rsid w:val="540208BE"/>
    <w:rsid w:val="54322F51"/>
    <w:rsid w:val="547277F2"/>
    <w:rsid w:val="54831562"/>
    <w:rsid w:val="54BE47E5"/>
    <w:rsid w:val="54D67D81"/>
    <w:rsid w:val="552C79A0"/>
    <w:rsid w:val="55515659"/>
    <w:rsid w:val="55911EF9"/>
    <w:rsid w:val="565F5B54"/>
    <w:rsid w:val="573E4B9B"/>
    <w:rsid w:val="57633422"/>
    <w:rsid w:val="585316E8"/>
    <w:rsid w:val="58676F42"/>
    <w:rsid w:val="588B70D4"/>
    <w:rsid w:val="592E6C5C"/>
    <w:rsid w:val="59480B21"/>
    <w:rsid w:val="59AA17DC"/>
    <w:rsid w:val="59D96484"/>
    <w:rsid w:val="5AA82FEB"/>
    <w:rsid w:val="5B4A6DD2"/>
    <w:rsid w:val="5BA81D4B"/>
    <w:rsid w:val="5D170F36"/>
    <w:rsid w:val="5DAE61D8"/>
    <w:rsid w:val="5DBE5856"/>
    <w:rsid w:val="5E761C8C"/>
    <w:rsid w:val="5F5A7800"/>
    <w:rsid w:val="5F5C378C"/>
    <w:rsid w:val="5FAB3BB8"/>
    <w:rsid w:val="6008725C"/>
    <w:rsid w:val="607448F1"/>
    <w:rsid w:val="60792979"/>
    <w:rsid w:val="60C50CA9"/>
    <w:rsid w:val="610417D1"/>
    <w:rsid w:val="61A651A2"/>
    <w:rsid w:val="61DE0274"/>
    <w:rsid w:val="62824F60"/>
    <w:rsid w:val="62CE02E9"/>
    <w:rsid w:val="63422A85"/>
    <w:rsid w:val="635D166D"/>
    <w:rsid w:val="63DD1F37"/>
    <w:rsid w:val="64410F8F"/>
    <w:rsid w:val="64502F80"/>
    <w:rsid w:val="64562060"/>
    <w:rsid w:val="646627A3"/>
    <w:rsid w:val="64AD2180"/>
    <w:rsid w:val="65501489"/>
    <w:rsid w:val="65705687"/>
    <w:rsid w:val="658E3D60"/>
    <w:rsid w:val="65B73BCD"/>
    <w:rsid w:val="66E77BCB"/>
    <w:rsid w:val="68846345"/>
    <w:rsid w:val="68F62348"/>
    <w:rsid w:val="69407A67"/>
    <w:rsid w:val="694C1F68"/>
    <w:rsid w:val="6B4C26F3"/>
    <w:rsid w:val="6B60619E"/>
    <w:rsid w:val="6BF559D1"/>
    <w:rsid w:val="6C2216A6"/>
    <w:rsid w:val="6C351337"/>
    <w:rsid w:val="6CE55009"/>
    <w:rsid w:val="6D940381"/>
    <w:rsid w:val="6E645FA5"/>
    <w:rsid w:val="6F655B31"/>
    <w:rsid w:val="6F776C50"/>
    <w:rsid w:val="6FA80114"/>
    <w:rsid w:val="701E42B5"/>
    <w:rsid w:val="705A140E"/>
    <w:rsid w:val="7084648B"/>
    <w:rsid w:val="71357785"/>
    <w:rsid w:val="72155D12"/>
    <w:rsid w:val="72653996"/>
    <w:rsid w:val="72695938"/>
    <w:rsid w:val="72A921D9"/>
    <w:rsid w:val="735C6961"/>
    <w:rsid w:val="7367064C"/>
    <w:rsid w:val="73F2195D"/>
    <w:rsid w:val="740A3B48"/>
    <w:rsid w:val="753B71DD"/>
    <w:rsid w:val="756B293B"/>
    <w:rsid w:val="75D03F20"/>
    <w:rsid w:val="75DA1174"/>
    <w:rsid w:val="78AD1F12"/>
    <w:rsid w:val="78CC09CF"/>
    <w:rsid w:val="78CD4747"/>
    <w:rsid w:val="79256331"/>
    <w:rsid w:val="79A4194C"/>
    <w:rsid w:val="7AA54A68"/>
    <w:rsid w:val="7BAE0860"/>
    <w:rsid w:val="7BF070CA"/>
    <w:rsid w:val="7C093CE8"/>
    <w:rsid w:val="7C1E59E5"/>
    <w:rsid w:val="7C2F7BF3"/>
    <w:rsid w:val="7CCE07E8"/>
    <w:rsid w:val="7D5D41EC"/>
    <w:rsid w:val="7DBC3708"/>
    <w:rsid w:val="7DEC566F"/>
    <w:rsid w:val="7ECA3C03"/>
    <w:rsid w:val="7EEF69EF"/>
    <w:rsid w:val="7F2F1CB8"/>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10</Pages>
  <Words>1229</Words>
  <Characters>1433</Characters>
  <Lines>48</Lines>
  <Paragraphs>13</Paragraphs>
  <TotalTime>1</TotalTime>
  <ScaleCrop>false</ScaleCrop>
  <LinksUpToDate>false</LinksUpToDate>
  <CharactersWithSpaces>1488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2025-10-29T08:22:00Z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2052-12.1.0.23542</vt:lpwstr>
  </property>
  <property fmtid="{D5CDD505-2E9C-101B-9397-08002B2CF9AE}" pid="17" name="ICV">
    <vt:lpwstr>A30C2BEBB02B4030816E82C94804B5C9_12</vt:lpwstr>
  </property>
</Properties>
</file>