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93.02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93.020</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E 48"/>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E 48</w:t>
            </w:r>
            <w:r>
              <w:rPr>
                <w:rFonts w:ascii="黑体" w:hAnsi="黑体" w:eastAsia="黑体" w:cs="Times New Roman"/>
                <w:kern w:val="2"/>
                <w:sz w:val="21"/>
                <w:szCs w:val="21"/>
                <w:lang w:val="en-US" w:eastAsia="zh-CN" w:bidi="ar-SA"/>
              </w:rPr>
              <w:fldChar w:fldCharType="end"/>
            </w:r>
            <w:bookmarkEnd w:id="2"/>
          </w:p>
        </w:tc>
      </w:tr>
    </w:tbl>
    <w:p w14:paraId="7C20094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6"/>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24"/>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0124</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1"/>
        <w:framePr w:w="9639" w:h="6976" w:hRule="exact" w:hSpace="0" w:vSpace="0" w:wrap="around" w:hAnchor="page" w:y="6408"/>
        <w:jc w:val="center"/>
        <w:rPr>
          <w:rFonts w:ascii="黑体" w:hAnsi="黑体" w:eastAsia="黑体"/>
          <w:b w:val="0"/>
          <w:bCs w:val="0"/>
          <w:w w:val="100"/>
        </w:rPr>
      </w:pPr>
    </w:p>
    <w:p w14:paraId="32EC4788">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深基坑工程岩土勘察质量管控技术规范"/>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深基坑工程岩土勘察质量管控技术规范</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Technical Specification for Quality Control of Geotechnical Investigation in Deep Foundation Pit Engineering"/>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Technical Specification for Quality Control of Geotechnical Investigation in Deep Foundation Pit Engineering</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6"/>
        <w:framePr w:w="9639" w:h="6974" w:hRule="exact" w:wrap="around" w:vAnchor="page" w:hAnchor="page" w:x="1419" w:y="6408" w:anchorLock="1"/>
        <w:textAlignment w:val="bottom"/>
        <w:rPr>
          <w:rFonts w:eastAsia="黑体"/>
          <w:szCs w:val="28"/>
        </w:rPr>
      </w:pPr>
    </w:p>
    <w:p w14:paraId="1EEEC87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4"/>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5"/>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2"/>
        <w:spacing w:after="360"/>
      </w:pPr>
      <w:bookmarkStart w:id="21" w:name="BookMark1"/>
      <w:bookmarkStart w:id="22" w:name="_Toc197342205"/>
      <w:r>
        <w:rPr>
          <w:rFonts w:hint="eastAsia"/>
          <w:spacing w:val="320"/>
        </w:rPr>
        <w:t>目</w:t>
      </w:r>
      <w:r>
        <w:rPr>
          <w:rFonts w:hint="eastAsia"/>
        </w:rPr>
        <w:t>次</w:t>
      </w:r>
    </w:p>
    <w:p w14:paraId="1C8846F7">
      <w:pPr>
        <w:pStyle w:val="19"/>
        <w:tabs>
          <w:tab w:val="right" w:leader="dot" w:pos="9354"/>
        </w:tabs>
      </w:pPr>
      <w:r>
        <w:fldChar w:fldCharType="begin"/>
      </w:r>
      <w:r>
        <w:instrText xml:space="preserve"> TOC \o "1-1" \h </w:instrText>
      </w:r>
      <w:r>
        <w:fldChar w:fldCharType="separate"/>
      </w:r>
      <w:r>
        <w:fldChar w:fldCharType="begin"/>
      </w:r>
      <w:r>
        <w:instrText xml:space="preserve"> HYPERLINK \l _Toc19426 </w:instrText>
      </w:r>
      <w:r>
        <w:fldChar w:fldCharType="separate"/>
      </w:r>
      <w:r>
        <w:rPr>
          <w:spacing w:val="320"/>
        </w:rPr>
        <w:t>前</w:t>
      </w:r>
      <w:r>
        <w:t>言</w:t>
      </w:r>
      <w:r>
        <w:tab/>
      </w:r>
      <w:r>
        <w:fldChar w:fldCharType="begin"/>
      </w:r>
      <w:r>
        <w:instrText xml:space="preserve"> PAGEREF _Toc19426 \h </w:instrText>
      </w:r>
      <w:r>
        <w:fldChar w:fldCharType="separate"/>
      </w:r>
      <w:r>
        <w:t>III</w:t>
      </w:r>
      <w:r>
        <w:fldChar w:fldCharType="end"/>
      </w:r>
      <w:r>
        <w:fldChar w:fldCharType="end"/>
      </w:r>
    </w:p>
    <w:p w14:paraId="3942C2BF">
      <w:pPr>
        <w:pStyle w:val="19"/>
        <w:tabs>
          <w:tab w:val="right" w:leader="dot" w:pos="9354"/>
        </w:tabs>
      </w:pPr>
      <w:r>
        <w:fldChar w:fldCharType="begin"/>
      </w:r>
      <w:r>
        <w:instrText xml:space="preserve"> HYPERLINK \l _Toc28937 </w:instrText>
      </w:r>
      <w:r>
        <w:fldChar w:fldCharType="separate"/>
      </w:r>
      <w:r>
        <w:rPr>
          <w:spacing w:val="320"/>
        </w:rPr>
        <w:t>引</w:t>
      </w:r>
      <w:r>
        <w:t>言</w:t>
      </w:r>
      <w:r>
        <w:tab/>
      </w:r>
      <w:r>
        <w:fldChar w:fldCharType="begin"/>
      </w:r>
      <w:r>
        <w:instrText xml:space="preserve"> PAGEREF _Toc28937 \h </w:instrText>
      </w:r>
      <w:r>
        <w:fldChar w:fldCharType="separate"/>
      </w:r>
      <w:r>
        <w:t>V</w:t>
      </w:r>
      <w:r>
        <w:fldChar w:fldCharType="end"/>
      </w:r>
      <w:r>
        <w:fldChar w:fldCharType="end"/>
      </w:r>
    </w:p>
    <w:p w14:paraId="249B4E06">
      <w:pPr>
        <w:pStyle w:val="19"/>
        <w:tabs>
          <w:tab w:val="right" w:leader="dot" w:pos="9354"/>
        </w:tabs>
      </w:pPr>
      <w:r>
        <w:fldChar w:fldCharType="begin"/>
      </w:r>
      <w:r>
        <w:instrText xml:space="preserve"> HYPERLINK \l _Toc17485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_Toc17485 \h </w:instrText>
      </w:r>
      <w:r>
        <w:fldChar w:fldCharType="separate"/>
      </w:r>
      <w:r>
        <w:t>1</w:t>
      </w:r>
      <w:r>
        <w:fldChar w:fldCharType="end"/>
      </w:r>
      <w:r>
        <w:fldChar w:fldCharType="end"/>
      </w:r>
    </w:p>
    <w:p w14:paraId="6E2570DB">
      <w:pPr>
        <w:pStyle w:val="19"/>
        <w:tabs>
          <w:tab w:val="right" w:leader="dot" w:pos="9354"/>
        </w:tabs>
      </w:pPr>
      <w:r>
        <w:fldChar w:fldCharType="begin"/>
      </w:r>
      <w:r>
        <w:instrText xml:space="preserve"> HYPERLINK \l _Toc21190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_Toc21190 \h </w:instrText>
      </w:r>
      <w:r>
        <w:fldChar w:fldCharType="separate"/>
      </w:r>
      <w:r>
        <w:t>1</w:t>
      </w:r>
      <w:r>
        <w:fldChar w:fldCharType="end"/>
      </w:r>
      <w:r>
        <w:fldChar w:fldCharType="end"/>
      </w:r>
    </w:p>
    <w:p w14:paraId="3EB14CBA">
      <w:pPr>
        <w:pStyle w:val="19"/>
        <w:tabs>
          <w:tab w:val="right" w:leader="dot" w:pos="9354"/>
        </w:tabs>
      </w:pPr>
      <w:r>
        <w:fldChar w:fldCharType="begin"/>
      </w:r>
      <w:r>
        <w:instrText xml:space="preserve"> HYPERLINK \l _Toc23870 </w:instrText>
      </w:r>
      <w:r>
        <w:fldChar w:fldCharType="separate"/>
      </w:r>
      <w:r>
        <w:rPr>
          <w:rFonts w:hint="eastAsia"/>
          <w:szCs w:val="21"/>
        </w:rPr>
        <w:t>3 术语和定义</w:t>
      </w:r>
      <w:r>
        <w:tab/>
      </w:r>
      <w:r>
        <w:fldChar w:fldCharType="begin"/>
      </w:r>
      <w:r>
        <w:instrText xml:space="preserve"> PAGEREF _Toc23870 \h </w:instrText>
      </w:r>
      <w:r>
        <w:fldChar w:fldCharType="separate"/>
      </w:r>
      <w:r>
        <w:t>1</w:t>
      </w:r>
      <w:r>
        <w:fldChar w:fldCharType="end"/>
      </w:r>
      <w:r>
        <w:fldChar w:fldCharType="end"/>
      </w:r>
    </w:p>
    <w:p w14:paraId="143F5067">
      <w:pPr>
        <w:pStyle w:val="19"/>
        <w:tabs>
          <w:tab w:val="right" w:leader="dot" w:pos="9354"/>
        </w:tabs>
      </w:pPr>
      <w:r>
        <w:fldChar w:fldCharType="begin"/>
      </w:r>
      <w:r>
        <w:instrText xml:space="preserve"> HYPERLINK \l _Toc28697 </w:instrText>
      </w:r>
      <w:r>
        <w:fldChar w:fldCharType="separate"/>
      </w:r>
      <w:r>
        <w:rPr>
          <w:rFonts w:hint="eastAsia"/>
          <w:szCs w:val="21"/>
          <w:lang w:val="en-US" w:eastAsia="zh-CN"/>
        </w:rPr>
        <w:t>4 基本规定</w:t>
      </w:r>
      <w:r>
        <w:tab/>
      </w:r>
      <w:r>
        <w:fldChar w:fldCharType="begin"/>
      </w:r>
      <w:r>
        <w:instrText xml:space="preserve"> PAGEREF _Toc28697 \h </w:instrText>
      </w:r>
      <w:r>
        <w:fldChar w:fldCharType="separate"/>
      </w:r>
      <w:r>
        <w:t>1</w:t>
      </w:r>
      <w:r>
        <w:fldChar w:fldCharType="end"/>
      </w:r>
      <w:r>
        <w:fldChar w:fldCharType="end"/>
      </w:r>
    </w:p>
    <w:p w14:paraId="58068EA4">
      <w:pPr>
        <w:pStyle w:val="19"/>
        <w:tabs>
          <w:tab w:val="right" w:leader="dot" w:pos="9354"/>
        </w:tabs>
      </w:pPr>
      <w:r>
        <w:fldChar w:fldCharType="begin"/>
      </w:r>
      <w:r>
        <w:instrText xml:space="preserve"> HYPERLINK \l _Toc25839 </w:instrText>
      </w:r>
      <w:r>
        <w:fldChar w:fldCharType="separate"/>
      </w:r>
      <w:r>
        <w:rPr>
          <w:rFonts w:hint="eastAsia"/>
          <w:szCs w:val="21"/>
          <w:lang w:val="en-US" w:eastAsia="zh-CN"/>
        </w:rPr>
        <w:t>5 勘察工作要求</w:t>
      </w:r>
      <w:r>
        <w:tab/>
      </w:r>
      <w:r>
        <w:fldChar w:fldCharType="begin"/>
      </w:r>
      <w:r>
        <w:instrText xml:space="preserve"> PAGEREF _Toc25839 \h </w:instrText>
      </w:r>
      <w:r>
        <w:fldChar w:fldCharType="separate"/>
      </w:r>
      <w:r>
        <w:t>1</w:t>
      </w:r>
      <w:r>
        <w:fldChar w:fldCharType="end"/>
      </w:r>
      <w:r>
        <w:fldChar w:fldCharType="end"/>
      </w:r>
    </w:p>
    <w:p w14:paraId="3C34501D">
      <w:pPr>
        <w:pStyle w:val="19"/>
        <w:tabs>
          <w:tab w:val="right" w:leader="dot" w:pos="9354"/>
        </w:tabs>
      </w:pPr>
      <w:r>
        <w:fldChar w:fldCharType="begin"/>
      </w:r>
      <w:r>
        <w:instrText xml:space="preserve"> HYPERLINK \l _Toc29098 </w:instrText>
      </w:r>
      <w:r>
        <w:fldChar w:fldCharType="separate"/>
      </w:r>
      <w:r>
        <w:rPr>
          <w:rFonts w:hint="eastAsia"/>
          <w:szCs w:val="21"/>
          <w:lang w:val="en-US" w:eastAsia="zh-CN"/>
        </w:rPr>
        <w:t>6 岩土参数分析与评价</w:t>
      </w:r>
      <w:r>
        <w:tab/>
      </w:r>
      <w:r>
        <w:fldChar w:fldCharType="begin"/>
      </w:r>
      <w:r>
        <w:instrText xml:space="preserve"> PAGEREF _Toc29098 \h </w:instrText>
      </w:r>
      <w:r>
        <w:fldChar w:fldCharType="separate"/>
      </w:r>
      <w:r>
        <w:t>2</w:t>
      </w:r>
      <w:r>
        <w:fldChar w:fldCharType="end"/>
      </w:r>
      <w:r>
        <w:fldChar w:fldCharType="end"/>
      </w:r>
    </w:p>
    <w:p w14:paraId="163215EC">
      <w:pPr>
        <w:pStyle w:val="19"/>
        <w:tabs>
          <w:tab w:val="right" w:leader="dot" w:pos="9354"/>
        </w:tabs>
      </w:pPr>
      <w:r>
        <w:fldChar w:fldCharType="begin"/>
      </w:r>
      <w:r>
        <w:instrText xml:space="preserve"> HYPERLINK \l _Toc28530 </w:instrText>
      </w:r>
      <w:r>
        <w:fldChar w:fldCharType="separate"/>
      </w:r>
      <w:r>
        <w:rPr>
          <w:rFonts w:hint="eastAsia"/>
          <w:szCs w:val="21"/>
          <w:lang w:val="en-US" w:eastAsia="zh-CN"/>
        </w:rPr>
        <w:t>7 勘察成果文件编制与审核</w:t>
      </w:r>
      <w:r>
        <w:tab/>
      </w:r>
      <w:r>
        <w:fldChar w:fldCharType="begin"/>
      </w:r>
      <w:r>
        <w:instrText xml:space="preserve"> PAGEREF _Toc28530 \h </w:instrText>
      </w:r>
      <w:r>
        <w:fldChar w:fldCharType="separate"/>
      </w:r>
      <w:r>
        <w:t>2</w:t>
      </w:r>
      <w:r>
        <w:fldChar w:fldCharType="end"/>
      </w:r>
      <w:r>
        <w:fldChar w:fldCharType="end"/>
      </w:r>
    </w:p>
    <w:p w14:paraId="27035FD9">
      <w:pPr>
        <w:pStyle w:val="19"/>
        <w:tabs>
          <w:tab w:val="right" w:leader="dot" w:pos="9354"/>
        </w:tabs>
      </w:pPr>
      <w:r>
        <w:fldChar w:fldCharType="begin"/>
      </w:r>
      <w:r>
        <w:instrText xml:space="preserve"> HYPERLINK \l _Toc6436 </w:instrText>
      </w:r>
      <w:r>
        <w:fldChar w:fldCharType="separate"/>
      </w:r>
      <w:r>
        <w:rPr>
          <w:rFonts w:hint="eastAsia"/>
          <w:szCs w:val="21"/>
          <w:lang w:val="en-US" w:eastAsia="zh-CN"/>
        </w:rPr>
        <w:t>8 勘察质量管控与保证措施</w:t>
      </w:r>
      <w:r>
        <w:tab/>
      </w:r>
      <w:r>
        <w:fldChar w:fldCharType="begin"/>
      </w:r>
      <w:r>
        <w:instrText xml:space="preserve"> PAGEREF _Toc6436 \h </w:instrText>
      </w:r>
      <w:r>
        <w:fldChar w:fldCharType="separate"/>
      </w:r>
      <w:r>
        <w:t>2</w:t>
      </w:r>
      <w:r>
        <w:fldChar w:fldCharType="end"/>
      </w:r>
      <w:r>
        <w:fldChar w:fldCharType="end"/>
      </w:r>
    </w:p>
    <w:p w14:paraId="04154C12">
      <w:pPr>
        <w:pStyle w:val="19"/>
        <w:tabs>
          <w:tab w:val="right" w:leader="dot" w:pos="9354"/>
        </w:tabs>
      </w:pPr>
      <w:r>
        <w:fldChar w:fldCharType="begin"/>
      </w:r>
      <w:r>
        <w:instrText xml:space="preserve"> HYPERLINK \l _Toc17949 </w:instrText>
      </w:r>
      <w:r>
        <w:fldChar w:fldCharType="separate"/>
      </w:r>
      <w:r>
        <w:rPr>
          <w:rFonts w:hint="eastAsia"/>
          <w:szCs w:val="21"/>
          <w:lang w:val="en-US" w:eastAsia="zh-CN"/>
        </w:rPr>
        <w:t>9 勘察安全与环境保护</w:t>
      </w:r>
      <w:r>
        <w:tab/>
      </w:r>
      <w:r>
        <w:fldChar w:fldCharType="begin"/>
      </w:r>
      <w:r>
        <w:instrText xml:space="preserve"> PAGEREF _Toc17949 \h </w:instrText>
      </w:r>
      <w:r>
        <w:fldChar w:fldCharType="separate"/>
      </w:r>
      <w:r>
        <w:t>3</w:t>
      </w:r>
      <w:r>
        <w:fldChar w:fldCharType="end"/>
      </w:r>
      <w:r>
        <w:fldChar w:fldCharType="end"/>
      </w:r>
    </w:p>
    <w:p w14:paraId="1B51B50A">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90"/>
        <w:spacing w:before="900" w:after="360"/>
      </w:pPr>
      <w:bookmarkStart w:id="23" w:name="_Toc19426"/>
      <w:bookmarkStart w:id="24" w:name="BookMark2"/>
      <w:r>
        <w:rPr>
          <w:spacing w:val="320"/>
        </w:rPr>
        <w:t>前</w:t>
      </w:r>
      <w:r>
        <w:t>言</w:t>
      </w:r>
      <w:bookmarkEnd w:id="22"/>
      <w:bookmarkEnd w:id="23"/>
    </w:p>
    <w:p w14:paraId="5DC8D965">
      <w:pPr>
        <w:pStyle w:val="57"/>
        <w:spacing w:line="360" w:lineRule="auto"/>
        <w:ind w:firstLine="420"/>
      </w:pPr>
      <w:r>
        <w:rPr>
          <w:rFonts w:hint="eastAsia"/>
        </w:rPr>
        <w:t>本文件按照GB/T 1.1—2020《标准化工作导则  第1部分：标准化文件的结构和起草规则》的规定起草。</w:t>
      </w:r>
    </w:p>
    <w:p w14:paraId="3BF47523">
      <w:pPr>
        <w:pStyle w:val="57"/>
        <w:spacing w:line="360" w:lineRule="auto"/>
        <w:ind w:firstLine="420"/>
      </w:pPr>
      <w:r>
        <w:rPr>
          <w:rFonts w:hint="eastAsia"/>
        </w:rPr>
        <w:t>请注意本文件的某些内容可能涉及专利。本文件的发布机构不承担识别专利的责任。</w:t>
      </w:r>
    </w:p>
    <w:p w14:paraId="754B7426">
      <w:pPr>
        <w:pStyle w:val="57"/>
        <w:spacing w:line="360" w:lineRule="auto"/>
        <w:ind w:firstLine="420"/>
      </w:pPr>
      <w:r>
        <w:rPr>
          <w:rFonts w:hint="eastAsia"/>
        </w:rPr>
        <w:t>本文件由西安市质量与标准化协会提出并归口。</w:t>
      </w:r>
    </w:p>
    <w:p w14:paraId="5B8DD1E1">
      <w:pPr>
        <w:pStyle w:val="57"/>
        <w:spacing w:line="360" w:lineRule="auto"/>
        <w:ind w:firstLine="420"/>
        <w:rPr>
          <w:rFonts w:hint="eastAsia"/>
          <w:lang w:eastAsia="zh-CN"/>
        </w:rPr>
      </w:pPr>
      <w:r>
        <w:rPr>
          <w:rFonts w:hint="eastAsia"/>
        </w:rPr>
        <w:t>本文件起草单位：山东省鲁南地质工程勘察院（山东省地质矿产勘查开发局第二地质大队）</w:t>
      </w:r>
      <w:r>
        <w:rPr>
          <w:rFonts w:hint="eastAsia"/>
          <w:lang w:val="en-US" w:eastAsia="zh-CN"/>
        </w:rPr>
        <w:t>。</w:t>
      </w:r>
    </w:p>
    <w:p w14:paraId="6F393388">
      <w:pPr>
        <w:pStyle w:val="57"/>
        <w:spacing w:line="360" w:lineRule="auto"/>
        <w:ind w:firstLine="420"/>
        <w:rPr>
          <w:rFonts w:hint="default"/>
          <w:lang w:val="en-US" w:eastAsia="zh-CN"/>
        </w:rPr>
      </w:pPr>
      <w:r>
        <w:rPr>
          <w:rFonts w:hint="eastAsia"/>
        </w:rPr>
        <w:t>本文件主要起草人：</w:t>
      </w:r>
      <w:r>
        <w:rPr>
          <w:rFonts w:hint="default"/>
          <w:lang w:val="en-US" w:eastAsia="zh-CN"/>
        </w:rPr>
        <w:t>张鹏君</w:t>
      </w:r>
      <w:r>
        <w:rPr>
          <w:rFonts w:hint="eastAsia"/>
          <w:lang w:val="en-US" w:eastAsia="zh-CN"/>
        </w:rPr>
        <w:t>。</w:t>
      </w:r>
    </w:p>
    <w:p w14:paraId="26D9D901">
      <w:pPr>
        <w:pStyle w:val="57"/>
        <w:ind w:firstLine="420"/>
      </w:pPr>
    </w:p>
    <w:p w14:paraId="635AF019">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90"/>
        <w:spacing w:after="360"/>
      </w:pPr>
      <w:bookmarkStart w:id="25" w:name="_Toc197342206"/>
      <w:bookmarkStart w:id="26" w:name="_Toc28937"/>
      <w:bookmarkStart w:id="27" w:name="BookMark3"/>
      <w:r>
        <w:rPr>
          <w:spacing w:val="320"/>
        </w:rPr>
        <w:t>引</w:t>
      </w:r>
      <w:r>
        <w:t>言</w:t>
      </w:r>
      <w:bookmarkEnd w:id="25"/>
      <w:bookmarkEnd w:id="26"/>
    </w:p>
    <w:p w14:paraId="1B6527E3">
      <w:pPr>
        <w:pStyle w:val="57"/>
        <w:spacing w:line="360" w:lineRule="auto"/>
        <w:ind w:left="0" w:leftChars="0" w:firstLine="420" w:firstLineChars="200"/>
        <w:rPr>
          <w:rFonts w:hint="eastAsia"/>
        </w:rPr>
      </w:pPr>
      <w:r>
        <w:rPr>
          <w:rFonts w:hint="eastAsia"/>
        </w:rPr>
        <w:t>深基坑工程作为现代城市建设中的重要组成部分，广泛应用于高层建筑、地下交通枢纽、大型商业综合体等关键基础设施的建设中。其开挖深度大、地质条件复杂、周边环境敏感的特点，使得岩土勘察工作成为确保工程安全、经济、高效实施的关键环节。</w:t>
      </w:r>
    </w:p>
    <w:p w14:paraId="10A83832">
      <w:pPr>
        <w:pStyle w:val="57"/>
        <w:spacing w:line="360" w:lineRule="auto"/>
        <w:ind w:left="0" w:leftChars="0" w:firstLine="420" w:firstLineChars="200"/>
        <w:rPr>
          <w:rFonts w:hint="eastAsia"/>
        </w:rPr>
      </w:pPr>
      <w:r>
        <w:rPr>
          <w:rFonts w:hint="eastAsia"/>
        </w:rPr>
        <w:t>岩土勘察不仅需准确揭示地下岩土体的物理力学性质与工程特性，为支护结构设计与施工提供科学依据，还需全面评估工程对周边环境的影响，确保施工过程中的安全与环保。然而，在实际操作中，深基坑工程岩土勘察常面临地质条件多变、勘察方法选择不当、数据采集与处理不精确、成果文件编制不规范等诸多挑战，这些问题严重影响了勘察成果的准确性和可靠性，进而对工程安全构成潜在威胁。鉴于此，制定一套系统、全面、科学的深基坑工程岩土勘察质量管控规范显得尤为迫切。本文件正是基于这一背景，结合国内外先进经验与实践成果，详细规定了深基坑工程岩土勘察的质量管控要求，涵盖了勘察工作全流程的各个环节，从勘察前准备、方法选择、数据采集与处理，到岩土参数分析与评价、成果文件编制与审核，再到质量管控与保证措施、安全与环境保护等，旨在为深基坑工程岩土勘察提供一套标准化、规范化的操作指南，确保勘察工作的科学性、客观性和准确性，为工程安全实施提供坚实的技术保障。</w:t>
      </w:r>
    </w:p>
    <w:p w14:paraId="30E55E16">
      <w:pPr>
        <w:pStyle w:val="57"/>
        <w:spacing w:line="360" w:lineRule="auto"/>
        <w:ind w:firstLine="420"/>
        <w:rPr>
          <w:rFonts w:hint="eastAsia"/>
        </w:rPr>
      </w:pPr>
    </w:p>
    <w:p w14:paraId="1FD0EDB2">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8"/>
            <w:spacing w:after="0"/>
          </w:pPr>
          <w:bookmarkStart w:id="29" w:name="NEW_STAND_NAME"/>
          <w:r>
            <w:rPr>
              <w:rFonts w:hint="eastAsia"/>
            </w:rPr>
            <w:t>深基坑工程岩土勘察质量管控技术规范</w:t>
          </w:r>
        </w:p>
      </w:sdtContent>
    </w:sdt>
    <w:bookmarkEnd w:id="29"/>
    <w:p w14:paraId="1339BF1A">
      <w:pPr>
        <w:pStyle w:val="105"/>
        <w:spacing w:before="240" w:after="240" w:line="360" w:lineRule="auto"/>
      </w:pPr>
      <w:bookmarkStart w:id="30" w:name="_Toc197342207"/>
      <w:bookmarkStart w:id="31" w:name="_Toc17233325"/>
      <w:bookmarkStart w:id="32" w:name="_Toc17233333"/>
      <w:bookmarkStart w:id="33" w:name="_Toc17485"/>
      <w:bookmarkStart w:id="34" w:name="_Toc24884211"/>
      <w:bookmarkStart w:id="35" w:name="_Toc97192964"/>
      <w:bookmarkStart w:id="36" w:name="_Toc26718930"/>
      <w:bookmarkStart w:id="37" w:name="_Toc26986771"/>
      <w:bookmarkStart w:id="38" w:name="_Toc24884218"/>
      <w:bookmarkStart w:id="39" w:name="_Toc26986530"/>
      <w:bookmarkStart w:id="40" w:name="_Toc26648465"/>
      <w:r>
        <w:rPr>
          <w:rFonts w:hint="eastAsia"/>
        </w:rPr>
        <w:t>范围</w:t>
      </w:r>
      <w:bookmarkEnd w:id="30"/>
      <w:bookmarkEnd w:id="31"/>
      <w:bookmarkEnd w:id="32"/>
      <w:bookmarkEnd w:id="33"/>
      <w:bookmarkEnd w:id="34"/>
      <w:bookmarkEnd w:id="35"/>
      <w:bookmarkEnd w:id="36"/>
      <w:bookmarkEnd w:id="37"/>
      <w:bookmarkEnd w:id="38"/>
      <w:bookmarkEnd w:id="39"/>
      <w:bookmarkEnd w:id="40"/>
    </w:p>
    <w:p w14:paraId="4D44EB1A">
      <w:pPr>
        <w:pStyle w:val="57"/>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eastAsia="宋体"/>
          <w:lang w:eastAsia="zh-CN"/>
        </w:rPr>
      </w:pPr>
      <w:bookmarkStart w:id="41" w:name="_Toc24884219"/>
      <w:bookmarkStart w:id="42" w:name="_Toc17233334"/>
      <w:bookmarkStart w:id="43" w:name="_Toc24884212"/>
      <w:bookmarkStart w:id="44" w:name="_Toc17233326"/>
      <w:bookmarkStart w:id="45" w:name="_Toc26648466"/>
      <w:r>
        <w:rPr>
          <w:rFonts w:hint="eastAsia"/>
          <w:lang w:eastAsia="zh-CN"/>
        </w:rPr>
        <w:t>本文件规定了深基坑工程岩土勘察的质量管控要求，包括勘察工作要求、岩土参数分析与评价、勘察成果文件编制与审核、勘察质量管控与保证措施、勘察安全与环境保护以及持续改进与创新发展等内容。本文件适用于深基坑工程岩土勘察的质量管理与控制。</w:t>
      </w:r>
    </w:p>
    <w:p w14:paraId="24B680AA">
      <w:pPr>
        <w:pStyle w:val="105"/>
        <w:spacing w:before="240" w:after="240" w:line="360" w:lineRule="auto"/>
        <w:rPr>
          <w:rFonts w:hint="eastAsia"/>
          <w:szCs w:val="21"/>
        </w:rPr>
      </w:pPr>
      <w:bookmarkStart w:id="46" w:name="_Toc97192965"/>
      <w:bookmarkStart w:id="47" w:name="_Toc26986531"/>
      <w:bookmarkStart w:id="48" w:name="_Toc26986772"/>
      <w:bookmarkStart w:id="49" w:name="_Toc26718931"/>
      <w:bookmarkStart w:id="50" w:name="_Toc197342208"/>
      <w:bookmarkStart w:id="51" w:name="_Toc21190"/>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9ED0AC2">
      <w:pPr>
        <w:pStyle w:val="57"/>
        <w:spacing w:line="360" w:lineRule="auto"/>
        <w:ind w:firstLine="420"/>
        <w:rPr>
          <w:rFonts w:hint="eastAsia"/>
        </w:rPr>
      </w:pPr>
      <w:r>
        <w:rPr>
          <w:rFonts w:hint="eastAsia"/>
        </w:rPr>
        <w:t>GB 50021 岩土工程勘察规范</w:t>
      </w:r>
    </w:p>
    <w:p w14:paraId="060DA786">
      <w:pPr>
        <w:pStyle w:val="57"/>
        <w:spacing w:line="360" w:lineRule="auto"/>
        <w:ind w:firstLine="420"/>
        <w:rPr>
          <w:rFonts w:hint="eastAsia"/>
        </w:rPr>
      </w:pPr>
      <w:r>
        <w:rPr>
          <w:rFonts w:hint="eastAsia"/>
        </w:rPr>
        <w:t>GB/T 50123 土工试验方法标准</w:t>
      </w:r>
    </w:p>
    <w:p w14:paraId="4BFEEC26">
      <w:pPr>
        <w:pStyle w:val="57"/>
        <w:spacing w:line="360" w:lineRule="auto"/>
        <w:ind w:firstLine="420"/>
        <w:rPr>
          <w:rFonts w:hint="eastAsia"/>
        </w:rPr>
      </w:pPr>
      <w:r>
        <w:rPr>
          <w:rFonts w:hint="eastAsia"/>
        </w:rPr>
        <w:t>GB 50701 岩土工程勘察安全规范</w:t>
      </w:r>
    </w:p>
    <w:p w14:paraId="6679E171">
      <w:pPr>
        <w:pStyle w:val="57"/>
        <w:spacing w:line="360" w:lineRule="auto"/>
        <w:ind w:firstLine="420"/>
        <w:rPr>
          <w:rFonts w:hint="eastAsia"/>
        </w:rPr>
      </w:pPr>
      <w:r>
        <w:rPr>
          <w:rFonts w:hint="eastAsia"/>
        </w:rPr>
        <w:t>DZ/T 0218 滑坡防治工程勘查规范</w:t>
      </w:r>
    </w:p>
    <w:bookmarkEnd w:id="28"/>
    <w:p w14:paraId="77D14E71">
      <w:pPr>
        <w:pStyle w:val="105"/>
        <w:spacing w:before="240" w:after="240" w:line="360" w:lineRule="auto"/>
        <w:rPr>
          <w:rFonts w:hint="eastAsia"/>
          <w:szCs w:val="21"/>
        </w:rPr>
      </w:pPr>
      <w:bookmarkStart w:id="52" w:name="_Toc23870"/>
      <w:r>
        <w:rPr>
          <w:rFonts w:hint="eastAsia"/>
          <w:szCs w:val="21"/>
        </w:rPr>
        <w:t>术语和定义</w:t>
      </w:r>
      <w:bookmarkEnd w:id="52"/>
    </w:p>
    <w:p w14:paraId="18755960">
      <w:pPr>
        <w:pStyle w:val="57"/>
        <w:spacing w:line="360" w:lineRule="auto"/>
        <w:ind w:firstLine="420"/>
        <w:rPr>
          <w:rFonts w:hint="eastAsia"/>
        </w:rPr>
      </w:pPr>
      <w:r>
        <w:rPr>
          <w:rFonts w:hint="eastAsia"/>
        </w:rPr>
        <w:t>下列术语和定义适用于本文件。</w:t>
      </w:r>
    </w:p>
    <w:p w14:paraId="7EC4A137">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深基坑工程</w:t>
      </w:r>
    </w:p>
    <w:p w14:paraId="244DCE63">
      <w:pPr>
        <w:pStyle w:val="57"/>
        <w:spacing w:line="360" w:lineRule="auto"/>
        <w:ind w:firstLine="420"/>
        <w:rPr>
          <w:rFonts w:hint="eastAsia"/>
          <w:lang w:val="en-US" w:eastAsia="zh-CN"/>
        </w:rPr>
      </w:pPr>
      <w:r>
        <w:rPr>
          <w:rFonts w:hint="eastAsia"/>
          <w:lang w:val="en-US" w:eastAsia="zh-CN"/>
        </w:rPr>
        <w:t>开挖深度超过5m的基坑工程，需采取特殊支护措施以确保边坡稳定和周围环境安全的工程。</w:t>
      </w:r>
    </w:p>
    <w:p w14:paraId="3CAD70A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岩土勘察</w:t>
      </w:r>
    </w:p>
    <w:p w14:paraId="210142B7">
      <w:pPr>
        <w:pStyle w:val="57"/>
        <w:spacing w:line="360" w:lineRule="auto"/>
        <w:ind w:firstLine="420"/>
        <w:rPr>
          <w:rFonts w:hint="eastAsia"/>
          <w:lang w:val="en-US" w:eastAsia="zh-CN"/>
        </w:rPr>
      </w:pPr>
      <w:r>
        <w:rPr>
          <w:rFonts w:hint="eastAsia"/>
          <w:lang w:val="en-US" w:eastAsia="zh-CN"/>
        </w:rPr>
        <w:t>通过钻探、原位测试、室内试验等手段，获取岩土体的物理力学性质指标和工程特性，为工程设计、施工提供依据的工作。</w:t>
      </w:r>
    </w:p>
    <w:p w14:paraId="49909FE4">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质量管控</w:t>
      </w:r>
    </w:p>
    <w:p w14:paraId="5D3981D0">
      <w:pPr>
        <w:pStyle w:val="57"/>
        <w:spacing w:line="360" w:lineRule="auto"/>
        <w:ind w:firstLine="420"/>
        <w:rPr>
          <w:rFonts w:hint="eastAsia"/>
          <w:lang w:val="en-US" w:eastAsia="zh-CN"/>
        </w:rPr>
      </w:pPr>
      <w:r>
        <w:rPr>
          <w:rFonts w:hint="eastAsia"/>
          <w:lang w:val="en-US" w:eastAsia="zh-CN"/>
        </w:rPr>
        <w:t>对岩土勘察的全过程进行质量控制和管理，确保勘察成果的准确性和可靠性。</w:t>
      </w:r>
    </w:p>
    <w:p w14:paraId="03C6B3AC">
      <w:pPr>
        <w:pStyle w:val="105"/>
        <w:spacing w:before="240" w:after="240" w:line="360" w:lineRule="auto"/>
        <w:rPr>
          <w:rFonts w:hint="eastAsia"/>
          <w:szCs w:val="21"/>
          <w:lang w:val="en-US" w:eastAsia="zh-CN"/>
        </w:rPr>
      </w:pPr>
      <w:bookmarkStart w:id="53" w:name="_Toc28697"/>
      <w:r>
        <w:rPr>
          <w:rFonts w:hint="eastAsia"/>
          <w:szCs w:val="21"/>
          <w:lang w:val="en-US" w:eastAsia="zh-CN"/>
        </w:rPr>
        <w:t>基本规定</w:t>
      </w:r>
      <w:bookmarkEnd w:id="53"/>
    </w:p>
    <w:p w14:paraId="27C1ED6C">
      <w:pPr>
        <w:pStyle w:val="57"/>
        <w:spacing w:line="360" w:lineRule="auto"/>
        <w:ind w:firstLine="420"/>
        <w:rPr>
          <w:rFonts w:hint="eastAsia"/>
          <w:lang w:val="en-US" w:eastAsia="zh-CN"/>
        </w:rPr>
      </w:pPr>
      <w:r>
        <w:rPr>
          <w:rFonts w:hint="eastAsia"/>
          <w:lang w:val="en-US" w:eastAsia="zh-CN"/>
        </w:rPr>
        <w:t>深基坑工程岩土勘察应遵循科学、客观、准确的原则，确保勘察数据的真实性和可靠性。</w:t>
      </w:r>
    </w:p>
    <w:p w14:paraId="2EC2DAFB">
      <w:pPr>
        <w:pStyle w:val="57"/>
        <w:spacing w:line="360" w:lineRule="auto"/>
        <w:ind w:firstLine="420"/>
        <w:rPr>
          <w:rFonts w:hint="eastAsia"/>
          <w:lang w:val="en-US" w:eastAsia="zh-CN"/>
        </w:rPr>
      </w:pPr>
      <w:r>
        <w:rPr>
          <w:rFonts w:hint="eastAsia"/>
          <w:lang w:val="en-US" w:eastAsia="zh-CN"/>
        </w:rPr>
        <w:t>勘察工作应满足工程设计、施工的要求，为工程安全实施提供技术保障。</w:t>
      </w:r>
    </w:p>
    <w:p w14:paraId="5836EB04">
      <w:pPr>
        <w:pStyle w:val="105"/>
        <w:spacing w:before="240" w:after="240" w:line="360" w:lineRule="auto"/>
        <w:rPr>
          <w:rFonts w:hint="eastAsia"/>
          <w:szCs w:val="21"/>
          <w:lang w:val="en-US" w:eastAsia="zh-CN"/>
        </w:rPr>
      </w:pPr>
      <w:bookmarkStart w:id="54" w:name="_Toc25839"/>
      <w:r>
        <w:rPr>
          <w:rFonts w:hint="eastAsia"/>
          <w:szCs w:val="21"/>
          <w:lang w:val="en-US" w:eastAsia="zh-CN"/>
        </w:rPr>
        <w:t>勘察工作要求</w:t>
      </w:r>
      <w:bookmarkEnd w:id="54"/>
    </w:p>
    <w:p w14:paraId="1AED7B6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勘察前准备</w:t>
      </w:r>
    </w:p>
    <w:p w14:paraId="65C65FE4">
      <w:pPr>
        <w:pStyle w:val="57"/>
        <w:spacing w:line="360" w:lineRule="auto"/>
        <w:ind w:firstLine="420"/>
        <w:rPr>
          <w:rFonts w:hint="eastAsia"/>
          <w:lang w:val="en-US" w:eastAsia="zh-CN"/>
        </w:rPr>
      </w:pPr>
      <w:r>
        <w:rPr>
          <w:rFonts w:hint="eastAsia"/>
          <w:lang w:val="en-US" w:eastAsia="zh-CN"/>
        </w:rPr>
        <w:t>收集区域地质资料、工程地质条件、水文地质条件等基础资料，编制详细的勘察大纲，明确勘察目的、任务、方法和要求。</w:t>
      </w:r>
    </w:p>
    <w:p w14:paraId="28C8115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勘察方法选择</w:t>
      </w:r>
    </w:p>
    <w:p w14:paraId="11DECE12">
      <w:pPr>
        <w:pStyle w:val="57"/>
        <w:spacing w:line="360" w:lineRule="auto"/>
        <w:ind w:firstLine="420"/>
        <w:rPr>
          <w:rFonts w:hint="eastAsia"/>
          <w:lang w:val="en-US" w:eastAsia="zh-CN"/>
        </w:rPr>
      </w:pPr>
      <w:r>
        <w:rPr>
          <w:rFonts w:hint="eastAsia"/>
          <w:lang w:val="en-US" w:eastAsia="zh-CN"/>
        </w:rPr>
        <w:t>根据工程特点和地质条件，合理选择钻探、原位测试、室内试验等勘察方法，确保勘察数据的全面性和准确性。</w:t>
      </w:r>
    </w:p>
    <w:p w14:paraId="0F2D4366">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勘察数据采集与处理</w:t>
      </w:r>
    </w:p>
    <w:p w14:paraId="39574057">
      <w:pPr>
        <w:pStyle w:val="57"/>
        <w:spacing w:line="360" w:lineRule="auto"/>
        <w:ind w:firstLine="420"/>
        <w:rPr>
          <w:rFonts w:hint="eastAsia"/>
          <w:lang w:val="en-US" w:eastAsia="zh-CN"/>
        </w:rPr>
      </w:pPr>
      <w:r>
        <w:rPr>
          <w:rFonts w:hint="eastAsia"/>
          <w:lang w:val="en-US" w:eastAsia="zh-CN"/>
        </w:rPr>
        <w:t>严格按照勘察方法和操作规程采集数据，确保数据的真实性和可靠性，及时处理和分析形成完整的勘察数据集。</w:t>
      </w:r>
    </w:p>
    <w:p w14:paraId="112922BE">
      <w:pPr>
        <w:pStyle w:val="105"/>
        <w:spacing w:before="240" w:after="240" w:line="360" w:lineRule="auto"/>
        <w:rPr>
          <w:rFonts w:hint="eastAsia"/>
          <w:szCs w:val="21"/>
          <w:lang w:val="en-US" w:eastAsia="zh-CN"/>
        </w:rPr>
      </w:pPr>
      <w:bookmarkStart w:id="55" w:name="_Toc29098"/>
      <w:r>
        <w:rPr>
          <w:rFonts w:hint="eastAsia"/>
          <w:szCs w:val="21"/>
          <w:lang w:val="en-US" w:eastAsia="zh-CN"/>
        </w:rPr>
        <w:t>岩土参数分析与评价</w:t>
      </w:r>
      <w:bookmarkEnd w:id="55"/>
    </w:p>
    <w:p w14:paraId="5C9B3585">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岩土物理力学性质指标</w:t>
      </w:r>
    </w:p>
    <w:p w14:paraId="57D9ABA0">
      <w:pPr>
        <w:pStyle w:val="57"/>
        <w:spacing w:line="360" w:lineRule="auto"/>
        <w:ind w:firstLine="420"/>
        <w:rPr>
          <w:rFonts w:hint="eastAsia"/>
          <w:lang w:val="en-US" w:eastAsia="zh-CN"/>
        </w:rPr>
      </w:pPr>
      <w:r>
        <w:rPr>
          <w:rFonts w:hint="eastAsia"/>
          <w:lang w:val="en-US" w:eastAsia="zh-CN"/>
        </w:rPr>
        <w:t>详细分析岩土体的密度、含水量、孔隙比、压缩性、抗剪强度等物理力学性质指标，为工程设计提供参数依据。</w:t>
      </w:r>
    </w:p>
    <w:p w14:paraId="3CB50A06">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岩土工程分类与分级</w:t>
      </w:r>
    </w:p>
    <w:p w14:paraId="5D520A46">
      <w:pPr>
        <w:pStyle w:val="57"/>
        <w:spacing w:line="360" w:lineRule="auto"/>
        <w:ind w:firstLine="420"/>
        <w:rPr>
          <w:rFonts w:hint="eastAsia"/>
          <w:lang w:val="en-US" w:eastAsia="zh-CN"/>
        </w:rPr>
      </w:pPr>
      <w:r>
        <w:rPr>
          <w:rFonts w:hint="eastAsia"/>
          <w:lang w:val="en-US" w:eastAsia="zh-CN"/>
        </w:rPr>
        <w:t>根据岩土体的工程特性，制定详细的工程分类和分级标准，为支护结构设计和施工提供指导。</w:t>
      </w:r>
    </w:p>
    <w:p w14:paraId="5B818A06">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岩土参数统计分析</w:t>
      </w:r>
    </w:p>
    <w:p w14:paraId="2807338D">
      <w:pPr>
        <w:pStyle w:val="57"/>
        <w:spacing w:line="360" w:lineRule="auto"/>
        <w:ind w:firstLine="420"/>
        <w:rPr>
          <w:rFonts w:hint="eastAsia"/>
          <w:lang w:val="en-US" w:eastAsia="zh-CN"/>
        </w:rPr>
      </w:pPr>
      <w:r>
        <w:rPr>
          <w:rFonts w:hint="eastAsia"/>
          <w:lang w:val="en-US" w:eastAsia="zh-CN"/>
        </w:rPr>
        <w:t>对采集的岩土参数进行统计分析，评估参数的变异性和可靠性，为工程风险评估提供依据。</w:t>
      </w:r>
    </w:p>
    <w:p w14:paraId="645016E8">
      <w:pPr>
        <w:pStyle w:val="105"/>
        <w:spacing w:before="240" w:after="240" w:line="360" w:lineRule="auto"/>
        <w:rPr>
          <w:rFonts w:hint="eastAsia"/>
          <w:szCs w:val="21"/>
          <w:lang w:val="en-US" w:eastAsia="zh-CN"/>
        </w:rPr>
      </w:pPr>
      <w:bookmarkStart w:id="56" w:name="_Toc28530"/>
      <w:r>
        <w:rPr>
          <w:rFonts w:hint="eastAsia"/>
          <w:szCs w:val="21"/>
          <w:lang w:val="en-US" w:eastAsia="zh-CN"/>
        </w:rPr>
        <w:t>勘察成果文件编制与审核</w:t>
      </w:r>
      <w:bookmarkEnd w:id="56"/>
    </w:p>
    <w:p w14:paraId="07813110">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成果文件内容要求</w:t>
      </w:r>
    </w:p>
    <w:p w14:paraId="0C910E45">
      <w:pPr>
        <w:pStyle w:val="57"/>
        <w:spacing w:line="360" w:lineRule="auto"/>
        <w:ind w:firstLine="420"/>
        <w:rPr>
          <w:rFonts w:hint="eastAsia"/>
          <w:lang w:val="en-US" w:eastAsia="zh-CN"/>
        </w:rPr>
      </w:pPr>
      <w:r>
        <w:rPr>
          <w:rFonts w:hint="eastAsia"/>
          <w:lang w:val="en-US" w:eastAsia="zh-CN"/>
        </w:rPr>
        <w:t>勘察成果文件应包括勘察报告、图表、附件等内容，全面反映勘察工作的过程和结果。</w:t>
      </w:r>
    </w:p>
    <w:p w14:paraId="640BD82D">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成果文件审核与批准</w:t>
      </w:r>
    </w:p>
    <w:p w14:paraId="16D21FED">
      <w:pPr>
        <w:pStyle w:val="57"/>
        <w:spacing w:line="360" w:lineRule="auto"/>
        <w:ind w:firstLine="420"/>
        <w:rPr>
          <w:rFonts w:hint="eastAsia"/>
          <w:lang w:val="en-US" w:eastAsia="zh-CN"/>
        </w:rPr>
      </w:pPr>
      <w:r>
        <w:rPr>
          <w:rFonts w:hint="eastAsia"/>
          <w:lang w:val="en-US" w:eastAsia="zh-CN"/>
        </w:rPr>
        <w:t>勘察成果文件应经过内部审核和外部专家评审，确保文件的准确性和可靠性。</w:t>
      </w:r>
    </w:p>
    <w:p w14:paraId="52EF9828">
      <w:pPr>
        <w:pStyle w:val="57"/>
        <w:spacing w:line="360" w:lineRule="auto"/>
        <w:ind w:firstLine="420"/>
        <w:rPr>
          <w:rFonts w:hint="eastAsia"/>
          <w:lang w:val="en-US" w:eastAsia="zh-CN"/>
        </w:rPr>
      </w:pPr>
      <w:r>
        <w:rPr>
          <w:rFonts w:hint="eastAsia"/>
          <w:lang w:val="en-US" w:eastAsia="zh-CN"/>
        </w:rPr>
        <w:t>经批准后，方可作为工程设计和施工的依据。</w:t>
      </w:r>
    </w:p>
    <w:p w14:paraId="6F277F78">
      <w:pPr>
        <w:pStyle w:val="105"/>
        <w:spacing w:before="240" w:after="240" w:line="360" w:lineRule="auto"/>
        <w:rPr>
          <w:rFonts w:hint="eastAsia"/>
          <w:szCs w:val="21"/>
          <w:lang w:val="en-US" w:eastAsia="zh-CN"/>
        </w:rPr>
      </w:pPr>
      <w:bookmarkStart w:id="57" w:name="_Toc6436"/>
      <w:r>
        <w:rPr>
          <w:rFonts w:hint="eastAsia"/>
          <w:szCs w:val="21"/>
          <w:lang w:val="en-US" w:eastAsia="zh-CN"/>
        </w:rPr>
        <w:t>勘察质量管控与保证措施</w:t>
      </w:r>
      <w:bookmarkEnd w:id="57"/>
    </w:p>
    <w:p w14:paraId="43A7ECD6">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质量管理体系建立</w:t>
      </w:r>
    </w:p>
    <w:p w14:paraId="3BC8ABF9">
      <w:pPr>
        <w:pStyle w:val="57"/>
        <w:spacing w:line="360" w:lineRule="auto"/>
        <w:ind w:firstLine="420"/>
        <w:rPr>
          <w:rFonts w:hint="eastAsia"/>
          <w:lang w:val="en-US" w:eastAsia="zh-CN"/>
        </w:rPr>
      </w:pPr>
      <w:r>
        <w:rPr>
          <w:rFonts w:hint="eastAsia"/>
          <w:lang w:val="en-US" w:eastAsia="zh-CN"/>
        </w:rPr>
        <w:t>建立完善的质量管理体系，明确各级人员的职责和权限，确保勘察工作的质量控制和管理。</w:t>
      </w:r>
    </w:p>
    <w:p w14:paraId="43033BA0">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勘察过程质量控制</w:t>
      </w:r>
    </w:p>
    <w:p w14:paraId="659F97B0">
      <w:pPr>
        <w:pStyle w:val="57"/>
        <w:spacing w:line="360" w:lineRule="auto"/>
        <w:ind w:firstLine="420"/>
        <w:rPr>
          <w:rFonts w:hint="eastAsia"/>
          <w:lang w:val="en-US" w:eastAsia="zh-CN"/>
        </w:rPr>
      </w:pPr>
      <w:r>
        <w:rPr>
          <w:rFonts w:hint="eastAsia"/>
          <w:lang w:val="en-US" w:eastAsia="zh-CN"/>
        </w:rPr>
        <w:t>对勘察工作的全过程进行质量控制，包括勘察方法选择、数据采集与处理、成果文件编制等环节。</w:t>
      </w:r>
    </w:p>
    <w:p w14:paraId="440A2DEC">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勘察成果质量验收</w:t>
      </w:r>
    </w:p>
    <w:p w14:paraId="7E6556CC">
      <w:pPr>
        <w:pStyle w:val="57"/>
        <w:spacing w:line="360" w:lineRule="auto"/>
        <w:ind w:firstLine="420"/>
        <w:rPr>
          <w:rFonts w:hint="eastAsia"/>
          <w:lang w:val="en-US" w:eastAsia="zh-CN"/>
        </w:rPr>
      </w:pPr>
      <w:r>
        <w:rPr>
          <w:rFonts w:hint="eastAsia"/>
          <w:lang w:val="en-US" w:eastAsia="zh-CN"/>
        </w:rPr>
        <w:t>对勘察成果文件进行质量验收，评估文件的准确性和可靠性。</w:t>
      </w:r>
    </w:p>
    <w:p w14:paraId="6A30EC6C">
      <w:pPr>
        <w:pStyle w:val="57"/>
        <w:spacing w:line="360" w:lineRule="auto"/>
        <w:ind w:firstLine="420"/>
        <w:rPr>
          <w:rFonts w:hint="eastAsia"/>
          <w:lang w:val="en-US" w:eastAsia="zh-CN"/>
        </w:rPr>
      </w:pPr>
      <w:r>
        <w:rPr>
          <w:rFonts w:hint="eastAsia"/>
          <w:lang w:val="en-US" w:eastAsia="zh-CN"/>
        </w:rPr>
        <w:t>对不符合要求的成果文件，应及时进行整改和重新编制。</w:t>
      </w:r>
    </w:p>
    <w:p w14:paraId="3EA59763">
      <w:pPr>
        <w:pStyle w:val="105"/>
        <w:spacing w:before="240" w:after="240" w:line="360" w:lineRule="auto"/>
        <w:rPr>
          <w:rFonts w:hint="eastAsia"/>
          <w:szCs w:val="21"/>
          <w:lang w:val="en-US" w:eastAsia="zh-CN"/>
        </w:rPr>
      </w:pPr>
      <w:bookmarkStart w:id="58" w:name="_Toc17949"/>
      <w:r>
        <w:rPr>
          <w:rFonts w:hint="eastAsia"/>
          <w:szCs w:val="21"/>
          <w:lang w:val="en-US" w:eastAsia="zh-CN"/>
        </w:rPr>
        <w:t>勘察安全与环境保护</w:t>
      </w:r>
      <w:bookmarkEnd w:id="58"/>
    </w:p>
    <w:p w14:paraId="5D5C019C">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勘察安全措施</w:t>
      </w:r>
    </w:p>
    <w:p w14:paraId="64992EFB">
      <w:pPr>
        <w:pStyle w:val="57"/>
        <w:spacing w:line="360" w:lineRule="auto"/>
        <w:ind w:firstLine="420"/>
        <w:rPr>
          <w:rFonts w:hint="eastAsia"/>
          <w:lang w:val="en-US" w:eastAsia="zh-CN"/>
        </w:rPr>
      </w:pPr>
      <w:r>
        <w:rPr>
          <w:rFonts w:hint="eastAsia"/>
          <w:lang w:val="en-US" w:eastAsia="zh-CN"/>
        </w:rPr>
        <w:t>制定详细的勘察安全措施，包括人员安全防护、设备安全检查、危险区域和危险作业的特殊防护措施等。</w:t>
      </w:r>
    </w:p>
    <w:p w14:paraId="20C65DB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环境保护要求</w:t>
      </w:r>
    </w:p>
    <w:p w14:paraId="2627DC9A">
      <w:pPr>
        <w:pStyle w:val="57"/>
        <w:spacing w:line="360" w:lineRule="auto"/>
        <w:ind w:firstLine="420"/>
        <w:rPr>
          <w:rFonts w:hint="eastAsia"/>
          <w:lang w:val="en-US" w:eastAsia="zh-CN"/>
        </w:rPr>
      </w:pPr>
      <w:r>
        <w:rPr>
          <w:rFonts w:hint="eastAsia"/>
          <w:lang w:val="en-US" w:eastAsia="zh-CN"/>
        </w:rPr>
        <w:t>遵守环境保护法律法规，减少勘察作业对周围环</w:t>
      </w:r>
      <w:bookmarkStart w:id="59" w:name="_GoBack"/>
      <w:bookmarkEnd w:id="59"/>
      <w:r>
        <w:rPr>
          <w:rFonts w:hint="eastAsia"/>
          <w:lang w:val="en-US" w:eastAsia="zh-CN"/>
        </w:rPr>
        <w:t>境的影响，对勘察过程中产生的废弃物和污染物进行及时处理和处置。</w:t>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2"/>
    </w:pPr>
    <w:r>
      <w:fldChar w:fldCharType="begin"/>
    </w:r>
    <w:r>
      <w:instrText xml:space="preserve"> STYLEREF  标准文件_文件编号  \* MERGEFORMAT </w:instrText>
    </w:r>
    <w:r>
      <w:fldChar w:fldCharType="separate"/>
    </w:r>
    <w:r>
      <w:t>T/XZBX 0124—2025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0124—2025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2"/>
    </w:pPr>
    <w:r>
      <w:fldChar w:fldCharType="begin"/>
    </w:r>
    <w:r>
      <w:instrText xml:space="preserve"> STYLEREF  标准文件_文件编号  \* MERGEFORMAT </w:instrText>
    </w:r>
    <w:r>
      <w:fldChar w:fldCharType="separate"/>
    </w:r>
    <w:r>
      <w:t>T/XZBX 0124—2025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0124—2025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2"/>
    </w:pPr>
    <w:r>
      <w:fldChar w:fldCharType="begin"/>
    </w:r>
    <w:r>
      <w:instrText xml:space="preserve"> STYLEREF  标准文件_文件编号  \* MERGEFORMAT </w:instrText>
    </w:r>
    <w:r>
      <w:fldChar w:fldCharType="separate"/>
    </w:r>
    <w:r>
      <w:t>T/XZBX 0124—2025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0124—2025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2"/>
    </w:pPr>
    <w:r>
      <w:fldChar w:fldCharType="begin"/>
    </w:r>
    <w:r>
      <w:instrText xml:space="preserve"> STYLEREF  标准文件_文件编号  \* MERGEFORMAT </w:instrText>
    </w:r>
    <w:r>
      <w:fldChar w:fldCharType="separate"/>
    </w:r>
    <w:r>
      <w:t>T/XZBX 0124—2025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0124—2025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483"/>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DAD"/>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14809"/>
    <w:rsid w:val="02063AB2"/>
    <w:rsid w:val="0227136C"/>
    <w:rsid w:val="02571F5F"/>
    <w:rsid w:val="047B14FB"/>
    <w:rsid w:val="04B50EB1"/>
    <w:rsid w:val="04BC223F"/>
    <w:rsid w:val="04C133B2"/>
    <w:rsid w:val="04D644D2"/>
    <w:rsid w:val="0594649B"/>
    <w:rsid w:val="063A78C0"/>
    <w:rsid w:val="06450013"/>
    <w:rsid w:val="067676BD"/>
    <w:rsid w:val="082425D6"/>
    <w:rsid w:val="083D5267"/>
    <w:rsid w:val="09EA5159"/>
    <w:rsid w:val="0A5B6057"/>
    <w:rsid w:val="0BAE0408"/>
    <w:rsid w:val="0C796C68"/>
    <w:rsid w:val="0D88559C"/>
    <w:rsid w:val="0FD22917"/>
    <w:rsid w:val="100F2B3F"/>
    <w:rsid w:val="10352EA6"/>
    <w:rsid w:val="119836EC"/>
    <w:rsid w:val="11A5092B"/>
    <w:rsid w:val="123C051C"/>
    <w:rsid w:val="13225964"/>
    <w:rsid w:val="13611C3D"/>
    <w:rsid w:val="1367270D"/>
    <w:rsid w:val="142034CA"/>
    <w:rsid w:val="14B52807"/>
    <w:rsid w:val="15227E9D"/>
    <w:rsid w:val="16104199"/>
    <w:rsid w:val="165D4F05"/>
    <w:rsid w:val="16B94831"/>
    <w:rsid w:val="176C54EA"/>
    <w:rsid w:val="17DC43BC"/>
    <w:rsid w:val="18115FA7"/>
    <w:rsid w:val="18C67773"/>
    <w:rsid w:val="194523AC"/>
    <w:rsid w:val="19996E8D"/>
    <w:rsid w:val="19CF06A0"/>
    <w:rsid w:val="1ACA4340"/>
    <w:rsid w:val="1BC616CD"/>
    <w:rsid w:val="1D9A07EC"/>
    <w:rsid w:val="1F501AAA"/>
    <w:rsid w:val="1F554A44"/>
    <w:rsid w:val="1FF24E4E"/>
    <w:rsid w:val="202F16C0"/>
    <w:rsid w:val="234E00AF"/>
    <w:rsid w:val="23AE5EF7"/>
    <w:rsid w:val="250F386E"/>
    <w:rsid w:val="258A1146"/>
    <w:rsid w:val="25956469"/>
    <w:rsid w:val="25F767DC"/>
    <w:rsid w:val="26C358C3"/>
    <w:rsid w:val="279462AC"/>
    <w:rsid w:val="280671AA"/>
    <w:rsid w:val="285919D0"/>
    <w:rsid w:val="28AC6949"/>
    <w:rsid w:val="28CB3F50"/>
    <w:rsid w:val="29ED5A45"/>
    <w:rsid w:val="2A247DBB"/>
    <w:rsid w:val="2A4D10C0"/>
    <w:rsid w:val="2B41674B"/>
    <w:rsid w:val="2B4D4497"/>
    <w:rsid w:val="2BAF1907"/>
    <w:rsid w:val="2BFE65C2"/>
    <w:rsid w:val="2C7B4F1A"/>
    <w:rsid w:val="2C90587C"/>
    <w:rsid w:val="2CDE24A4"/>
    <w:rsid w:val="2CFB12A7"/>
    <w:rsid w:val="2D1B36F8"/>
    <w:rsid w:val="2DCF44E2"/>
    <w:rsid w:val="2F0D3EB8"/>
    <w:rsid w:val="2FBF58A6"/>
    <w:rsid w:val="2FC71A29"/>
    <w:rsid w:val="30185CCC"/>
    <w:rsid w:val="30234671"/>
    <w:rsid w:val="33890C8F"/>
    <w:rsid w:val="33F61CAC"/>
    <w:rsid w:val="34980849"/>
    <w:rsid w:val="34CD1F56"/>
    <w:rsid w:val="34DF14AF"/>
    <w:rsid w:val="34EA283B"/>
    <w:rsid w:val="36136B10"/>
    <w:rsid w:val="36462E68"/>
    <w:rsid w:val="38844435"/>
    <w:rsid w:val="38DB1E98"/>
    <w:rsid w:val="39423DBA"/>
    <w:rsid w:val="39A24859"/>
    <w:rsid w:val="39AD1CD6"/>
    <w:rsid w:val="3AD924FC"/>
    <w:rsid w:val="3B27385D"/>
    <w:rsid w:val="3B9C63F9"/>
    <w:rsid w:val="3BE86E9B"/>
    <w:rsid w:val="3C1E74E7"/>
    <w:rsid w:val="3D031FD4"/>
    <w:rsid w:val="3D09631F"/>
    <w:rsid w:val="3D65451B"/>
    <w:rsid w:val="3DBD4357"/>
    <w:rsid w:val="3DD31485"/>
    <w:rsid w:val="3E6946ED"/>
    <w:rsid w:val="3F0062A9"/>
    <w:rsid w:val="3F9A4950"/>
    <w:rsid w:val="401C07FB"/>
    <w:rsid w:val="42293D69"/>
    <w:rsid w:val="427A2817"/>
    <w:rsid w:val="429D02B3"/>
    <w:rsid w:val="42EA346B"/>
    <w:rsid w:val="433E1A96"/>
    <w:rsid w:val="443D5731"/>
    <w:rsid w:val="44983428"/>
    <w:rsid w:val="456D21BF"/>
    <w:rsid w:val="46AB11F1"/>
    <w:rsid w:val="46DF70EC"/>
    <w:rsid w:val="47203CF1"/>
    <w:rsid w:val="47310761"/>
    <w:rsid w:val="477C493B"/>
    <w:rsid w:val="47953C4F"/>
    <w:rsid w:val="48972517"/>
    <w:rsid w:val="48BF5427"/>
    <w:rsid w:val="495A7BA0"/>
    <w:rsid w:val="4A2F2139"/>
    <w:rsid w:val="4AC80D07"/>
    <w:rsid w:val="4B8D7117"/>
    <w:rsid w:val="4CEA0599"/>
    <w:rsid w:val="4CEC60BF"/>
    <w:rsid w:val="4E04568A"/>
    <w:rsid w:val="4F0911AA"/>
    <w:rsid w:val="4F3124AF"/>
    <w:rsid w:val="50242014"/>
    <w:rsid w:val="510A745C"/>
    <w:rsid w:val="51527191"/>
    <w:rsid w:val="51962A9D"/>
    <w:rsid w:val="51986815"/>
    <w:rsid w:val="52E00474"/>
    <w:rsid w:val="53890B0C"/>
    <w:rsid w:val="54322F51"/>
    <w:rsid w:val="54831562"/>
    <w:rsid w:val="54D67D81"/>
    <w:rsid w:val="552C79A0"/>
    <w:rsid w:val="55515659"/>
    <w:rsid w:val="55911EF9"/>
    <w:rsid w:val="565F5B54"/>
    <w:rsid w:val="573E4B9B"/>
    <w:rsid w:val="585316E8"/>
    <w:rsid w:val="58676F42"/>
    <w:rsid w:val="588B70D4"/>
    <w:rsid w:val="59AA17DC"/>
    <w:rsid w:val="59D96484"/>
    <w:rsid w:val="5AA82FEB"/>
    <w:rsid w:val="5BA81D4B"/>
    <w:rsid w:val="5DAE61D8"/>
    <w:rsid w:val="5DBE5856"/>
    <w:rsid w:val="5F5C378C"/>
    <w:rsid w:val="5FAB3BB8"/>
    <w:rsid w:val="6008725C"/>
    <w:rsid w:val="60792979"/>
    <w:rsid w:val="60C50CA9"/>
    <w:rsid w:val="61251748"/>
    <w:rsid w:val="61A651A2"/>
    <w:rsid w:val="61DE0274"/>
    <w:rsid w:val="62CE02E9"/>
    <w:rsid w:val="63422A85"/>
    <w:rsid w:val="64562060"/>
    <w:rsid w:val="64AD2180"/>
    <w:rsid w:val="64C11907"/>
    <w:rsid w:val="65705687"/>
    <w:rsid w:val="658E3D60"/>
    <w:rsid w:val="65B73BCD"/>
    <w:rsid w:val="66E77BCB"/>
    <w:rsid w:val="670A6D87"/>
    <w:rsid w:val="68846345"/>
    <w:rsid w:val="68F62348"/>
    <w:rsid w:val="69407A67"/>
    <w:rsid w:val="694C1F68"/>
    <w:rsid w:val="6B4C26F3"/>
    <w:rsid w:val="6B60619E"/>
    <w:rsid w:val="6BF559D1"/>
    <w:rsid w:val="6C351337"/>
    <w:rsid w:val="6CE55009"/>
    <w:rsid w:val="6CFE7A1D"/>
    <w:rsid w:val="6D940381"/>
    <w:rsid w:val="6E645FA5"/>
    <w:rsid w:val="6F655B31"/>
    <w:rsid w:val="6FA80114"/>
    <w:rsid w:val="701E42B5"/>
    <w:rsid w:val="71357785"/>
    <w:rsid w:val="72653996"/>
    <w:rsid w:val="72695938"/>
    <w:rsid w:val="72A921D9"/>
    <w:rsid w:val="735C6961"/>
    <w:rsid w:val="7367064C"/>
    <w:rsid w:val="73F2195D"/>
    <w:rsid w:val="740A3B48"/>
    <w:rsid w:val="756B293B"/>
    <w:rsid w:val="75D03F20"/>
    <w:rsid w:val="75DA1174"/>
    <w:rsid w:val="78AD1F12"/>
    <w:rsid w:val="79905EA0"/>
    <w:rsid w:val="79A4194C"/>
    <w:rsid w:val="7AA54A68"/>
    <w:rsid w:val="7AC8307B"/>
    <w:rsid w:val="7B7622FF"/>
    <w:rsid w:val="7BAE0860"/>
    <w:rsid w:val="7BF070CA"/>
    <w:rsid w:val="7C093CE8"/>
    <w:rsid w:val="7C1E59E5"/>
    <w:rsid w:val="7CCE07E8"/>
    <w:rsid w:val="7D5D41EC"/>
    <w:rsid w:val="7EEF69EF"/>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2118</Words>
  <Characters>2278</Characters>
  <Lines>48</Lines>
  <Paragraphs>13</Paragraphs>
  <TotalTime>0</TotalTime>
  <ScaleCrop>false</ScaleCrop>
  <LinksUpToDate>false</LinksUpToDate>
  <CharactersWithSpaces>2337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2025-10-31T01:51:42Z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eyJoZGlkIjoiZDE0YjJmN2Y1YzFkNjlmYjlkYTI4YTI1MzIwNzJiMDMiLCJ1c2VySWQiOiIxNDE1OTEzOTEwIn0=</vt:lpwstr>
  </property>
  <property fmtid="{D5CDD505-2E9C-101B-9397-08002B2CF9AE}" pid="16" name="KSOProductBuildVer">
    <vt:lpwstr>2052-12.1.0.23542</vt:lpwstr>
  </property>
  <property fmtid="{D5CDD505-2E9C-101B-9397-08002B2CF9AE}" pid="17" name="ICV">
    <vt:lpwstr>A30C2BEBB02B4030816E82C94804B5C9_12</vt:lpwstr>
  </property>
</Properties>
</file>