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13.34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13.340.01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C 26"/>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C 26</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3"/>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0123</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化工装置检修期间安全防护实施要点"/>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化工装置检修期间安全防护实施要点</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Key Points for Implementing Safety Protection During the Overhaul Period of Chemical Plant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Key Points for Implementing Safety Protection During the Overhaul Period of Chemical Plants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754306E3">
      <w:pPr>
        <w:pStyle w:val="19"/>
        <w:tabs>
          <w:tab w:val="right" w:leader="dot" w:pos="9354"/>
        </w:tabs>
      </w:pPr>
      <w:r>
        <w:fldChar w:fldCharType="begin"/>
      </w:r>
      <w:r>
        <w:instrText xml:space="preserve"> TOC \o "1-1" \h </w:instrText>
      </w:r>
      <w:r>
        <w:fldChar w:fldCharType="separate"/>
      </w:r>
      <w:r>
        <w:fldChar w:fldCharType="begin"/>
      </w:r>
      <w:r>
        <w:instrText xml:space="preserve"> HYPERLINK \l _Toc16324 </w:instrText>
      </w:r>
      <w:r>
        <w:fldChar w:fldCharType="separate"/>
      </w:r>
      <w:r>
        <w:rPr>
          <w:spacing w:val="320"/>
        </w:rPr>
        <w:t>前</w:t>
      </w:r>
      <w:r>
        <w:t>言</w:t>
      </w:r>
      <w:r>
        <w:tab/>
      </w:r>
      <w:r>
        <w:fldChar w:fldCharType="begin"/>
      </w:r>
      <w:r>
        <w:instrText xml:space="preserve"> PAGEREF _Toc16324 \h </w:instrText>
      </w:r>
      <w:r>
        <w:fldChar w:fldCharType="separate"/>
      </w:r>
      <w:r>
        <w:t>III</w:t>
      </w:r>
      <w:r>
        <w:fldChar w:fldCharType="end"/>
      </w:r>
      <w:r>
        <w:fldChar w:fldCharType="end"/>
      </w:r>
    </w:p>
    <w:p w14:paraId="4B6A80DF">
      <w:pPr>
        <w:pStyle w:val="19"/>
        <w:tabs>
          <w:tab w:val="right" w:leader="dot" w:pos="9354"/>
        </w:tabs>
      </w:pPr>
      <w:r>
        <w:fldChar w:fldCharType="begin"/>
      </w:r>
      <w:r>
        <w:instrText xml:space="preserve"> HYPERLINK \l _Toc8939 </w:instrText>
      </w:r>
      <w:r>
        <w:fldChar w:fldCharType="separate"/>
      </w:r>
      <w:r>
        <w:rPr>
          <w:spacing w:val="320"/>
        </w:rPr>
        <w:t>引</w:t>
      </w:r>
      <w:r>
        <w:t>言</w:t>
      </w:r>
      <w:r>
        <w:tab/>
      </w:r>
      <w:r>
        <w:fldChar w:fldCharType="begin"/>
      </w:r>
      <w:r>
        <w:instrText xml:space="preserve"> PAGEREF _Toc8939 \h </w:instrText>
      </w:r>
      <w:r>
        <w:fldChar w:fldCharType="separate"/>
      </w:r>
      <w:r>
        <w:t>V</w:t>
      </w:r>
      <w:r>
        <w:fldChar w:fldCharType="end"/>
      </w:r>
      <w:r>
        <w:fldChar w:fldCharType="end"/>
      </w:r>
    </w:p>
    <w:p w14:paraId="587EB277">
      <w:pPr>
        <w:pStyle w:val="19"/>
        <w:tabs>
          <w:tab w:val="right" w:leader="dot" w:pos="9354"/>
        </w:tabs>
      </w:pPr>
      <w:r>
        <w:fldChar w:fldCharType="begin"/>
      </w:r>
      <w:r>
        <w:instrText xml:space="preserve"> HYPERLINK \l _Toc1029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_Toc1029 \h </w:instrText>
      </w:r>
      <w:r>
        <w:fldChar w:fldCharType="separate"/>
      </w:r>
      <w:r>
        <w:t>1</w:t>
      </w:r>
      <w:r>
        <w:fldChar w:fldCharType="end"/>
      </w:r>
      <w:r>
        <w:fldChar w:fldCharType="end"/>
      </w:r>
    </w:p>
    <w:p w14:paraId="42BB1BF4">
      <w:pPr>
        <w:pStyle w:val="19"/>
        <w:tabs>
          <w:tab w:val="right" w:leader="dot" w:pos="9354"/>
        </w:tabs>
      </w:pPr>
      <w:r>
        <w:fldChar w:fldCharType="begin"/>
      </w:r>
      <w:r>
        <w:instrText xml:space="preserve"> HYPERLINK \l _Toc22970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_Toc22970 \h </w:instrText>
      </w:r>
      <w:r>
        <w:fldChar w:fldCharType="separate"/>
      </w:r>
      <w:r>
        <w:t>1</w:t>
      </w:r>
      <w:r>
        <w:fldChar w:fldCharType="end"/>
      </w:r>
      <w:r>
        <w:fldChar w:fldCharType="end"/>
      </w:r>
    </w:p>
    <w:p w14:paraId="498499F9">
      <w:pPr>
        <w:pStyle w:val="19"/>
        <w:tabs>
          <w:tab w:val="right" w:leader="dot" w:pos="9354"/>
        </w:tabs>
      </w:pPr>
      <w:r>
        <w:fldChar w:fldCharType="begin"/>
      </w:r>
      <w:r>
        <w:instrText xml:space="preserve"> HYPERLINK \l _Toc25469 </w:instrText>
      </w:r>
      <w:r>
        <w:fldChar w:fldCharType="separate"/>
      </w:r>
      <w:r>
        <w:rPr>
          <w:rFonts w:hint="eastAsia"/>
          <w:szCs w:val="21"/>
        </w:rPr>
        <w:t>3 术语和定义</w:t>
      </w:r>
      <w:r>
        <w:tab/>
      </w:r>
      <w:r>
        <w:fldChar w:fldCharType="begin"/>
      </w:r>
      <w:r>
        <w:instrText xml:space="preserve"> PAGEREF _Toc25469 \h </w:instrText>
      </w:r>
      <w:r>
        <w:fldChar w:fldCharType="separate"/>
      </w:r>
      <w:r>
        <w:t>1</w:t>
      </w:r>
      <w:r>
        <w:fldChar w:fldCharType="end"/>
      </w:r>
      <w:r>
        <w:fldChar w:fldCharType="end"/>
      </w:r>
    </w:p>
    <w:p w14:paraId="152265A0">
      <w:pPr>
        <w:pStyle w:val="19"/>
        <w:tabs>
          <w:tab w:val="right" w:leader="dot" w:pos="9354"/>
        </w:tabs>
      </w:pPr>
      <w:r>
        <w:fldChar w:fldCharType="begin"/>
      </w:r>
      <w:r>
        <w:instrText xml:space="preserve"> HYPERLINK \l _Toc958 </w:instrText>
      </w:r>
      <w:r>
        <w:fldChar w:fldCharType="separate"/>
      </w:r>
      <w:r>
        <w:rPr>
          <w:rFonts w:hint="eastAsia"/>
          <w:szCs w:val="21"/>
        </w:rPr>
        <w:t>4. 动火作业安全基本要求</w:t>
      </w:r>
      <w:r>
        <w:tab/>
      </w:r>
      <w:r>
        <w:fldChar w:fldCharType="begin"/>
      </w:r>
      <w:r>
        <w:instrText xml:space="preserve"> PAGEREF _Toc958 \h </w:instrText>
      </w:r>
      <w:r>
        <w:fldChar w:fldCharType="separate"/>
      </w:r>
      <w:r>
        <w:t>1</w:t>
      </w:r>
      <w:r>
        <w:fldChar w:fldCharType="end"/>
      </w:r>
      <w:r>
        <w:fldChar w:fldCharType="end"/>
      </w:r>
    </w:p>
    <w:p w14:paraId="7ACB37B0">
      <w:pPr>
        <w:pStyle w:val="19"/>
        <w:tabs>
          <w:tab w:val="right" w:leader="dot" w:pos="9354"/>
        </w:tabs>
      </w:pPr>
      <w:r>
        <w:fldChar w:fldCharType="begin"/>
      </w:r>
      <w:r>
        <w:instrText xml:space="preserve"> HYPERLINK \l _Toc4044 </w:instrText>
      </w:r>
      <w:r>
        <w:fldChar w:fldCharType="separate"/>
      </w:r>
      <w:r>
        <w:rPr>
          <w:rFonts w:hint="eastAsia"/>
          <w:szCs w:val="21"/>
        </w:rPr>
        <w:t>5. 动火作业现场安全管控</w:t>
      </w:r>
      <w:r>
        <w:tab/>
      </w:r>
      <w:r>
        <w:fldChar w:fldCharType="begin"/>
      </w:r>
      <w:r>
        <w:instrText xml:space="preserve"> PAGEREF _Toc4044 \h </w:instrText>
      </w:r>
      <w:r>
        <w:fldChar w:fldCharType="separate"/>
      </w:r>
      <w:r>
        <w:t>2</w:t>
      </w:r>
      <w:r>
        <w:fldChar w:fldCharType="end"/>
      </w:r>
      <w:r>
        <w:fldChar w:fldCharType="end"/>
      </w:r>
    </w:p>
    <w:p w14:paraId="45B3D0E7">
      <w:pPr>
        <w:pStyle w:val="19"/>
        <w:tabs>
          <w:tab w:val="right" w:leader="dot" w:pos="9354"/>
        </w:tabs>
      </w:pPr>
      <w:r>
        <w:fldChar w:fldCharType="begin"/>
      </w:r>
      <w:r>
        <w:instrText xml:space="preserve"> HYPERLINK \l _Toc29922 </w:instrText>
      </w:r>
      <w:r>
        <w:fldChar w:fldCharType="separate"/>
      </w:r>
      <w:r>
        <w:rPr>
          <w:rFonts w:hint="eastAsia"/>
          <w:szCs w:val="21"/>
        </w:rPr>
        <w:t>6. 动火作业安全设施与装备</w:t>
      </w:r>
      <w:r>
        <w:tab/>
      </w:r>
      <w:r>
        <w:fldChar w:fldCharType="begin"/>
      </w:r>
      <w:r>
        <w:instrText xml:space="preserve"> PAGEREF _Toc29922 \h </w:instrText>
      </w:r>
      <w:r>
        <w:fldChar w:fldCharType="separate"/>
      </w:r>
      <w:r>
        <w:t>2</w:t>
      </w:r>
      <w:r>
        <w:fldChar w:fldCharType="end"/>
      </w:r>
      <w:r>
        <w:fldChar w:fldCharType="end"/>
      </w:r>
    </w:p>
    <w:p w14:paraId="4C44B6C6">
      <w:pPr>
        <w:pStyle w:val="19"/>
        <w:tabs>
          <w:tab w:val="right" w:leader="dot" w:pos="9354"/>
        </w:tabs>
      </w:pPr>
      <w:r>
        <w:fldChar w:fldCharType="begin"/>
      </w:r>
      <w:r>
        <w:instrText xml:space="preserve"> HYPERLINK \l _Toc31442 </w:instrText>
      </w:r>
      <w:r>
        <w:fldChar w:fldCharType="separate"/>
      </w:r>
      <w:r>
        <w:rPr>
          <w:rFonts w:hint="eastAsia"/>
          <w:szCs w:val="21"/>
        </w:rPr>
        <w:t>7. 动火作业应急管理</w:t>
      </w:r>
      <w:r>
        <w:tab/>
      </w:r>
      <w:r>
        <w:fldChar w:fldCharType="begin"/>
      </w:r>
      <w:r>
        <w:instrText xml:space="preserve"> PAGEREF _Toc31442 \h </w:instrText>
      </w:r>
      <w:r>
        <w:fldChar w:fldCharType="separate"/>
      </w:r>
      <w:r>
        <w:t>2</w:t>
      </w:r>
      <w:r>
        <w:fldChar w:fldCharType="end"/>
      </w:r>
      <w:r>
        <w:fldChar w:fldCharType="end"/>
      </w:r>
    </w:p>
    <w:p w14:paraId="662644D5">
      <w:pPr>
        <w:pStyle w:val="19"/>
        <w:tabs>
          <w:tab w:val="right" w:leader="dot" w:pos="9354"/>
        </w:tabs>
      </w:pPr>
      <w:r>
        <w:fldChar w:fldCharType="begin"/>
      </w:r>
      <w:r>
        <w:instrText xml:space="preserve"> HYPERLINK \l _Toc5788 </w:instrText>
      </w:r>
      <w:r>
        <w:fldChar w:fldCharType="separate"/>
      </w:r>
      <w:r>
        <w:rPr>
          <w:rFonts w:hint="eastAsia"/>
          <w:szCs w:val="21"/>
        </w:rPr>
        <w:t>8. 监督与管理</w:t>
      </w:r>
      <w:r>
        <w:tab/>
      </w:r>
      <w:r>
        <w:fldChar w:fldCharType="begin"/>
      </w:r>
      <w:r>
        <w:instrText xml:space="preserve"> PAGEREF _Toc5788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16324"/>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本文件起草单位：江苏延长中燃化学有限公司</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徐彬</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8939"/>
      <w:bookmarkStart w:id="26" w:name="_Toc197342206"/>
      <w:bookmarkStart w:id="27" w:name="BookMark3"/>
      <w:r>
        <w:rPr>
          <w:spacing w:val="320"/>
        </w:rPr>
        <w:t>引</w:t>
      </w:r>
      <w:r>
        <w:t>言</w:t>
      </w:r>
      <w:bookmarkEnd w:id="25"/>
      <w:bookmarkEnd w:id="26"/>
    </w:p>
    <w:p w14:paraId="0AFB7785">
      <w:pPr>
        <w:pStyle w:val="57"/>
        <w:spacing w:line="360" w:lineRule="auto"/>
        <w:ind w:left="0" w:leftChars="0" w:firstLine="420" w:firstLineChars="200"/>
        <w:rPr>
          <w:rFonts w:hint="eastAsia"/>
        </w:rPr>
      </w:pPr>
      <w:r>
        <w:rPr>
          <w:rFonts w:hint="eastAsia"/>
        </w:rPr>
        <w:t>化工生产区域动火作业作为高风险操作环节，其安全管理直接关系到企业生产安全、员工生命健康及社会环境稳定。</w:t>
      </w:r>
    </w:p>
    <w:p w14:paraId="10A83832">
      <w:pPr>
        <w:pStyle w:val="57"/>
        <w:spacing w:line="360" w:lineRule="auto"/>
        <w:ind w:left="0" w:leftChars="0" w:firstLine="420" w:firstLineChars="200"/>
        <w:rPr>
          <w:rFonts w:hint="eastAsia"/>
        </w:rPr>
      </w:pPr>
      <w:r>
        <w:rPr>
          <w:rFonts w:hint="eastAsia"/>
        </w:rPr>
        <w:t>随着化工行业规模扩大和技术升级，动火作业场景日益复杂，涉及易燃易爆物质处理、高温高压设备检修等高危险性操作，一旦发生事故，往往造成严重后果。当前，部分企业存在安全管理制度不完善、作业人员资质参差不齐、风险评估与应急措施不到位等问题，导致动火作业安全隐患突出。本规范依据国家安全生产法律法规及行业标准，结合化工生产区域动火作业特点，系统梳理了从人员资质、作业许可、风险评估到现场管控、应急响应的全流程安全要求。通过明确安全设施配置标准、个人防护装备规范及监测报警设备技术指标，强化作业前准备、过程中监控及作业后清理等关键环节管控，旨在构建科学、严谨的动火作业安全管控体系。本规范的实施，将有助于提升化工企业动火作业安全管理水平，降低事故风险，保障生产安全，对促进化工行业高质量发展具有重要指导意义。</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化工装置检修期间安全防护实施要点</w:t>
          </w:r>
        </w:p>
      </w:sdtContent>
    </w:sdt>
    <w:bookmarkEnd w:id="29"/>
    <w:p w14:paraId="1339BF1A">
      <w:pPr>
        <w:pStyle w:val="105"/>
        <w:spacing w:before="240" w:after="240" w:line="360" w:lineRule="auto"/>
      </w:pPr>
      <w:bookmarkStart w:id="30" w:name="_Toc26648465"/>
      <w:bookmarkStart w:id="31" w:name="_Toc26718930"/>
      <w:bookmarkStart w:id="32" w:name="_Toc97192964"/>
      <w:bookmarkStart w:id="33" w:name="_Toc197342207"/>
      <w:bookmarkStart w:id="34" w:name="_Toc26986771"/>
      <w:bookmarkStart w:id="35" w:name="_Toc17233325"/>
      <w:bookmarkStart w:id="36" w:name="_Toc1029"/>
      <w:bookmarkStart w:id="37" w:name="_Toc24884218"/>
      <w:bookmarkStart w:id="38" w:name="_Toc26986530"/>
      <w:bookmarkStart w:id="39" w:name="_Toc17233333"/>
      <w:bookmarkStart w:id="40" w:name="_Toc24884211"/>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2"/>
      <w:bookmarkStart w:id="42" w:name="_Toc17233326"/>
      <w:bookmarkStart w:id="43" w:name="_Toc17233334"/>
      <w:bookmarkStart w:id="44" w:name="_Toc24884219"/>
      <w:bookmarkStart w:id="45" w:name="_Toc26648466"/>
      <w:r>
        <w:rPr>
          <w:rFonts w:hint="eastAsia"/>
          <w:lang w:eastAsia="zh-CN"/>
        </w:rPr>
        <w:t>本文件规定了化工生产区域内动火作业的安全管控要求，包括动火作业的基本要求、现场安全管控、安全设施与装备、应急管理以及监督与管理等内容。本文件适用于化工生产区域内所有动火作业的安全管理与控制。</w:t>
      </w:r>
    </w:p>
    <w:p w14:paraId="24B680AA">
      <w:pPr>
        <w:pStyle w:val="105"/>
        <w:spacing w:before="240" w:after="240" w:line="360" w:lineRule="auto"/>
        <w:rPr>
          <w:rFonts w:hint="eastAsia"/>
          <w:szCs w:val="21"/>
        </w:rPr>
      </w:pPr>
      <w:bookmarkStart w:id="46" w:name="_Toc197342208"/>
      <w:bookmarkStart w:id="47" w:name="_Toc22970"/>
      <w:bookmarkStart w:id="48" w:name="_Toc26718931"/>
      <w:bookmarkStart w:id="49" w:name="_Toc26986531"/>
      <w:bookmarkStart w:id="50" w:name="_Toc26986772"/>
      <w:bookmarkStart w:id="51" w:name="_Toc97192965"/>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9D0A6B">
      <w:pPr>
        <w:pStyle w:val="57"/>
        <w:spacing w:line="360" w:lineRule="auto"/>
        <w:ind w:firstLine="420"/>
        <w:rPr>
          <w:rFonts w:hint="eastAsia"/>
        </w:rPr>
      </w:pPr>
      <w:r>
        <w:rPr>
          <w:rFonts w:hint="eastAsia"/>
        </w:rPr>
        <w:t>GB/T 28001 职业健康安全管理体系规范</w:t>
      </w:r>
    </w:p>
    <w:p w14:paraId="256EB82E">
      <w:pPr>
        <w:pStyle w:val="57"/>
        <w:spacing w:line="360" w:lineRule="auto"/>
        <w:ind w:firstLine="420"/>
        <w:rPr>
          <w:rFonts w:hint="eastAsia"/>
        </w:rPr>
      </w:pPr>
      <w:r>
        <w:rPr>
          <w:rFonts w:hint="eastAsia"/>
        </w:rPr>
        <w:t>GB 26859 电力安全工作规程（发电厂和变电站电气部分）</w:t>
      </w:r>
    </w:p>
    <w:p w14:paraId="4DC2EC47">
      <w:pPr>
        <w:pStyle w:val="57"/>
        <w:spacing w:line="360" w:lineRule="auto"/>
        <w:ind w:firstLine="420"/>
        <w:rPr>
          <w:rFonts w:hint="eastAsia"/>
        </w:rPr>
      </w:pPr>
      <w:r>
        <w:rPr>
          <w:rFonts w:hint="eastAsia"/>
        </w:rPr>
        <w:t>GB 30871 化学品生产单位特殊作业安全规范</w:t>
      </w:r>
    </w:p>
    <w:bookmarkEnd w:id="28"/>
    <w:p w14:paraId="77D14E71">
      <w:pPr>
        <w:pStyle w:val="105"/>
        <w:spacing w:before="240" w:after="240" w:line="360" w:lineRule="auto"/>
        <w:rPr>
          <w:rFonts w:hint="eastAsia"/>
          <w:szCs w:val="21"/>
        </w:rPr>
      </w:pPr>
      <w:bookmarkStart w:id="52" w:name="_Toc25469"/>
      <w:r>
        <w:rPr>
          <w:rFonts w:hint="eastAsia"/>
          <w:szCs w:val="21"/>
        </w:rPr>
        <w:t>术语和定义</w:t>
      </w:r>
      <w:bookmarkEnd w:id="52"/>
    </w:p>
    <w:p w14:paraId="18755960">
      <w:pPr>
        <w:pStyle w:val="57"/>
        <w:spacing w:line="360" w:lineRule="auto"/>
        <w:ind w:firstLine="420"/>
        <w:rPr>
          <w:rFonts w:hint="eastAsia"/>
        </w:rPr>
      </w:pPr>
      <w:r>
        <w:rPr>
          <w:rFonts w:hint="eastAsia"/>
        </w:rPr>
        <w:t>下列术语和定义适用于本文件。</w:t>
      </w:r>
    </w:p>
    <w:p w14:paraId="1DE9208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w:t>
      </w:r>
    </w:p>
    <w:p w14:paraId="7168EFBE">
      <w:pPr>
        <w:pStyle w:val="57"/>
        <w:spacing w:line="360" w:lineRule="auto"/>
        <w:ind w:firstLine="420"/>
        <w:rPr>
          <w:rFonts w:hint="eastAsia"/>
        </w:rPr>
      </w:pPr>
      <w:r>
        <w:rPr>
          <w:rFonts w:hint="eastAsia"/>
        </w:rPr>
        <w:t>在化工生产区域内进行可能产生火焰、火花或炽热表面的非常规作业，包括但不限于焊接、切割、打磨、钻孔等。</w:t>
      </w:r>
    </w:p>
    <w:p w14:paraId="5EED652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危险区域</w:t>
      </w:r>
    </w:p>
    <w:p w14:paraId="1ABD60B6">
      <w:pPr>
        <w:pStyle w:val="57"/>
        <w:spacing w:line="360" w:lineRule="auto"/>
        <w:ind w:firstLine="420"/>
        <w:rPr>
          <w:rFonts w:hint="eastAsia"/>
        </w:rPr>
      </w:pPr>
      <w:r>
        <w:rPr>
          <w:rFonts w:hint="eastAsia"/>
        </w:rPr>
        <w:t>存在易燃易爆物质，可能因动火作业引发火灾或爆炸的区域。</w:t>
      </w:r>
    </w:p>
    <w:p w14:paraId="385109D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动火作业许可</w:t>
      </w:r>
    </w:p>
    <w:p w14:paraId="596F5486">
      <w:pPr>
        <w:pStyle w:val="57"/>
        <w:spacing w:line="360" w:lineRule="auto"/>
        <w:ind w:firstLine="420"/>
        <w:rPr>
          <w:rFonts w:hint="eastAsia"/>
        </w:rPr>
      </w:pPr>
      <w:r>
        <w:rPr>
          <w:rFonts w:hint="eastAsia"/>
        </w:rPr>
        <w:t>为控制动火作业风险，由相关部门签发的允许进行动火作业的书面文件。</w:t>
      </w:r>
    </w:p>
    <w:p w14:paraId="434D8D8D">
      <w:pPr>
        <w:pStyle w:val="105"/>
        <w:spacing w:before="240" w:after="240" w:line="360" w:lineRule="auto"/>
        <w:rPr>
          <w:rFonts w:hint="eastAsia"/>
          <w:szCs w:val="21"/>
        </w:rPr>
      </w:pPr>
      <w:bookmarkStart w:id="53" w:name="_Toc958"/>
      <w:r>
        <w:rPr>
          <w:rFonts w:hint="eastAsia"/>
          <w:szCs w:val="21"/>
        </w:rPr>
        <w:t>动火作业安全基本要求</w:t>
      </w:r>
      <w:bookmarkEnd w:id="53"/>
    </w:p>
    <w:p w14:paraId="2539A26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人员资质与培训</w:t>
      </w:r>
    </w:p>
    <w:p w14:paraId="55777AEE">
      <w:pPr>
        <w:pStyle w:val="57"/>
        <w:spacing w:line="360" w:lineRule="auto"/>
        <w:ind w:firstLine="420"/>
        <w:rPr>
          <w:rFonts w:hint="eastAsia"/>
        </w:rPr>
      </w:pPr>
      <w:r>
        <w:rPr>
          <w:rFonts w:hint="eastAsia"/>
        </w:rPr>
        <w:t>动火作业人员应持有有效的特种作业操作证，并定期接受安全培训。</w:t>
      </w:r>
    </w:p>
    <w:p w14:paraId="6ECE2115">
      <w:pPr>
        <w:pStyle w:val="57"/>
        <w:spacing w:line="360" w:lineRule="auto"/>
        <w:ind w:firstLine="420"/>
        <w:rPr>
          <w:rFonts w:hint="eastAsia"/>
        </w:rPr>
      </w:pPr>
      <w:r>
        <w:rPr>
          <w:rFonts w:hint="eastAsia"/>
        </w:rPr>
        <w:t>作业前应对参与动火作业的人员进行安全交底，明确作业内容、风险及防范措施。</w:t>
      </w:r>
    </w:p>
    <w:p w14:paraId="7979330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动火作业许可制度</w:t>
      </w:r>
    </w:p>
    <w:p w14:paraId="4E48F829">
      <w:pPr>
        <w:pStyle w:val="57"/>
        <w:spacing w:line="360" w:lineRule="auto"/>
        <w:ind w:firstLine="420"/>
        <w:rPr>
          <w:rFonts w:hint="eastAsia"/>
        </w:rPr>
      </w:pPr>
      <w:r>
        <w:rPr>
          <w:rFonts w:hint="eastAsia"/>
        </w:rPr>
        <w:t>所有动火作业必须办理动火作业许可证，未经许可不得进行动火作业。</w:t>
      </w:r>
    </w:p>
    <w:p w14:paraId="5829F93A">
      <w:pPr>
        <w:pStyle w:val="57"/>
        <w:spacing w:line="360" w:lineRule="auto"/>
        <w:ind w:firstLine="420"/>
        <w:rPr>
          <w:rFonts w:hint="eastAsia"/>
        </w:rPr>
      </w:pPr>
      <w:r>
        <w:rPr>
          <w:rFonts w:hint="eastAsia"/>
        </w:rPr>
        <w:t>动火作业许可证应明确作业地点、时间、作业内容、安全措施及责任人等信息。</w:t>
      </w:r>
    </w:p>
    <w:p w14:paraId="464D376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动火作业风险评估</w:t>
      </w:r>
    </w:p>
    <w:p w14:paraId="4D4303D3">
      <w:pPr>
        <w:pStyle w:val="57"/>
        <w:spacing w:line="360" w:lineRule="auto"/>
        <w:ind w:firstLine="420"/>
        <w:rPr>
          <w:rFonts w:hint="eastAsia"/>
        </w:rPr>
      </w:pPr>
      <w:r>
        <w:rPr>
          <w:rFonts w:hint="eastAsia"/>
        </w:rPr>
        <w:t>作业前需识别潜在危险源（如易燃气体、高温设备），评估风险等级，制定针对性安全措施（如隔离、通风、监护）。</w:t>
      </w:r>
    </w:p>
    <w:p w14:paraId="5ADCC500">
      <w:pPr>
        <w:pStyle w:val="105"/>
        <w:spacing w:before="240" w:after="240" w:line="360" w:lineRule="auto"/>
        <w:rPr>
          <w:rFonts w:hint="eastAsia"/>
          <w:szCs w:val="21"/>
        </w:rPr>
      </w:pPr>
      <w:bookmarkStart w:id="54" w:name="_Toc4044"/>
      <w:r>
        <w:rPr>
          <w:rFonts w:hint="eastAsia"/>
          <w:szCs w:val="21"/>
        </w:rPr>
        <w:t>动火作业现场安全管控</w:t>
      </w:r>
      <w:bookmarkEnd w:id="54"/>
    </w:p>
    <w:p w14:paraId="6A21A9A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作业前准备</w:t>
      </w:r>
    </w:p>
    <w:p w14:paraId="019B7303">
      <w:pPr>
        <w:pStyle w:val="57"/>
        <w:spacing w:line="360" w:lineRule="auto"/>
        <w:ind w:firstLine="420"/>
        <w:rPr>
          <w:rFonts w:hint="eastAsia"/>
        </w:rPr>
      </w:pPr>
      <w:r>
        <w:rPr>
          <w:rFonts w:hint="eastAsia"/>
        </w:rPr>
        <w:t>清理作业区域内的易燃易爆物品，确保作业环境安全。</w:t>
      </w:r>
    </w:p>
    <w:p w14:paraId="06513CE7">
      <w:pPr>
        <w:pStyle w:val="57"/>
        <w:spacing w:line="360" w:lineRule="auto"/>
        <w:ind w:firstLine="420"/>
        <w:rPr>
          <w:rFonts w:hint="eastAsia"/>
        </w:rPr>
      </w:pPr>
      <w:r>
        <w:rPr>
          <w:rFonts w:hint="eastAsia"/>
        </w:rPr>
        <w:t>检查动火作业所需的设备、工具及安全防护用品是否完好有效。</w:t>
      </w:r>
    </w:p>
    <w:p w14:paraId="581908A1">
      <w:pPr>
        <w:pStyle w:val="57"/>
        <w:spacing w:line="360" w:lineRule="auto"/>
        <w:ind w:firstLine="420"/>
        <w:rPr>
          <w:rFonts w:hint="eastAsia"/>
        </w:rPr>
      </w:pPr>
      <w:r>
        <w:rPr>
          <w:rFonts w:hint="eastAsia"/>
        </w:rPr>
        <w:t>确保作业区域内的消防设施和器材处于良好备用状态。</w:t>
      </w:r>
    </w:p>
    <w:p w14:paraId="11017F7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作业过程中安全措施</w:t>
      </w:r>
    </w:p>
    <w:p w14:paraId="7F3902C3">
      <w:pPr>
        <w:pStyle w:val="57"/>
        <w:spacing w:line="360" w:lineRule="auto"/>
        <w:ind w:firstLine="420"/>
        <w:rPr>
          <w:rFonts w:hint="eastAsia"/>
        </w:rPr>
      </w:pPr>
      <w:r>
        <w:rPr>
          <w:rFonts w:hint="eastAsia"/>
        </w:rPr>
        <w:t>动火作业时应采取防火花飞溅措施，如使用防火布、设置接火盘等；持续监测作业区域内的可燃气体浓度，确保其在安全范围内；作业过程中应有专人监护，随时准备应对突发情况。</w:t>
      </w:r>
    </w:p>
    <w:p w14:paraId="78E89D8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作业后清理与检查</w:t>
      </w:r>
    </w:p>
    <w:p w14:paraId="03339A95">
      <w:pPr>
        <w:pStyle w:val="57"/>
        <w:spacing w:line="360" w:lineRule="auto"/>
        <w:ind w:firstLine="420"/>
        <w:rPr>
          <w:rFonts w:hint="eastAsia"/>
        </w:rPr>
      </w:pPr>
      <w:r>
        <w:rPr>
          <w:rFonts w:hint="eastAsia"/>
        </w:rPr>
        <w:t>动火作业结束后，应彻底清理作业现场，确保无遗留火种。</w:t>
      </w:r>
    </w:p>
    <w:p w14:paraId="1C04740C">
      <w:pPr>
        <w:pStyle w:val="57"/>
        <w:spacing w:line="360" w:lineRule="auto"/>
        <w:ind w:firstLine="420"/>
        <w:rPr>
          <w:rFonts w:hint="eastAsia"/>
        </w:rPr>
      </w:pPr>
      <w:r>
        <w:rPr>
          <w:rFonts w:hint="eastAsia"/>
        </w:rPr>
        <w:t>对作业区域进行再次检查，确认无火灾隐患后方可离开。</w:t>
      </w:r>
    </w:p>
    <w:p w14:paraId="573F2EAD">
      <w:pPr>
        <w:pStyle w:val="105"/>
        <w:spacing w:before="240" w:after="240" w:line="360" w:lineRule="auto"/>
        <w:rPr>
          <w:rFonts w:hint="eastAsia"/>
          <w:szCs w:val="21"/>
        </w:rPr>
      </w:pPr>
      <w:bookmarkStart w:id="55" w:name="_Toc29922"/>
      <w:r>
        <w:rPr>
          <w:rFonts w:hint="eastAsia"/>
          <w:szCs w:val="21"/>
        </w:rPr>
        <w:t>动火作业安全设施与装备</w:t>
      </w:r>
      <w:bookmarkEnd w:id="55"/>
    </w:p>
    <w:p w14:paraId="120E0B0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消防设施与器材</w:t>
      </w:r>
    </w:p>
    <w:p w14:paraId="2DCA1FD2">
      <w:pPr>
        <w:pStyle w:val="57"/>
        <w:spacing w:line="360" w:lineRule="auto"/>
        <w:ind w:firstLine="420"/>
        <w:rPr>
          <w:rFonts w:hint="eastAsia"/>
        </w:rPr>
      </w:pPr>
      <w:r>
        <w:rPr>
          <w:rFonts w:hint="eastAsia"/>
        </w:rPr>
        <w:t>作业区域内应配备足够的消防设施和器材，如灭火器、消防栓、泡沫灭火系统等；定期对消防设施和器材进行检查和维护，确保其处于良好备用状态。</w:t>
      </w:r>
    </w:p>
    <w:p w14:paraId="708D3CE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个人防护装备</w:t>
      </w:r>
    </w:p>
    <w:p w14:paraId="2D3D2662">
      <w:pPr>
        <w:pStyle w:val="57"/>
        <w:spacing w:line="360" w:lineRule="auto"/>
        <w:ind w:firstLine="420"/>
        <w:rPr>
          <w:rFonts w:hint="eastAsia"/>
        </w:rPr>
      </w:pPr>
      <w:r>
        <w:rPr>
          <w:rFonts w:hint="eastAsia"/>
        </w:rPr>
        <w:t>动火作业人员应佩戴符合标准的个人防护装备，如防火服、防护手套、防护面罩等；个人防护装备应定期进行检查和更换，确保其防护效果。</w:t>
      </w:r>
    </w:p>
    <w:p w14:paraId="01EB985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监测与报警设备</w:t>
      </w:r>
    </w:p>
    <w:p w14:paraId="0491F767">
      <w:pPr>
        <w:pStyle w:val="57"/>
        <w:spacing w:line="360" w:lineRule="auto"/>
        <w:ind w:firstLine="420"/>
        <w:rPr>
          <w:rFonts w:hint="eastAsia"/>
        </w:rPr>
      </w:pPr>
      <w:r>
        <w:rPr>
          <w:rFonts w:hint="eastAsia"/>
        </w:rPr>
        <w:t>作业区域内应安装可燃气体监测报警设备，实时监测可燃气体浓度；监测报警设备应定期进行校准和检测，确保其准确性和可靠性。</w:t>
      </w:r>
    </w:p>
    <w:p w14:paraId="5341E61F">
      <w:pPr>
        <w:pStyle w:val="105"/>
        <w:spacing w:before="240" w:after="240" w:line="360" w:lineRule="auto"/>
        <w:rPr>
          <w:rFonts w:hint="eastAsia"/>
          <w:szCs w:val="21"/>
        </w:rPr>
      </w:pPr>
      <w:bookmarkStart w:id="56" w:name="_Toc31442"/>
      <w:r>
        <w:rPr>
          <w:rFonts w:hint="eastAsia"/>
          <w:szCs w:val="21"/>
        </w:rPr>
        <w:t>动火作业应急管理</w:t>
      </w:r>
      <w:bookmarkEnd w:id="56"/>
    </w:p>
    <w:p w14:paraId="79808C0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应急预案制定</w:t>
      </w:r>
    </w:p>
    <w:p w14:paraId="7C938A92">
      <w:pPr>
        <w:pStyle w:val="57"/>
        <w:spacing w:line="360" w:lineRule="auto"/>
        <w:ind w:firstLine="420"/>
        <w:rPr>
          <w:rFonts w:hint="eastAsia"/>
        </w:rPr>
      </w:pPr>
      <w:r>
        <w:rPr>
          <w:rFonts w:hint="eastAsia"/>
        </w:rPr>
        <w:t>需包含火灾、爆炸、人员伤亡等场景的处置流程，明确应急联络方式。</w:t>
      </w:r>
    </w:p>
    <w:p w14:paraId="21803FE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应急演练</w:t>
      </w:r>
    </w:p>
    <w:p w14:paraId="216D5BD8">
      <w:pPr>
        <w:pStyle w:val="57"/>
        <w:spacing w:line="360" w:lineRule="auto"/>
        <w:ind w:firstLine="420"/>
        <w:rPr>
          <w:rFonts w:hint="eastAsia"/>
        </w:rPr>
      </w:pPr>
      <w:r>
        <w:rPr>
          <w:rFonts w:hint="eastAsia"/>
        </w:rPr>
        <w:t>每年不少于2次，演练记录需保存3年。</w:t>
      </w:r>
    </w:p>
    <w:p w14:paraId="4C292EE2">
      <w:pPr>
        <w:pStyle w:val="57"/>
        <w:spacing w:line="360" w:lineRule="auto"/>
        <w:ind w:firstLine="420"/>
        <w:rPr>
          <w:rFonts w:hint="eastAsia"/>
        </w:rPr>
      </w:pPr>
      <w:r>
        <w:rPr>
          <w:rFonts w:hint="eastAsia"/>
        </w:rPr>
        <w:t>应急处置步骤：发生事故时立即启动预案，疏散人员，切断电源，使用消防设施灭火。</w:t>
      </w:r>
    </w:p>
    <w:p w14:paraId="49124EB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应急响应与处置</w:t>
      </w:r>
    </w:p>
    <w:p w14:paraId="6199FFC2">
      <w:pPr>
        <w:pStyle w:val="57"/>
        <w:spacing w:line="360" w:lineRule="auto"/>
        <w:ind w:firstLine="420"/>
        <w:rPr>
          <w:rFonts w:hint="eastAsia"/>
        </w:rPr>
      </w:pPr>
      <w:r>
        <w:rPr>
          <w:rFonts w:hint="eastAsia"/>
        </w:rPr>
        <w:t>发生火灾或爆炸等紧急情况时，应立即启动应急预案，按照应急程序进行处置。</w:t>
      </w:r>
    </w:p>
    <w:p w14:paraId="202EB2B4">
      <w:pPr>
        <w:pStyle w:val="57"/>
        <w:spacing w:line="360" w:lineRule="auto"/>
        <w:ind w:firstLine="420"/>
        <w:rPr>
          <w:rFonts w:hint="eastAsia"/>
        </w:rPr>
      </w:pPr>
      <w:r>
        <w:rPr>
          <w:rFonts w:hint="eastAsia"/>
        </w:rPr>
        <w:t>应急处置过程中应确保人员安全，尽量减少财产损失和环境影响。</w:t>
      </w:r>
    </w:p>
    <w:p w14:paraId="66699BB9">
      <w:pPr>
        <w:pStyle w:val="105"/>
        <w:spacing w:before="240" w:after="240" w:line="360" w:lineRule="auto"/>
        <w:rPr>
          <w:rFonts w:hint="eastAsia"/>
          <w:szCs w:val="21"/>
        </w:rPr>
      </w:pPr>
      <w:bookmarkStart w:id="57" w:name="_Toc5788"/>
      <w:r>
        <w:rPr>
          <w:rFonts w:hint="eastAsia"/>
          <w:szCs w:val="21"/>
        </w:rPr>
        <w:t>监督与管理</w:t>
      </w:r>
      <w:bookmarkEnd w:id="57"/>
    </w:p>
    <w:p w14:paraId="7516026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质量保证体系</w:t>
      </w:r>
    </w:p>
    <w:p w14:paraId="3F146F1B">
      <w:pPr>
        <w:pStyle w:val="57"/>
        <w:spacing w:line="360" w:lineRule="auto"/>
        <w:ind w:firstLine="420"/>
        <w:rPr>
          <w:rFonts w:hint="eastAsia"/>
        </w:rPr>
      </w:pPr>
      <w:r>
        <w:rPr>
          <w:rFonts w:hint="eastAsia"/>
        </w:rPr>
        <w:t>应建立完善的质量保证体系，明确各级人员的职责和权限，确保动火作业安全管控措施的有效实施。</w:t>
      </w:r>
    </w:p>
    <w:p w14:paraId="67436E3D">
      <w:pPr>
        <w:pStyle w:val="57"/>
        <w:spacing w:line="360" w:lineRule="auto"/>
        <w:ind w:firstLine="420"/>
        <w:rPr>
          <w:rFonts w:hint="eastAsia"/>
        </w:rPr>
      </w:pPr>
      <w:r>
        <w:rPr>
          <w:rFonts w:hint="eastAsia"/>
        </w:rPr>
        <w:t>定期对质量保证体系进行评审和修订，推动其持续改进和优化。</w:t>
      </w:r>
    </w:p>
    <w:p w14:paraId="46B1B6A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档案管理</w:t>
      </w:r>
    </w:p>
    <w:p w14:paraId="590280A3">
      <w:pPr>
        <w:pStyle w:val="57"/>
        <w:spacing w:line="360" w:lineRule="auto"/>
        <w:ind w:firstLine="420"/>
        <w:rPr>
          <w:rFonts w:hint="eastAsia"/>
        </w:rPr>
      </w:pPr>
      <w:r>
        <w:rPr>
          <w:rFonts w:hint="eastAsia"/>
        </w:rPr>
        <w:t>应建立动火作业安全管理档案，包括动火作业许可证、风险评估报告、应急预案、演练记录及事故处理报告等。</w:t>
      </w:r>
    </w:p>
    <w:p w14:paraId="03DEC897">
      <w:pPr>
        <w:pStyle w:val="57"/>
        <w:spacing w:line="360" w:lineRule="auto"/>
        <w:ind w:firstLine="420"/>
        <w:rPr>
          <w:rFonts w:hint="eastAsia"/>
        </w:rPr>
      </w:pPr>
      <w:r>
        <w:rPr>
          <w:rFonts w:hint="eastAsia"/>
        </w:rPr>
        <w:t>档案管理应采用电子化管理系统，支持快速检索与追溯。</w:t>
      </w:r>
    </w:p>
    <w:p w14:paraId="75931D8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持续改进</w:t>
      </w:r>
    </w:p>
    <w:p w14:paraId="692382FA">
      <w:pPr>
        <w:pStyle w:val="57"/>
        <w:spacing w:line="360" w:lineRule="auto"/>
        <w:ind w:firstLine="420"/>
        <w:rPr>
          <w:rFonts w:hint="eastAsia"/>
        </w:rPr>
      </w:pPr>
      <w:r>
        <w:rPr>
          <w:rFonts w:hint="eastAsia"/>
        </w:rPr>
        <w:t>应根据技术发展、政策需求及事故教训等，定期对本标准进行评审和修订，推动技术创新和标准优化。</w:t>
      </w:r>
    </w:p>
    <w:p w14:paraId="2627DC9A">
      <w:pPr>
        <w:pStyle w:val="57"/>
        <w:spacing w:line="360" w:lineRule="auto"/>
        <w:ind w:firstLine="420"/>
        <w:rPr>
          <w:rFonts w:hint="eastAsia"/>
          <w:lang w:val="en-US" w:eastAsia="zh-CN"/>
        </w:rPr>
      </w:pPr>
      <w:r>
        <w:rPr>
          <w:rFonts w:hint="eastAsia"/>
        </w:rPr>
        <w:t>鼓励采用新技术、新工艺和新设备提高动火作业</w:t>
      </w:r>
      <w:bookmarkStart w:id="58" w:name="_GoBack"/>
      <w:bookmarkEnd w:id="58"/>
      <w:r>
        <w:rPr>
          <w:rFonts w:hint="eastAsia"/>
        </w:rPr>
        <w:t>的安全性和效率。</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0123—2025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0123—2025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0123—2025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0123—2025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4B50EB1"/>
    <w:rsid w:val="04BC223F"/>
    <w:rsid w:val="04C133B2"/>
    <w:rsid w:val="04D644D2"/>
    <w:rsid w:val="0594649B"/>
    <w:rsid w:val="063A78C0"/>
    <w:rsid w:val="06450013"/>
    <w:rsid w:val="067676BD"/>
    <w:rsid w:val="082425D6"/>
    <w:rsid w:val="083D5267"/>
    <w:rsid w:val="09D27E0F"/>
    <w:rsid w:val="09EA5159"/>
    <w:rsid w:val="0A5B6057"/>
    <w:rsid w:val="0BAE0408"/>
    <w:rsid w:val="0C796C68"/>
    <w:rsid w:val="0FD22917"/>
    <w:rsid w:val="0FFD4387"/>
    <w:rsid w:val="10352EA6"/>
    <w:rsid w:val="119836EC"/>
    <w:rsid w:val="11A5092B"/>
    <w:rsid w:val="123C051C"/>
    <w:rsid w:val="13225964"/>
    <w:rsid w:val="13611C3D"/>
    <w:rsid w:val="1367270D"/>
    <w:rsid w:val="14A306C5"/>
    <w:rsid w:val="14B52807"/>
    <w:rsid w:val="15227E9D"/>
    <w:rsid w:val="16104199"/>
    <w:rsid w:val="165D4F05"/>
    <w:rsid w:val="16B94831"/>
    <w:rsid w:val="176C54EA"/>
    <w:rsid w:val="18115FA7"/>
    <w:rsid w:val="18C67773"/>
    <w:rsid w:val="194523AC"/>
    <w:rsid w:val="19996E8D"/>
    <w:rsid w:val="19CF06A0"/>
    <w:rsid w:val="1ACA4340"/>
    <w:rsid w:val="1BC616CD"/>
    <w:rsid w:val="1D9A07EC"/>
    <w:rsid w:val="1F501AAA"/>
    <w:rsid w:val="1F554A44"/>
    <w:rsid w:val="1FF24E4E"/>
    <w:rsid w:val="202F16C0"/>
    <w:rsid w:val="234E00AF"/>
    <w:rsid w:val="23AE5EF7"/>
    <w:rsid w:val="250F386E"/>
    <w:rsid w:val="252A51C8"/>
    <w:rsid w:val="258A1146"/>
    <w:rsid w:val="25956469"/>
    <w:rsid w:val="26C358C3"/>
    <w:rsid w:val="27066BD6"/>
    <w:rsid w:val="280671AA"/>
    <w:rsid w:val="28AC6949"/>
    <w:rsid w:val="28CB3F50"/>
    <w:rsid w:val="2A247DBB"/>
    <w:rsid w:val="2A4D10C0"/>
    <w:rsid w:val="2B41674B"/>
    <w:rsid w:val="2B4D4497"/>
    <w:rsid w:val="2BAF1907"/>
    <w:rsid w:val="2BFE65C2"/>
    <w:rsid w:val="2C7B4F1A"/>
    <w:rsid w:val="2C90587C"/>
    <w:rsid w:val="2CDE24A4"/>
    <w:rsid w:val="2CFB12A7"/>
    <w:rsid w:val="2D1B36F8"/>
    <w:rsid w:val="2DCF44E2"/>
    <w:rsid w:val="2FBF58A6"/>
    <w:rsid w:val="2FC71A29"/>
    <w:rsid w:val="30185CCC"/>
    <w:rsid w:val="30234671"/>
    <w:rsid w:val="33890C8F"/>
    <w:rsid w:val="33F61CAC"/>
    <w:rsid w:val="34980849"/>
    <w:rsid w:val="34CD1F56"/>
    <w:rsid w:val="34DF14AF"/>
    <w:rsid w:val="36136B10"/>
    <w:rsid w:val="36462E68"/>
    <w:rsid w:val="38844435"/>
    <w:rsid w:val="39423DBA"/>
    <w:rsid w:val="39AD1CD6"/>
    <w:rsid w:val="3AD924FC"/>
    <w:rsid w:val="3B27385D"/>
    <w:rsid w:val="3B9C63F9"/>
    <w:rsid w:val="3C1E74E7"/>
    <w:rsid w:val="3D031FD4"/>
    <w:rsid w:val="3D09631F"/>
    <w:rsid w:val="3D65451B"/>
    <w:rsid w:val="3DBD4357"/>
    <w:rsid w:val="3E6946ED"/>
    <w:rsid w:val="3F9A4950"/>
    <w:rsid w:val="401C07FB"/>
    <w:rsid w:val="42293D69"/>
    <w:rsid w:val="427A2817"/>
    <w:rsid w:val="429D02B3"/>
    <w:rsid w:val="42EA346B"/>
    <w:rsid w:val="433E1A96"/>
    <w:rsid w:val="443D5731"/>
    <w:rsid w:val="44983428"/>
    <w:rsid w:val="46AB11F1"/>
    <w:rsid w:val="46DF70EC"/>
    <w:rsid w:val="47203CF1"/>
    <w:rsid w:val="47310761"/>
    <w:rsid w:val="48972517"/>
    <w:rsid w:val="48BF5427"/>
    <w:rsid w:val="495A7BA0"/>
    <w:rsid w:val="4AC80D07"/>
    <w:rsid w:val="4CEA0599"/>
    <w:rsid w:val="4E04568A"/>
    <w:rsid w:val="4F0911AA"/>
    <w:rsid w:val="4F3124AF"/>
    <w:rsid w:val="50242014"/>
    <w:rsid w:val="510A745C"/>
    <w:rsid w:val="51527191"/>
    <w:rsid w:val="51962A9D"/>
    <w:rsid w:val="51986815"/>
    <w:rsid w:val="52E00474"/>
    <w:rsid w:val="53890B0C"/>
    <w:rsid w:val="54322F51"/>
    <w:rsid w:val="54831562"/>
    <w:rsid w:val="552C79A0"/>
    <w:rsid w:val="55515659"/>
    <w:rsid w:val="55911EF9"/>
    <w:rsid w:val="565F5B54"/>
    <w:rsid w:val="585316E8"/>
    <w:rsid w:val="58676F42"/>
    <w:rsid w:val="588B70D4"/>
    <w:rsid w:val="59AA17DC"/>
    <w:rsid w:val="59D96484"/>
    <w:rsid w:val="5AA82FEB"/>
    <w:rsid w:val="5BA81D4B"/>
    <w:rsid w:val="5C427AAA"/>
    <w:rsid w:val="5DAE61D8"/>
    <w:rsid w:val="5DBE5856"/>
    <w:rsid w:val="5F5C378C"/>
    <w:rsid w:val="5FAB3BB8"/>
    <w:rsid w:val="6008725C"/>
    <w:rsid w:val="60792979"/>
    <w:rsid w:val="60C50CA9"/>
    <w:rsid w:val="61A651A2"/>
    <w:rsid w:val="61DE0274"/>
    <w:rsid w:val="62CE02E9"/>
    <w:rsid w:val="63422A85"/>
    <w:rsid w:val="64562060"/>
    <w:rsid w:val="64AD2180"/>
    <w:rsid w:val="65705687"/>
    <w:rsid w:val="658E3D60"/>
    <w:rsid w:val="65B73BCD"/>
    <w:rsid w:val="66E77BCB"/>
    <w:rsid w:val="68846345"/>
    <w:rsid w:val="68F62348"/>
    <w:rsid w:val="69407A67"/>
    <w:rsid w:val="694C1F68"/>
    <w:rsid w:val="6B4C26F3"/>
    <w:rsid w:val="6B60619E"/>
    <w:rsid w:val="6BF559D1"/>
    <w:rsid w:val="6C351337"/>
    <w:rsid w:val="6CE55009"/>
    <w:rsid w:val="6D940381"/>
    <w:rsid w:val="6E645FA5"/>
    <w:rsid w:val="6F655B31"/>
    <w:rsid w:val="6FA80114"/>
    <w:rsid w:val="701E42B5"/>
    <w:rsid w:val="71357785"/>
    <w:rsid w:val="72653996"/>
    <w:rsid w:val="72695938"/>
    <w:rsid w:val="72A921D9"/>
    <w:rsid w:val="7367064C"/>
    <w:rsid w:val="73A63E1D"/>
    <w:rsid w:val="73CF2113"/>
    <w:rsid w:val="740A3B48"/>
    <w:rsid w:val="756B293B"/>
    <w:rsid w:val="75D03F20"/>
    <w:rsid w:val="75E726B8"/>
    <w:rsid w:val="78AD1F12"/>
    <w:rsid w:val="79A4194C"/>
    <w:rsid w:val="7AA54A68"/>
    <w:rsid w:val="7BAE0860"/>
    <w:rsid w:val="7BF070CA"/>
    <w:rsid w:val="7C093CE8"/>
    <w:rsid w:val="7C1E59E5"/>
    <w:rsid w:val="7CCE07E8"/>
    <w:rsid w:val="7D5D41EC"/>
    <w:rsid w:val="7E860F32"/>
    <w:rsid w:val="7EEF69EF"/>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2203</Words>
  <Characters>2352</Characters>
  <Lines>48</Lines>
  <Paragraphs>13</Paragraphs>
  <TotalTime>0</TotalTime>
  <ScaleCrop>false</ScaleCrop>
  <LinksUpToDate>false</LinksUpToDate>
  <CharactersWithSpaces>2411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2025-10-31T01:51:20Z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eyJoZGlkIjoiZDE0YjJmN2Y1YzFkNjlmYjlkYTI4YTI1MzIwNzJiMDMiLCJ1c2VySWQiOiIxNDE1OTEzOTEwIn0=</vt:lpwstr>
  </property>
  <property fmtid="{D5CDD505-2E9C-101B-9397-08002B2CF9AE}" pid="16" name="KSOProductBuildVer">
    <vt:lpwstr>2052-12.1.0.23542</vt:lpwstr>
  </property>
  <property fmtid="{D5CDD505-2E9C-101B-9397-08002B2CF9AE}" pid="17" name="ICV">
    <vt:lpwstr>A30C2BEBB02B4030816E82C94804B5C9_12</vt:lpwstr>
  </property>
</Properties>
</file>