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11.220"/>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11.220</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A 03"/>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A 03</w:t>
            </w:r>
            <w:r>
              <w:rPr>
                <w:rFonts w:ascii="黑体" w:hAnsi="黑体" w:eastAsia="黑体" w:cs="Times New Roman"/>
                <w:kern w:val="2"/>
                <w:sz w:val="21"/>
                <w:szCs w:val="21"/>
                <w:lang w:val="en-US" w:eastAsia="zh-CN" w:bidi="ar-SA"/>
              </w:rPr>
              <w:fldChar w:fldCharType="end"/>
            </w:r>
            <w:bookmarkEnd w:id="2"/>
          </w:p>
        </w:tc>
      </w:tr>
    </w:tbl>
    <w:p w14:paraId="7C20094D">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6"/>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21"/>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0121</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1"/>
        <w:framePr w:w="9639" w:h="6976" w:hRule="exact" w:hSpace="0" w:vSpace="0" w:wrap="around" w:hAnchor="page" w:y="6408"/>
        <w:jc w:val="center"/>
        <w:rPr>
          <w:rFonts w:ascii="黑体" w:hAnsi="黑体" w:eastAsia="黑体"/>
          <w:b w:val="0"/>
          <w:bCs w:val="0"/>
          <w:w w:val="100"/>
        </w:rPr>
      </w:pPr>
    </w:p>
    <w:p w14:paraId="32EC4788">
      <w:pPr>
        <w:pStyle w:val="198"/>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畜禽常见疫病快速诊断试纸条质量评价规范"/>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畜禽常见疫病快速诊断试纸条质量评价规范</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6"/>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Quality Evaluation Specification for Rapid Diagnostic Test Strips of Common Livestock and Poultry Epidemic Diseases"/>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Quality Evaluation Specification for Rapid Diagnostic Test Strips of Common Livestock and Poultry Epidemic Diseases</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6"/>
        <w:framePr w:w="9639" w:h="6974" w:hRule="exact" w:wrap="around" w:vAnchor="page" w:hAnchor="page" w:x="1419" w:y="6408" w:anchorLock="1"/>
        <w:textAlignment w:val="bottom"/>
        <w:rPr>
          <w:rFonts w:eastAsia="黑体"/>
          <w:szCs w:val="28"/>
        </w:rPr>
      </w:pPr>
    </w:p>
    <w:p w14:paraId="1EEEC872">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4"/>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5"/>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2"/>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6717B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2"/>
        <w:spacing w:after="360"/>
      </w:pPr>
      <w:bookmarkStart w:id="21" w:name="BookMark1"/>
      <w:bookmarkStart w:id="22" w:name="_Toc197342205"/>
      <w:r>
        <w:rPr>
          <w:rFonts w:hint="eastAsia"/>
          <w:spacing w:val="320"/>
        </w:rPr>
        <w:t>目</w:t>
      </w:r>
      <w:r>
        <w:rPr>
          <w:rFonts w:hint="eastAsia"/>
        </w:rPr>
        <w:t>次</w:t>
      </w:r>
    </w:p>
    <w:p w14:paraId="4B8B410C">
      <w:pPr>
        <w:pStyle w:val="19"/>
        <w:tabs>
          <w:tab w:val="right" w:leader="dot" w:pos="9354"/>
        </w:tabs>
      </w:pPr>
      <w:r>
        <w:fldChar w:fldCharType="begin"/>
      </w:r>
      <w:r>
        <w:instrText xml:space="preserve"> TOC \o "1-1" \h </w:instrText>
      </w:r>
      <w:r>
        <w:fldChar w:fldCharType="separate"/>
      </w:r>
      <w:r>
        <w:fldChar w:fldCharType="begin"/>
      </w:r>
      <w:r>
        <w:instrText xml:space="preserve"> HYPERLINK \l _Toc22494 </w:instrText>
      </w:r>
      <w:r>
        <w:fldChar w:fldCharType="separate"/>
      </w:r>
      <w:r>
        <w:rPr>
          <w:spacing w:val="320"/>
        </w:rPr>
        <w:t>前</w:t>
      </w:r>
      <w:r>
        <w:t>言</w:t>
      </w:r>
      <w:r>
        <w:tab/>
      </w:r>
      <w:r>
        <w:fldChar w:fldCharType="begin"/>
      </w:r>
      <w:r>
        <w:instrText xml:space="preserve"> PAGEREF _Toc22494 \h </w:instrText>
      </w:r>
      <w:r>
        <w:fldChar w:fldCharType="separate"/>
      </w:r>
      <w:r>
        <w:t>III</w:t>
      </w:r>
      <w:r>
        <w:fldChar w:fldCharType="end"/>
      </w:r>
      <w:r>
        <w:fldChar w:fldCharType="end"/>
      </w:r>
    </w:p>
    <w:p w14:paraId="365E7EF4">
      <w:pPr>
        <w:pStyle w:val="19"/>
        <w:tabs>
          <w:tab w:val="right" w:leader="dot" w:pos="9354"/>
        </w:tabs>
      </w:pPr>
      <w:r>
        <w:fldChar w:fldCharType="begin"/>
      </w:r>
      <w:r>
        <w:instrText xml:space="preserve"> HYPERLINK \l _Toc22574 </w:instrText>
      </w:r>
      <w:r>
        <w:fldChar w:fldCharType="separate"/>
      </w:r>
      <w:r>
        <w:rPr>
          <w:spacing w:val="320"/>
        </w:rPr>
        <w:t>引</w:t>
      </w:r>
      <w:r>
        <w:t>言</w:t>
      </w:r>
      <w:r>
        <w:tab/>
      </w:r>
      <w:r>
        <w:fldChar w:fldCharType="begin"/>
      </w:r>
      <w:r>
        <w:instrText xml:space="preserve"> PAGEREF _Toc22574 \h </w:instrText>
      </w:r>
      <w:r>
        <w:fldChar w:fldCharType="separate"/>
      </w:r>
      <w:r>
        <w:t>V</w:t>
      </w:r>
      <w:r>
        <w:fldChar w:fldCharType="end"/>
      </w:r>
      <w:r>
        <w:fldChar w:fldCharType="end"/>
      </w:r>
    </w:p>
    <w:p w14:paraId="29491473">
      <w:pPr>
        <w:pStyle w:val="19"/>
        <w:tabs>
          <w:tab w:val="right" w:leader="dot" w:pos="9354"/>
        </w:tabs>
      </w:pPr>
      <w:r>
        <w:fldChar w:fldCharType="begin"/>
      </w:r>
      <w:r>
        <w:instrText xml:space="preserve"> HYPERLINK \l _Toc19179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_Toc19179 \h </w:instrText>
      </w:r>
      <w:r>
        <w:fldChar w:fldCharType="separate"/>
      </w:r>
      <w:r>
        <w:t>1</w:t>
      </w:r>
      <w:r>
        <w:fldChar w:fldCharType="end"/>
      </w:r>
      <w:r>
        <w:fldChar w:fldCharType="end"/>
      </w:r>
    </w:p>
    <w:p w14:paraId="3F36906E">
      <w:pPr>
        <w:pStyle w:val="19"/>
        <w:tabs>
          <w:tab w:val="right" w:leader="dot" w:pos="9354"/>
        </w:tabs>
      </w:pPr>
      <w:r>
        <w:fldChar w:fldCharType="begin"/>
      </w:r>
      <w:r>
        <w:instrText xml:space="preserve"> HYPERLINK \l _Toc13021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_Toc13021 \h </w:instrText>
      </w:r>
      <w:r>
        <w:fldChar w:fldCharType="separate"/>
      </w:r>
      <w:r>
        <w:t>1</w:t>
      </w:r>
      <w:r>
        <w:fldChar w:fldCharType="end"/>
      </w:r>
      <w:r>
        <w:fldChar w:fldCharType="end"/>
      </w:r>
    </w:p>
    <w:p w14:paraId="6BF88FF6">
      <w:pPr>
        <w:pStyle w:val="19"/>
        <w:tabs>
          <w:tab w:val="right" w:leader="dot" w:pos="9354"/>
        </w:tabs>
      </w:pPr>
      <w:r>
        <w:fldChar w:fldCharType="begin"/>
      </w:r>
      <w:r>
        <w:instrText xml:space="preserve"> HYPERLINK \l _Toc10491 </w:instrText>
      </w:r>
      <w:r>
        <w:fldChar w:fldCharType="separate"/>
      </w:r>
      <w:r>
        <w:rPr>
          <w:rFonts w:hint="eastAsia"/>
          <w:szCs w:val="21"/>
        </w:rPr>
        <w:t>3 术语和定义</w:t>
      </w:r>
      <w:r>
        <w:tab/>
      </w:r>
      <w:r>
        <w:fldChar w:fldCharType="begin"/>
      </w:r>
      <w:r>
        <w:instrText xml:space="preserve"> PAGEREF _Toc10491 \h </w:instrText>
      </w:r>
      <w:r>
        <w:fldChar w:fldCharType="separate"/>
      </w:r>
      <w:r>
        <w:t>1</w:t>
      </w:r>
      <w:r>
        <w:fldChar w:fldCharType="end"/>
      </w:r>
      <w:r>
        <w:fldChar w:fldCharType="end"/>
      </w:r>
    </w:p>
    <w:p w14:paraId="3A391B0C">
      <w:pPr>
        <w:pStyle w:val="19"/>
        <w:tabs>
          <w:tab w:val="right" w:leader="dot" w:pos="9354"/>
        </w:tabs>
      </w:pPr>
      <w:r>
        <w:fldChar w:fldCharType="begin"/>
      </w:r>
      <w:r>
        <w:instrText xml:space="preserve"> HYPERLINK \l _Toc12655 </w:instrText>
      </w:r>
      <w:r>
        <w:fldChar w:fldCharType="separate"/>
      </w:r>
      <w:r>
        <w:rPr>
          <w:rFonts w:hint="eastAsia"/>
          <w:szCs w:val="21"/>
          <w:lang w:val="en-US" w:eastAsia="zh-CN"/>
        </w:rPr>
        <w:t>4 质量评价原则与方法</w:t>
      </w:r>
      <w:r>
        <w:tab/>
      </w:r>
      <w:r>
        <w:fldChar w:fldCharType="begin"/>
      </w:r>
      <w:r>
        <w:instrText xml:space="preserve"> PAGEREF _Toc12655 \h </w:instrText>
      </w:r>
      <w:r>
        <w:fldChar w:fldCharType="separate"/>
      </w:r>
      <w:r>
        <w:t>2</w:t>
      </w:r>
      <w:r>
        <w:fldChar w:fldCharType="end"/>
      </w:r>
      <w:r>
        <w:fldChar w:fldCharType="end"/>
      </w:r>
    </w:p>
    <w:p w14:paraId="6E92173D">
      <w:pPr>
        <w:pStyle w:val="19"/>
        <w:tabs>
          <w:tab w:val="right" w:leader="dot" w:pos="9354"/>
        </w:tabs>
      </w:pPr>
      <w:r>
        <w:fldChar w:fldCharType="begin"/>
      </w:r>
      <w:r>
        <w:instrText xml:space="preserve"> HYPERLINK \l _Toc14740 </w:instrText>
      </w:r>
      <w:r>
        <w:fldChar w:fldCharType="separate"/>
      </w:r>
      <w:r>
        <w:rPr>
          <w:rFonts w:hint="eastAsia"/>
          <w:szCs w:val="21"/>
          <w:lang w:val="en-US" w:eastAsia="zh-CN"/>
        </w:rPr>
        <w:t>5 性能技术指标</w:t>
      </w:r>
      <w:r>
        <w:tab/>
      </w:r>
      <w:r>
        <w:fldChar w:fldCharType="begin"/>
      </w:r>
      <w:r>
        <w:instrText xml:space="preserve"> PAGEREF _Toc14740 \h </w:instrText>
      </w:r>
      <w:r>
        <w:fldChar w:fldCharType="separate"/>
      </w:r>
      <w:r>
        <w:t>3</w:t>
      </w:r>
      <w:r>
        <w:fldChar w:fldCharType="end"/>
      </w:r>
      <w:r>
        <w:fldChar w:fldCharType="end"/>
      </w:r>
    </w:p>
    <w:p w14:paraId="3F191F0C">
      <w:pPr>
        <w:pStyle w:val="19"/>
        <w:tabs>
          <w:tab w:val="right" w:leader="dot" w:pos="9354"/>
        </w:tabs>
      </w:pPr>
      <w:r>
        <w:fldChar w:fldCharType="begin"/>
      </w:r>
      <w:r>
        <w:instrText xml:space="preserve"> HYPERLINK \l _Toc22227 </w:instrText>
      </w:r>
      <w:r>
        <w:fldChar w:fldCharType="separate"/>
      </w:r>
      <w:r>
        <w:rPr>
          <w:rFonts w:hint="eastAsia"/>
          <w:szCs w:val="21"/>
          <w:lang w:val="en-US" w:eastAsia="zh-CN"/>
        </w:rPr>
        <w:t>6 操作便捷性与用户体验性评价</w:t>
      </w:r>
      <w:r>
        <w:tab/>
      </w:r>
      <w:r>
        <w:fldChar w:fldCharType="begin"/>
      </w:r>
      <w:r>
        <w:instrText xml:space="preserve"> PAGEREF _Toc22227 \h </w:instrText>
      </w:r>
      <w:r>
        <w:fldChar w:fldCharType="separate"/>
      </w:r>
      <w:r>
        <w:t>3</w:t>
      </w:r>
      <w:r>
        <w:fldChar w:fldCharType="end"/>
      </w:r>
      <w:r>
        <w:fldChar w:fldCharType="end"/>
      </w:r>
    </w:p>
    <w:p w14:paraId="23B006B3">
      <w:pPr>
        <w:pStyle w:val="19"/>
        <w:tabs>
          <w:tab w:val="right" w:leader="dot" w:pos="9354"/>
        </w:tabs>
      </w:pPr>
      <w:r>
        <w:fldChar w:fldCharType="begin"/>
      </w:r>
      <w:r>
        <w:instrText xml:space="preserve"> HYPERLINK \l _Toc20350 </w:instrText>
      </w:r>
      <w:r>
        <w:fldChar w:fldCharType="separate"/>
      </w:r>
      <w:r>
        <w:rPr>
          <w:rFonts w:hint="eastAsia"/>
          <w:szCs w:val="21"/>
          <w:lang w:val="en-US" w:eastAsia="zh-CN"/>
        </w:rPr>
        <w:t>7 质量评价程序与判定</w:t>
      </w:r>
      <w:r>
        <w:tab/>
      </w:r>
      <w:r>
        <w:fldChar w:fldCharType="begin"/>
      </w:r>
      <w:r>
        <w:instrText xml:space="preserve"> PAGEREF _Toc20350 \h </w:instrText>
      </w:r>
      <w:r>
        <w:fldChar w:fldCharType="separate"/>
      </w:r>
      <w:r>
        <w:t>4</w:t>
      </w:r>
      <w:r>
        <w:fldChar w:fldCharType="end"/>
      </w:r>
      <w:r>
        <w:fldChar w:fldCharType="end"/>
      </w:r>
    </w:p>
    <w:p w14:paraId="73D942F7">
      <w:pPr>
        <w:pStyle w:val="19"/>
        <w:tabs>
          <w:tab w:val="right" w:leader="dot" w:pos="9354"/>
        </w:tabs>
      </w:pPr>
      <w:r>
        <w:fldChar w:fldCharType="begin"/>
      </w:r>
      <w:r>
        <w:instrText xml:space="preserve"> HYPERLINK \l _Toc24567 </w:instrText>
      </w:r>
      <w:r>
        <w:fldChar w:fldCharType="separate"/>
      </w:r>
      <w:r>
        <w:rPr>
          <w:rFonts w:hint="eastAsia"/>
          <w:szCs w:val="21"/>
          <w:lang w:val="en-US" w:eastAsia="zh-CN"/>
        </w:rPr>
        <w:t>8 监督与管理</w:t>
      </w:r>
      <w:r>
        <w:tab/>
      </w:r>
      <w:r>
        <w:fldChar w:fldCharType="begin"/>
      </w:r>
      <w:r>
        <w:instrText xml:space="preserve"> PAGEREF _Toc24567 \h </w:instrText>
      </w:r>
      <w:r>
        <w:fldChar w:fldCharType="separate"/>
      </w:r>
      <w:r>
        <w:t>4</w:t>
      </w:r>
      <w:r>
        <w:fldChar w:fldCharType="end"/>
      </w:r>
      <w:r>
        <w:fldChar w:fldCharType="end"/>
      </w:r>
    </w:p>
    <w:p w14:paraId="1B51B50A">
      <w:pPr>
        <w:pStyle w:val="92"/>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05C16B2">
      <w:pPr>
        <w:pStyle w:val="90"/>
        <w:spacing w:before="900" w:after="360"/>
      </w:pPr>
      <w:bookmarkStart w:id="23" w:name="_Toc22494"/>
      <w:bookmarkStart w:id="24" w:name="BookMark2"/>
      <w:r>
        <w:rPr>
          <w:spacing w:val="320"/>
        </w:rPr>
        <w:t>前</w:t>
      </w:r>
      <w:r>
        <w:t>言</w:t>
      </w:r>
      <w:bookmarkEnd w:id="22"/>
      <w:bookmarkEnd w:id="23"/>
    </w:p>
    <w:p w14:paraId="5DC8D965">
      <w:pPr>
        <w:pStyle w:val="57"/>
        <w:spacing w:line="360" w:lineRule="auto"/>
        <w:ind w:firstLine="420"/>
      </w:pPr>
      <w:r>
        <w:rPr>
          <w:rFonts w:hint="eastAsia"/>
        </w:rPr>
        <w:t>本文件按照GB/T 1.1—2020《标准化工作导则  第1部分：标准化文件的结构和起草规则》的规定起草。</w:t>
      </w:r>
    </w:p>
    <w:p w14:paraId="3BF47523">
      <w:pPr>
        <w:pStyle w:val="57"/>
        <w:spacing w:line="360" w:lineRule="auto"/>
        <w:ind w:firstLine="420"/>
      </w:pPr>
      <w:r>
        <w:rPr>
          <w:rFonts w:hint="eastAsia"/>
        </w:rPr>
        <w:t>请注意本文件的某些内容可能涉及专利。本文件的发布机构不承担识别专利的责任。</w:t>
      </w:r>
    </w:p>
    <w:p w14:paraId="754B7426">
      <w:pPr>
        <w:pStyle w:val="57"/>
        <w:spacing w:line="360" w:lineRule="auto"/>
        <w:ind w:firstLine="420"/>
      </w:pPr>
      <w:r>
        <w:rPr>
          <w:rFonts w:hint="eastAsia"/>
        </w:rPr>
        <w:t>本文件由西安市质量与标准化协会提出并归口。</w:t>
      </w:r>
    </w:p>
    <w:p w14:paraId="5B8DD1E1">
      <w:pPr>
        <w:pStyle w:val="57"/>
        <w:spacing w:line="360" w:lineRule="auto"/>
        <w:ind w:firstLine="420"/>
        <w:rPr>
          <w:rFonts w:hint="eastAsia"/>
          <w:lang w:eastAsia="zh-CN"/>
        </w:rPr>
      </w:pPr>
      <w:r>
        <w:rPr>
          <w:rFonts w:hint="eastAsia"/>
        </w:rPr>
        <w:t>本文件起草单位：河北省唐山市乐亭县农业农村局</w:t>
      </w:r>
      <w:r>
        <w:rPr>
          <w:rFonts w:hint="eastAsia"/>
          <w:lang w:val="en-US" w:eastAsia="zh-CN"/>
        </w:rPr>
        <w:t>。</w:t>
      </w:r>
    </w:p>
    <w:p w14:paraId="6F393388">
      <w:pPr>
        <w:pStyle w:val="57"/>
        <w:spacing w:line="360" w:lineRule="auto"/>
        <w:ind w:firstLine="420"/>
        <w:rPr>
          <w:rFonts w:hint="default"/>
          <w:lang w:val="en-US" w:eastAsia="zh-CN"/>
        </w:rPr>
      </w:pPr>
      <w:r>
        <w:rPr>
          <w:rFonts w:hint="eastAsia"/>
        </w:rPr>
        <w:t>本文件主要起草人：</w:t>
      </w:r>
      <w:r>
        <w:rPr>
          <w:rFonts w:hint="default"/>
          <w:lang w:val="en-US" w:eastAsia="zh-CN"/>
        </w:rPr>
        <w:t>郭丽兰</w:t>
      </w:r>
      <w:r>
        <w:rPr>
          <w:rFonts w:hint="eastAsia"/>
          <w:lang w:val="en-US" w:eastAsia="zh-CN"/>
        </w:rPr>
        <w:t>。</w:t>
      </w:r>
    </w:p>
    <w:p w14:paraId="26D9D901">
      <w:pPr>
        <w:pStyle w:val="57"/>
        <w:ind w:firstLine="420"/>
      </w:pPr>
    </w:p>
    <w:p w14:paraId="635AF019">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90"/>
        <w:spacing w:after="360"/>
      </w:pPr>
      <w:bookmarkStart w:id="25" w:name="_Toc197342206"/>
      <w:bookmarkStart w:id="26" w:name="_Toc22574"/>
      <w:bookmarkStart w:id="27" w:name="BookMark3"/>
      <w:r>
        <w:rPr>
          <w:spacing w:val="320"/>
        </w:rPr>
        <w:t>引</w:t>
      </w:r>
      <w:r>
        <w:t>言</w:t>
      </w:r>
      <w:bookmarkEnd w:id="25"/>
      <w:bookmarkEnd w:id="26"/>
    </w:p>
    <w:p w14:paraId="127C7CAC">
      <w:pPr>
        <w:pStyle w:val="57"/>
        <w:spacing w:line="360" w:lineRule="auto"/>
        <w:ind w:firstLine="420"/>
        <w:rPr>
          <w:rFonts w:hint="eastAsia"/>
        </w:rPr>
      </w:pPr>
      <w:r>
        <w:rPr>
          <w:rFonts w:hint="eastAsia"/>
        </w:rPr>
        <w:t>畜禽疫病的有效防控是保障畜牧业健康发展、维护公共卫生安全及食品安全的关键环节。随着畜牧产业的快速发展，畜禽疫病的种类和复杂性日益增加，对快速、准确的疫病诊断技术提出了更高要求。畜禽常见疫病快速诊断试纸条作为一种便捷、高效的现场检测工具，在疫病初筛、疫情监控及应急处置中发挥着不可替代的作用。</w:t>
      </w:r>
    </w:p>
    <w:p w14:paraId="10A83832">
      <w:pPr>
        <w:pStyle w:val="57"/>
        <w:spacing w:line="360" w:lineRule="auto"/>
        <w:ind w:left="0" w:leftChars="0" w:firstLine="420" w:firstLineChars="200"/>
        <w:rPr>
          <w:rFonts w:hint="eastAsia"/>
        </w:rPr>
      </w:pPr>
      <w:r>
        <w:rPr>
          <w:rFonts w:hint="eastAsia"/>
        </w:rPr>
        <w:t>然而，当前市场上试纸条产品种类繁多，质量参差不齐，缺乏统一、科学的质量评价标准，导致诊断结果的可信度受到质疑，影响了疫病的及时防控。因此，制定一套系统、全面的畜禽常见疫病快速诊断试纸条质量评价规范显得尤为迫切。本规范旨在通过明确质量评价原则与方法、性能技术指标、操作便捷性与用户体验性评价、稳定性验证与贮运条件评价及质量评价程序与判定等内容，为试纸条产品的研发、生产、采购、使用及监管提供科学依据和技术支撑。本规范的实施，将有助于提升试纸条产品的整体质量水平，促进畜牧产业的可持续发展，为保障畜禽健康、公共卫生安全及食品安全贡献力量。</w:t>
      </w:r>
    </w:p>
    <w:p w14:paraId="30E55E16">
      <w:pPr>
        <w:pStyle w:val="57"/>
        <w:spacing w:line="360" w:lineRule="auto"/>
        <w:ind w:firstLine="420"/>
        <w:rPr>
          <w:rFonts w:hint="eastAsia"/>
        </w:rPr>
      </w:pPr>
    </w:p>
    <w:p w14:paraId="1FD0EDB2">
      <w:pPr>
        <w:pStyle w:val="57"/>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8"/>
            <w:spacing w:after="0"/>
          </w:pPr>
          <w:bookmarkStart w:id="29" w:name="NEW_STAND_NAME"/>
          <w:r>
            <w:rPr>
              <w:rFonts w:hint="eastAsia"/>
            </w:rPr>
            <w:t>畜禽常见疫病快速诊断试纸条质量评价规范</w:t>
          </w:r>
        </w:p>
      </w:sdtContent>
    </w:sdt>
    <w:bookmarkEnd w:id="29"/>
    <w:p w14:paraId="1339BF1A">
      <w:pPr>
        <w:pStyle w:val="105"/>
        <w:spacing w:before="240" w:after="240" w:line="360" w:lineRule="auto"/>
      </w:pPr>
      <w:bookmarkStart w:id="30" w:name="_Toc26718930"/>
      <w:bookmarkStart w:id="31" w:name="_Toc19179"/>
      <w:bookmarkStart w:id="32" w:name="_Toc24884218"/>
      <w:bookmarkStart w:id="33" w:name="_Toc17233333"/>
      <w:bookmarkStart w:id="34" w:name="_Toc26986530"/>
      <w:bookmarkStart w:id="35" w:name="_Toc26986771"/>
      <w:bookmarkStart w:id="36" w:name="_Toc97192964"/>
      <w:bookmarkStart w:id="37" w:name="_Toc17233325"/>
      <w:bookmarkStart w:id="38" w:name="_Toc26648465"/>
      <w:bookmarkStart w:id="39" w:name="_Toc24884211"/>
      <w:bookmarkStart w:id="40" w:name="_Toc197342207"/>
      <w:r>
        <w:rPr>
          <w:rFonts w:hint="eastAsia"/>
        </w:rPr>
        <w:t>范围</w:t>
      </w:r>
      <w:bookmarkEnd w:id="30"/>
      <w:bookmarkEnd w:id="31"/>
      <w:bookmarkEnd w:id="32"/>
      <w:bookmarkEnd w:id="33"/>
      <w:bookmarkEnd w:id="34"/>
      <w:bookmarkEnd w:id="35"/>
      <w:bookmarkEnd w:id="36"/>
      <w:bookmarkEnd w:id="37"/>
      <w:bookmarkEnd w:id="38"/>
      <w:bookmarkEnd w:id="39"/>
      <w:bookmarkEnd w:id="40"/>
    </w:p>
    <w:p w14:paraId="4D44EB1A">
      <w:pPr>
        <w:pStyle w:val="57"/>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eastAsia="宋体"/>
          <w:lang w:eastAsia="zh-CN"/>
        </w:rPr>
      </w:pPr>
      <w:bookmarkStart w:id="41" w:name="_Toc26648466"/>
      <w:bookmarkStart w:id="42" w:name="_Toc24884212"/>
      <w:bookmarkStart w:id="43" w:name="_Toc24884219"/>
      <w:bookmarkStart w:id="44" w:name="_Toc17233334"/>
      <w:bookmarkStart w:id="45" w:name="_Toc17233326"/>
      <w:r>
        <w:rPr>
          <w:rFonts w:hint="eastAsia"/>
          <w:lang w:eastAsia="zh-CN"/>
        </w:rPr>
        <w:t>本文件规定了畜禽常见疫病快速诊断试纸条的质量评价原则与方法、性能技术指标、操作便捷性与用户体验性评价、稳定性验证与贮运条件评价及质量评价程序与判定等内容，明确了产品评价的基本原则、评价流程与结果判定依据。本文件适用于畜禽常见疫病抗原、抗体等目标物的快速诊断试纸条的质量评价，可作为产品研发、市场准入、采购比选、使用监管及第三方检验机构评测的参考依据。</w:t>
      </w:r>
    </w:p>
    <w:p w14:paraId="24B680AA">
      <w:pPr>
        <w:pStyle w:val="105"/>
        <w:spacing w:before="240" w:after="240" w:line="360" w:lineRule="auto"/>
        <w:rPr>
          <w:rFonts w:hint="eastAsia"/>
          <w:szCs w:val="21"/>
        </w:rPr>
      </w:pPr>
      <w:bookmarkStart w:id="46" w:name="_Toc197342208"/>
      <w:bookmarkStart w:id="47" w:name="_Toc97192965"/>
      <w:bookmarkStart w:id="48" w:name="_Toc26718931"/>
      <w:bookmarkStart w:id="49" w:name="_Toc13021"/>
      <w:bookmarkStart w:id="50" w:name="_Toc26986531"/>
      <w:bookmarkStart w:id="51" w:name="_Toc26986772"/>
      <w:r>
        <w:rPr>
          <w:rFonts w:hint="eastAsia"/>
          <w:szCs w:val="21"/>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7"/>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F16FD74">
      <w:pPr>
        <w:pStyle w:val="57"/>
        <w:spacing w:line="360" w:lineRule="auto"/>
        <w:ind w:firstLine="420"/>
        <w:rPr>
          <w:rFonts w:hint="eastAsia"/>
        </w:rPr>
      </w:pPr>
      <w:r>
        <w:rPr>
          <w:rFonts w:hint="eastAsia"/>
        </w:rPr>
        <w:t>GB/T 27403—2008 实验室质量控制规范 食品分子生物学检测</w:t>
      </w:r>
    </w:p>
    <w:p w14:paraId="4042468A">
      <w:pPr>
        <w:pStyle w:val="57"/>
        <w:spacing w:line="360" w:lineRule="auto"/>
        <w:ind w:firstLine="420"/>
        <w:rPr>
          <w:rFonts w:hint="eastAsia"/>
        </w:rPr>
      </w:pPr>
      <w:r>
        <w:rPr>
          <w:rFonts w:hint="eastAsia"/>
        </w:rPr>
        <w:t>GB/T 29791.1—2013 体外诊断医疗器械制造商提供的信息</w:t>
      </w:r>
    </w:p>
    <w:p w14:paraId="63FE3A63">
      <w:pPr>
        <w:pStyle w:val="57"/>
        <w:spacing w:line="360" w:lineRule="auto"/>
        <w:ind w:firstLine="420"/>
        <w:rPr>
          <w:rFonts w:hint="eastAsia"/>
        </w:rPr>
      </w:pPr>
      <w:r>
        <w:rPr>
          <w:rFonts w:hint="eastAsia"/>
        </w:rPr>
        <w:t>GB/T 19634—2021 体外诊断检验系统 自测用体外诊断试剂通用技术要求</w:t>
      </w:r>
    </w:p>
    <w:p w14:paraId="178CD4CF">
      <w:pPr>
        <w:pStyle w:val="57"/>
        <w:spacing w:line="360" w:lineRule="auto"/>
        <w:ind w:firstLine="420"/>
        <w:rPr>
          <w:rFonts w:hint="eastAsia"/>
        </w:rPr>
      </w:pPr>
      <w:r>
        <w:rPr>
          <w:rFonts w:hint="eastAsia"/>
        </w:rPr>
        <w:t>GB/T 26124—2011 临床化学体外诊断试剂（盒）通用技术要求</w:t>
      </w:r>
    </w:p>
    <w:p w14:paraId="5D64DD31">
      <w:pPr>
        <w:pStyle w:val="57"/>
        <w:spacing w:line="360" w:lineRule="auto"/>
        <w:ind w:firstLine="420"/>
        <w:rPr>
          <w:rFonts w:hint="eastAsia"/>
        </w:rPr>
      </w:pPr>
      <w:r>
        <w:rPr>
          <w:rFonts w:hint="eastAsia"/>
        </w:rPr>
        <w:t>GB/T 33409—2016 体外诊断医疗器械 生物样品中量的测量 校准品和控制物质赋值的计量学溯源性</w:t>
      </w:r>
    </w:p>
    <w:p w14:paraId="4DC2EC47">
      <w:pPr>
        <w:pStyle w:val="57"/>
        <w:spacing w:line="360" w:lineRule="auto"/>
        <w:ind w:firstLine="420"/>
        <w:rPr>
          <w:rFonts w:hint="eastAsia"/>
        </w:rPr>
      </w:pPr>
      <w:r>
        <w:rPr>
          <w:rFonts w:hint="eastAsia"/>
        </w:rPr>
        <w:t>GB/T 29791.2—2013 体外诊断医疗器械制造商提供的信息</w:t>
      </w:r>
    </w:p>
    <w:bookmarkEnd w:id="28"/>
    <w:p w14:paraId="77D14E71">
      <w:pPr>
        <w:pStyle w:val="105"/>
        <w:spacing w:before="240" w:after="240" w:line="360" w:lineRule="auto"/>
        <w:rPr>
          <w:rFonts w:hint="eastAsia"/>
          <w:szCs w:val="21"/>
        </w:rPr>
      </w:pPr>
      <w:bookmarkStart w:id="52" w:name="_Toc10491"/>
      <w:r>
        <w:rPr>
          <w:rFonts w:hint="eastAsia"/>
          <w:szCs w:val="21"/>
        </w:rPr>
        <w:t>术语和定义</w:t>
      </w:r>
      <w:bookmarkEnd w:id="52"/>
    </w:p>
    <w:p w14:paraId="403EC1D5">
      <w:pPr>
        <w:pStyle w:val="57"/>
        <w:spacing w:line="360" w:lineRule="auto"/>
        <w:ind w:firstLine="420"/>
        <w:rPr>
          <w:rFonts w:hint="eastAsia"/>
        </w:rPr>
      </w:pPr>
      <w:r>
        <w:rPr>
          <w:rFonts w:hint="eastAsia"/>
        </w:rPr>
        <w:t>下列术语和定义适用于本文件。</w:t>
      </w:r>
    </w:p>
    <w:p w14:paraId="00D822A2">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畜禽常见疫病</w:t>
      </w:r>
    </w:p>
    <w:p w14:paraId="0EC7AA08">
      <w:pPr>
        <w:pStyle w:val="57"/>
        <w:spacing w:line="360" w:lineRule="auto"/>
        <w:ind w:firstLine="420"/>
        <w:rPr>
          <w:rFonts w:hint="eastAsia"/>
          <w:lang w:val="en-US" w:eastAsia="zh-CN"/>
        </w:rPr>
      </w:pPr>
      <w:r>
        <w:rPr>
          <w:rFonts w:hint="eastAsia"/>
          <w:lang w:val="en-US" w:eastAsia="zh-CN"/>
        </w:rPr>
        <w:t>由病原微生物（如病毒、细菌、真菌、寄生虫）引起的畜禽传染性疾病，具有传播性，可能对畜禽健康、公共卫生及食品安全造成影响。</w:t>
      </w:r>
    </w:p>
    <w:p w14:paraId="13C9DD8A">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快速诊断试纸条</w:t>
      </w:r>
    </w:p>
    <w:p w14:paraId="4D2D8986">
      <w:pPr>
        <w:pStyle w:val="57"/>
        <w:spacing w:line="360" w:lineRule="auto"/>
        <w:ind w:firstLine="420"/>
        <w:rPr>
          <w:rFonts w:hint="eastAsia"/>
          <w:lang w:val="en-US" w:eastAsia="zh-CN"/>
        </w:rPr>
      </w:pPr>
      <w:r>
        <w:rPr>
          <w:rFonts w:hint="eastAsia"/>
          <w:lang w:val="en-US" w:eastAsia="zh-CN"/>
        </w:rPr>
        <w:t>在规定时间内完成样本分析、实现畜禽疫病快速定性检测的配套试纸条，一般包含反应垫、样品垫、结合物垫、硝酸纤维素膜、吸收垫等部分，并附有使用说明书。</w:t>
      </w:r>
    </w:p>
    <w:p w14:paraId="3757AC98">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灵敏度</w:t>
      </w:r>
    </w:p>
    <w:p w14:paraId="2E60707E">
      <w:pPr>
        <w:pStyle w:val="57"/>
        <w:spacing w:line="360" w:lineRule="auto"/>
        <w:ind w:firstLine="420"/>
        <w:rPr>
          <w:rFonts w:hint="eastAsia"/>
          <w:lang w:val="en-US" w:eastAsia="zh-CN"/>
        </w:rPr>
      </w:pPr>
      <w:r>
        <w:rPr>
          <w:rFonts w:hint="eastAsia"/>
          <w:lang w:val="en-US" w:eastAsia="zh-CN"/>
        </w:rPr>
        <w:t>对畜禽常见疫病快速诊断试纸条的性能、操作便捷性、稳定性及用户体验等方面进行综合评价，以确保其满足预设标准的过程。</w:t>
      </w:r>
    </w:p>
    <w:p w14:paraId="5BDAE73E">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特异性</w:t>
      </w:r>
    </w:p>
    <w:p w14:paraId="36F0CD9F">
      <w:pPr>
        <w:pStyle w:val="57"/>
        <w:spacing w:line="360" w:lineRule="auto"/>
        <w:ind w:firstLine="420"/>
        <w:rPr>
          <w:rFonts w:hint="eastAsia"/>
          <w:lang w:val="en-US" w:eastAsia="zh-CN"/>
        </w:rPr>
      </w:pPr>
      <w:r>
        <w:rPr>
          <w:rFonts w:hint="eastAsia"/>
          <w:lang w:val="en-US" w:eastAsia="zh-CN"/>
        </w:rPr>
        <w:t>试纸条对非靶标成分的识别排除能力，体现其识别准确性，通常通过阴性符合率或交叉反应检测体现。</w:t>
      </w:r>
    </w:p>
    <w:p w14:paraId="4D66BCFE">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重复性</w:t>
      </w:r>
    </w:p>
    <w:p w14:paraId="06841B5F">
      <w:pPr>
        <w:pStyle w:val="57"/>
        <w:spacing w:line="360" w:lineRule="auto"/>
        <w:ind w:firstLine="420"/>
        <w:rPr>
          <w:rFonts w:hint="eastAsia"/>
          <w:lang w:val="en-US" w:eastAsia="zh-CN"/>
        </w:rPr>
      </w:pPr>
      <w:r>
        <w:rPr>
          <w:rFonts w:hint="eastAsia"/>
          <w:lang w:val="en-US" w:eastAsia="zh-CN"/>
        </w:rPr>
        <w:t>同一操作者在相同条件下重复检测同一样本获得一致结果的能力，反映系统内部稳定性。</w:t>
      </w:r>
    </w:p>
    <w:p w14:paraId="3AD9B9F1">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稳定性</w:t>
      </w:r>
    </w:p>
    <w:p w14:paraId="2FBF7F99">
      <w:pPr>
        <w:pStyle w:val="57"/>
        <w:spacing w:line="360" w:lineRule="auto"/>
        <w:ind w:firstLine="420"/>
        <w:rPr>
          <w:rFonts w:hint="eastAsia"/>
          <w:lang w:val="en-US" w:eastAsia="zh-CN"/>
        </w:rPr>
      </w:pPr>
      <w:r>
        <w:rPr>
          <w:rFonts w:hint="eastAsia"/>
          <w:lang w:val="en-US" w:eastAsia="zh-CN"/>
        </w:rPr>
        <w:t>试纸条在运输、储存、使用等过程中维持其原有性能的能力，包括加速、实时、开封后等多种形式的稳定性验证。</w:t>
      </w:r>
    </w:p>
    <w:p w14:paraId="0FD29D79">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适用性验证</w:t>
      </w:r>
    </w:p>
    <w:p w14:paraId="79CDB550">
      <w:pPr>
        <w:pStyle w:val="57"/>
        <w:spacing w:line="360" w:lineRule="auto"/>
        <w:ind w:firstLine="420"/>
        <w:rPr>
          <w:rFonts w:hint="eastAsia"/>
          <w:lang w:val="en-US" w:eastAsia="zh-CN"/>
        </w:rPr>
      </w:pPr>
      <w:r>
        <w:rPr>
          <w:rFonts w:hint="eastAsia"/>
          <w:lang w:val="en-US" w:eastAsia="zh-CN"/>
        </w:rPr>
        <w:t>试纸条在不同畜禽种类、不同样本类型、不同疫区条件下的检测一致性和有效性评价。</w:t>
      </w:r>
    </w:p>
    <w:p w14:paraId="56D18A47">
      <w:pPr>
        <w:pStyle w:val="105"/>
        <w:spacing w:before="240" w:after="240" w:line="360" w:lineRule="auto"/>
        <w:rPr>
          <w:rFonts w:hint="eastAsia"/>
          <w:szCs w:val="21"/>
          <w:lang w:val="en-US" w:eastAsia="zh-CN"/>
        </w:rPr>
      </w:pPr>
      <w:bookmarkStart w:id="53" w:name="_Toc12655"/>
      <w:r>
        <w:rPr>
          <w:rFonts w:hint="eastAsia"/>
          <w:szCs w:val="21"/>
          <w:lang w:val="en-US" w:eastAsia="zh-CN"/>
        </w:rPr>
        <w:t>质量评价原则与方法</w:t>
      </w:r>
      <w:bookmarkEnd w:id="53"/>
    </w:p>
    <w:p w14:paraId="2AB6943D">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基本评价原则</w:t>
      </w:r>
    </w:p>
    <w:p w14:paraId="6C7FDCA6">
      <w:pPr>
        <w:pStyle w:val="57"/>
        <w:spacing w:line="360" w:lineRule="auto"/>
        <w:ind w:firstLine="420"/>
        <w:rPr>
          <w:rFonts w:hint="eastAsia"/>
          <w:lang w:val="en-US" w:eastAsia="zh-CN"/>
        </w:rPr>
      </w:pPr>
      <w:r>
        <w:rPr>
          <w:rFonts w:hint="eastAsia"/>
          <w:lang w:val="en-US" w:eastAsia="zh-CN"/>
        </w:rPr>
        <w:t>真实性原则：评价结果应能够真实反映产品在实际检测中的性能表现，不得依赖实验室理想状态单一指标。</w:t>
      </w:r>
    </w:p>
    <w:p w14:paraId="6D077B00">
      <w:pPr>
        <w:pStyle w:val="57"/>
        <w:spacing w:line="360" w:lineRule="auto"/>
        <w:ind w:firstLine="420"/>
        <w:rPr>
          <w:rFonts w:hint="eastAsia"/>
          <w:lang w:val="en-US" w:eastAsia="zh-CN"/>
        </w:rPr>
      </w:pPr>
      <w:r>
        <w:rPr>
          <w:rFonts w:hint="eastAsia"/>
          <w:lang w:val="en-US" w:eastAsia="zh-CN"/>
        </w:rPr>
        <w:t>一致性原则：同批次与不同批次产品的检测性能应保持一致，控制批次间变异。</w:t>
      </w:r>
    </w:p>
    <w:p w14:paraId="690B974F">
      <w:pPr>
        <w:pStyle w:val="57"/>
        <w:spacing w:line="360" w:lineRule="auto"/>
        <w:ind w:firstLine="420"/>
        <w:rPr>
          <w:rFonts w:hint="eastAsia"/>
          <w:lang w:val="en-US" w:eastAsia="zh-CN"/>
        </w:rPr>
      </w:pPr>
      <w:r>
        <w:rPr>
          <w:rFonts w:hint="eastAsia"/>
          <w:lang w:val="en-US" w:eastAsia="zh-CN"/>
        </w:rPr>
        <w:t>适应性原则：评价内容应与使用场景相契合，考虑目标畜禽种类、采样来源、环境条件等。</w:t>
      </w:r>
    </w:p>
    <w:p w14:paraId="1BF85BDC">
      <w:pPr>
        <w:pStyle w:val="57"/>
        <w:spacing w:line="360" w:lineRule="auto"/>
        <w:ind w:firstLine="420"/>
        <w:rPr>
          <w:rFonts w:hint="eastAsia"/>
          <w:lang w:val="en-US" w:eastAsia="zh-CN"/>
        </w:rPr>
      </w:pPr>
      <w:r>
        <w:rPr>
          <w:rFonts w:hint="eastAsia"/>
          <w:lang w:val="en-US" w:eastAsia="zh-CN"/>
        </w:rPr>
        <w:t>可重复原则：所采用的评价方法应具备标准化操作流程、重复性良好、可由第三方复核。</w:t>
      </w:r>
    </w:p>
    <w:p w14:paraId="25DD8964">
      <w:pPr>
        <w:pStyle w:val="57"/>
        <w:spacing w:line="360" w:lineRule="auto"/>
        <w:ind w:firstLine="420"/>
        <w:rPr>
          <w:rFonts w:hint="eastAsia"/>
          <w:lang w:val="en-US" w:eastAsia="zh-CN"/>
        </w:rPr>
      </w:pPr>
      <w:r>
        <w:rPr>
          <w:rFonts w:hint="eastAsia"/>
          <w:lang w:val="en-US" w:eastAsia="zh-CN"/>
        </w:rPr>
        <w:t>实用性原则：除技术指标外，还应关注包装标识、说明书规范性、操作流程清晰度等用户使用体验相关内容。</w:t>
      </w:r>
    </w:p>
    <w:p w14:paraId="33C8F073">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分类评价路径</w:t>
      </w:r>
    </w:p>
    <w:p w14:paraId="13774767">
      <w:pPr>
        <w:pStyle w:val="57"/>
        <w:spacing w:line="360" w:lineRule="auto"/>
        <w:ind w:firstLine="420"/>
        <w:rPr>
          <w:rFonts w:hint="eastAsia"/>
          <w:lang w:val="en-US" w:eastAsia="zh-CN"/>
        </w:rPr>
      </w:pPr>
      <w:r>
        <w:rPr>
          <w:rFonts w:hint="eastAsia"/>
          <w:lang w:val="en-US" w:eastAsia="zh-CN"/>
        </w:rPr>
        <w:t>根据检测对象和检测原理的不同，试纸条可分为以下三类，每类产品对应的评价路径有所差异：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1914"/>
        <w:gridCol w:w="1914"/>
        <w:gridCol w:w="1914"/>
        <w:gridCol w:w="1914"/>
      </w:tblGrid>
      <w:tr w14:paraId="2F09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6648BE0B">
            <w:pPr>
              <w:pStyle w:val="57"/>
              <w:spacing w:line="360" w:lineRule="auto"/>
              <w:ind w:firstLine="420"/>
              <w:rPr>
                <w:rFonts w:hint="eastAsia"/>
                <w:b/>
                <w:bCs/>
                <w:lang w:val="en-US" w:eastAsia="zh-CN"/>
              </w:rPr>
            </w:pPr>
            <w:r>
              <w:rPr>
                <w:rFonts w:hint="default"/>
                <w:b/>
                <w:bCs/>
                <w:lang w:val="en-US" w:eastAsia="zh-CN"/>
              </w:rPr>
              <w:t>类别</w:t>
            </w:r>
          </w:p>
        </w:tc>
        <w:tc>
          <w:tcPr>
            <w:tcW w:w="1914" w:type="dxa"/>
          </w:tcPr>
          <w:p w14:paraId="0A900C86">
            <w:pPr>
              <w:pStyle w:val="57"/>
              <w:spacing w:line="360" w:lineRule="auto"/>
              <w:ind w:firstLine="420"/>
              <w:rPr>
                <w:rFonts w:hint="eastAsia"/>
                <w:b/>
                <w:bCs/>
                <w:lang w:val="en-US" w:eastAsia="zh-CN"/>
              </w:rPr>
            </w:pPr>
            <w:r>
              <w:rPr>
                <w:rFonts w:hint="default"/>
                <w:b/>
                <w:bCs/>
                <w:lang w:val="en-US" w:eastAsia="zh-CN"/>
              </w:rPr>
              <w:t>检测原理</w:t>
            </w:r>
          </w:p>
        </w:tc>
        <w:tc>
          <w:tcPr>
            <w:tcW w:w="1914" w:type="dxa"/>
          </w:tcPr>
          <w:p w14:paraId="505727D4">
            <w:pPr>
              <w:pStyle w:val="57"/>
              <w:spacing w:line="360" w:lineRule="auto"/>
              <w:ind w:firstLine="420"/>
              <w:rPr>
                <w:rFonts w:hint="eastAsia"/>
                <w:b/>
                <w:bCs/>
                <w:lang w:val="en-US" w:eastAsia="zh-CN"/>
              </w:rPr>
            </w:pPr>
            <w:r>
              <w:rPr>
                <w:rFonts w:hint="default"/>
                <w:b/>
                <w:bCs/>
                <w:lang w:val="en-US" w:eastAsia="zh-CN"/>
              </w:rPr>
              <w:t>目标物类型</w:t>
            </w:r>
          </w:p>
        </w:tc>
        <w:tc>
          <w:tcPr>
            <w:tcW w:w="1914" w:type="dxa"/>
          </w:tcPr>
          <w:p w14:paraId="1A7CC49C">
            <w:pPr>
              <w:pStyle w:val="57"/>
              <w:spacing w:line="360" w:lineRule="auto"/>
              <w:ind w:firstLine="420"/>
              <w:rPr>
                <w:rFonts w:hint="eastAsia"/>
                <w:b/>
                <w:bCs/>
                <w:lang w:val="en-US" w:eastAsia="zh-CN"/>
              </w:rPr>
            </w:pPr>
            <w:r>
              <w:rPr>
                <w:rFonts w:hint="default"/>
                <w:b/>
                <w:bCs/>
                <w:lang w:val="en-US" w:eastAsia="zh-CN"/>
              </w:rPr>
              <w:t>主要应用环节</w:t>
            </w:r>
          </w:p>
        </w:tc>
        <w:tc>
          <w:tcPr>
            <w:tcW w:w="1914" w:type="dxa"/>
          </w:tcPr>
          <w:p w14:paraId="26A4C188">
            <w:pPr>
              <w:pStyle w:val="57"/>
              <w:spacing w:line="360" w:lineRule="auto"/>
              <w:ind w:firstLine="420"/>
              <w:rPr>
                <w:rFonts w:hint="eastAsia"/>
                <w:b/>
                <w:bCs/>
                <w:lang w:val="en-US" w:eastAsia="zh-CN"/>
              </w:rPr>
            </w:pPr>
            <w:r>
              <w:rPr>
                <w:rFonts w:hint="default"/>
                <w:b/>
                <w:bCs/>
                <w:lang w:val="en-US" w:eastAsia="zh-CN"/>
              </w:rPr>
              <w:t>推荐评价维度</w:t>
            </w:r>
          </w:p>
        </w:tc>
      </w:tr>
      <w:tr w14:paraId="2608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19FAA063">
            <w:pPr>
              <w:pStyle w:val="57"/>
              <w:spacing w:line="360" w:lineRule="auto"/>
              <w:ind w:firstLine="420"/>
              <w:rPr>
                <w:rFonts w:hint="eastAsia"/>
                <w:lang w:val="en-US" w:eastAsia="zh-CN"/>
              </w:rPr>
            </w:pPr>
            <w:r>
              <w:rPr>
                <w:rFonts w:hint="default"/>
                <w:lang w:val="en-US" w:eastAsia="zh-CN"/>
              </w:rPr>
              <w:t>A类</w:t>
            </w:r>
          </w:p>
        </w:tc>
        <w:tc>
          <w:tcPr>
            <w:tcW w:w="1914" w:type="dxa"/>
          </w:tcPr>
          <w:p w14:paraId="30495DB1">
            <w:pPr>
              <w:pStyle w:val="57"/>
              <w:spacing w:line="360" w:lineRule="auto"/>
              <w:ind w:firstLine="420"/>
              <w:rPr>
                <w:rFonts w:hint="eastAsia"/>
                <w:lang w:val="en-US" w:eastAsia="zh-CN"/>
              </w:rPr>
            </w:pPr>
            <w:r>
              <w:rPr>
                <w:rFonts w:hint="default"/>
                <w:lang w:val="en-US" w:eastAsia="zh-CN"/>
              </w:rPr>
              <w:t>胶体金、免疫层析</w:t>
            </w:r>
          </w:p>
        </w:tc>
        <w:tc>
          <w:tcPr>
            <w:tcW w:w="1914" w:type="dxa"/>
          </w:tcPr>
          <w:p w14:paraId="5500F3E2">
            <w:pPr>
              <w:pStyle w:val="57"/>
              <w:spacing w:line="360" w:lineRule="auto"/>
              <w:ind w:firstLine="420"/>
              <w:rPr>
                <w:rFonts w:hint="eastAsia"/>
                <w:lang w:val="en-US" w:eastAsia="zh-CN"/>
              </w:rPr>
            </w:pPr>
            <w:r>
              <w:rPr>
                <w:rFonts w:hint="default"/>
                <w:lang w:val="en-US" w:eastAsia="zh-CN"/>
              </w:rPr>
              <w:t>抗原/抗体</w:t>
            </w:r>
          </w:p>
        </w:tc>
        <w:tc>
          <w:tcPr>
            <w:tcW w:w="1914" w:type="dxa"/>
          </w:tcPr>
          <w:p w14:paraId="2FE45EAC">
            <w:pPr>
              <w:pStyle w:val="57"/>
              <w:spacing w:line="360" w:lineRule="auto"/>
              <w:ind w:firstLine="420"/>
              <w:rPr>
                <w:rFonts w:hint="eastAsia"/>
                <w:lang w:val="en-US" w:eastAsia="zh-CN"/>
              </w:rPr>
            </w:pPr>
            <w:r>
              <w:rPr>
                <w:rFonts w:hint="default"/>
                <w:lang w:val="en-US" w:eastAsia="zh-CN"/>
              </w:rPr>
              <w:t>现场快速筛查、基层监测</w:t>
            </w:r>
          </w:p>
        </w:tc>
        <w:tc>
          <w:tcPr>
            <w:tcW w:w="1914" w:type="dxa"/>
          </w:tcPr>
          <w:p w14:paraId="2001FD61">
            <w:pPr>
              <w:pStyle w:val="57"/>
              <w:spacing w:line="360" w:lineRule="auto"/>
              <w:ind w:firstLine="420"/>
              <w:rPr>
                <w:rFonts w:hint="eastAsia"/>
                <w:lang w:val="en-US" w:eastAsia="zh-CN"/>
              </w:rPr>
            </w:pPr>
            <w:r>
              <w:rPr>
                <w:rFonts w:hint="default"/>
                <w:lang w:val="en-US" w:eastAsia="zh-CN"/>
              </w:rPr>
              <w:t>灵敏度、特异性、重复性、稳定性</w:t>
            </w:r>
          </w:p>
        </w:tc>
      </w:tr>
      <w:tr w14:paraId="196F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0A3D53C2">
            <w:pPr>
              <w:pStyle w:val="57"/>
              <w:spacing w:line="360" w:lineRule="auto"/>
              <w:ind w:firstLine="420"/>
              <w:rPr>
                <w:rFonts w:hint="eastAsia"/>
                <w:lang w:val="en-US" w:eastAsia="zh-CN"/>
              </w:rPr>
            </w:pPr>
            <w:r>
              <w:rPr>
                <w:rFonts w:hint="default"/>
                <w:lang w:val="en-US" w:eastAsia="zh-CN"/>
              </w:rPr>
              <w:t>B类</w:t>
            </w:r>
          </w:p>
        </w:tc>
        <w:tc>
          <w:tcPr>
            <w:tcW w:w="1914" w:type="dxa"/>
          </w:tcPr>
          <w:p w14:paraId="351BC686">
            <w:pPr>
              <w:pStyle w:val="57"/>
              <w:spacing w:line="360" w:lineRule="auto"/>
              <w:ind w:firstLine="420"/>
              <w:rPr>
                <w:rFonts w:hint="eastAsia"/>
                <w:lang w:val="en-US" w:eastAsia="zh-CN"/>
              </w:rPr>
            </w:pPr>
            <w:r>
              <w:rPr>
                <w:rFonts w:hint="default"/>
                <w:lang w:val="en-US" w:eastAsia="zh-CN"/>
              </w:rPr>
              <w:t>荧光/酶联免疫检测</w:t>
            </w:r>
          </w:p>
        </w:tc>
        <w:tc>
          <w:tcPr>
            <w:tcW w:w="1914" w:type="dxa"/>
          </w:tcPr>
          <w:p w14:paraId="4D452917">
            <w:pPr>
              <w:pStyle w:val="57"/>
              <w:spacing w:line="360" w:lineRule="auto"/>
              <w:ind w:firstLine="420"/>
              <w:rPr>
                <w:rFonts w:hint="eastAsia"/>
                <w:lang w:val="en-US" w:eastAsia="zh-CN"/>
              </w:rPr>
            </w:pPr>
            <w:r>
              <w:rPr>
                <w:rFonts w:hint="default"/>
                <w:lang w:val="en-US" w:eastAsia="zh-CN"/>
              </w:rPr>
              <w:t>抗体</w:t>
            </w:r>
          </w:p>
        </w:tc>
        <w:tc>
          <w:tcPr>
            <w:tcW w:w="1914" w:type="dxa"/>
          </w:tcPr>
          <w:p w14:paraId="0124714C">
            <w:pPr>
              <w:pStyle w:val="57"/>
              <w:spacing w:line="360" w:lineRule="auto"/>
              <w:ind w:firstLine="420"/>
              <w:rPr>
                <w:rFonts w:hint="eastAsia"/>
                <w:lang w:val="en-US" w:eastAsia="zh-CN"/>
              </w:rPr>
            </w:pPr>
            <w:r>
              <w:rPr>
                <w:rFonts w:hint="default"/>
                <w:lang w:val="en-US" w:eastAsia="zh-CN"/>
              </w:rPr>
              <w:t>实验室初步诊断</w:t>
            </w:r>
          </w:p>
        </w:tc>
        <w:tc>
          <w:tcPr>
            <w:tcW w:w="1914" w:type="dxa"/>
          </w:tcPr>
          <w:p w14:paraId="075D26AE">
            <w:pPr>
              <w:pStyle w:val="57"/>
              <w:spacing w:line="360" w:lineRule="auto"/>
              <w:ind w:firstLine="420"/>
              <w:rPr>
                <w:rFonts w:hint="eastAsia"/>
                <w:lang w:val="en-US" w:eastAsia="zh-CN"/>
              </w:rPr>
            </w:pPr>
            <w:r>
              <w:rPr>
                <w:rFonts w:hint="default"/>
                <w:lang w:val="en-US" w:eastAsia="zh-CN"/>
              </w:rPr>
              <w:t>精密度、线性范围、背景干扰</w:t>
            </w:r>
          </w:p>
        </w:tc>
      </w:tr>
      <w:tr w14:paraId="4A65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5BC2CC75">
            <w:pPr>
              <w:pStyle w:val="57"/>
              <w:spacing w:line="360" w:lineRule="auto"/>
              <w:ind w:firstLine="420"/>
              <w:rPr>
                <w:rFonts w:hint="eastAsia"/>
                <w:lang w:val="en-US" w:eastAsia="zh-CN"/>
              </w:rPr>
            </w:pPr>
            <w:r>
              <w:rPr>
                <w:rFonts w:hint="default"/>
                <w:lang w:val="en-US" w:eastAsia="zh-CN"/>
              </w:rPr>
              <w:t>C类</w:t>
            </w:r>
          </w:p>
        </w:tc>
        <w:tc>
          <w:tcPr>
            <w:tcW w:w="1914" w:type="dxa"/>
          </w:tcPr>
          <w:p w14:paraId="6A8B8AE1">
            <w:pPr>
              <w:pStyle w:val="57"/>
              <w:spacing w:line="360" w:lineRule="auto"/>
              <w:ind w:firstLine="420"/>
              <w:rPr>
                <w:rFonts w:hint="eastAsia"/>
                <w:lang w:val="en-US" w:eastAsia="zh-CN"/>
              </w:rPr>
            </w:pPr>
            <w:r>
              <w:rPr>
                <w:rFonts w:hint="default"/>
                <w:lang w:val="en-US" w:eastAsia="zh-CN"/>
              </w:rPr>
              <w:t>核酸扩增（如RT-PCR）</w:t>
            </w:r>
          </w:p>
        </w:tc>
        <w:tc>
          <w:tcPr>
            <w:tcW w:w="1914" w:type="dxa"/>
          </w:tcPr>
          <w:p w14:paraId="7F7544B9">
            <w:pPr>
              <w:pStyle w:val="57"/>
              <w:spacing w:line="360" w:lineRule="auto"/>
              <w:ind w:firstLine="420"/>
              <w:rPr>
                <w:rFonts w:hint="eastAsia"/>
                <w:lang w:val="en-US" w:eastAsia="zh-CN"/>
              </w:rPr>
            </w:pPr>
            <w:r>
              <w:rPr>
                <w:rFonts w:hint="default"/>
                <w:lang w:val="en-US" w:eastAsia="zh-CN"/>
              </w:rPr>
              <w:t>病毒/细菌核酸</w:t>
            </w:r>
          </w:p>
        </w:tc>
        <w:tc>
          <w:tcPr>
            <w:tcW w:w="1914" w:type="dxa"/>
          </w:tcPr>
          <w:p w14:paraId="7AAB24C3">
            <w:pPr>
              <w:pStyle w:val="57"/>
              <w:spacing w:line="360" w:lineRule="auto"/>
              <w:ind w:firstLine="420"/>
              <w:rPr>
                <w:rFonts w:hint="eastAsia"/>
                <w:lang w:val="en-US" w:eastAsia="zh-CN"/>
              </w:rPr>
            </w:pPr>
            <w:r>
              <w:rPr>
                <w:rFonts w:hint="default"/>
                <w:lang w:val="en-US" w:eastAsia="zh-CN"/>
              </w:rPr>
              <w:t>实验室确证检测</w:t>
            </w:r>
          </w:p>
        </w:tc>
        <w:tc>
          <w:tcPr>
            <w:tcW w:w="1914" w:type="dxa"/>
          </w:tcPr>
          <w:p w14:paraId="6450CEA3">
            <w:pPr>
              <w:pStyle w:val="57"/>
              <w:spacing w:line="360" w:lineRule="auto"/>
              <w:ind w:firstLine="420"/>
              <w:rPr>
                <w:rFonts w:hint="eastAsia"/>
                <w:lang w:val="en-US" w:eastAsia="zh-CN"/>
              </w:rPr>
            </w:pPr>
            <w:r>
              <w:rPr>
                <w:rFonts w:hint="default"/>
                <w:lang w:val="en-US" w:eastAsia="zh-CN"/>
              </w:rPr>
              <w:t>检出限、特异性、抑制效应</w:t>
            </w:r>
          </w:p>
        </w:tc>
      </w:tr>
    </w:tbl>
    <w:p w14:paraId="476CF4A2">
      <w:pPr>
        <w:pStyle w:val="57"/>
        <w:spacing w:line="360" w:lineRule="auto"/>
        <w:ind w:firstLine="420"/>
        <w:rPr>
          <w:rFonts w:hint="eastAsia"/>
          <w:lang w:val="en-US" w:eastAsia="zh-CN"/>
        </w:rPr>
      </w:pPr>
      <w:r>
        <w:rPr>
          <w:rFonts w:hint="eastAsia"/>
          <w:lang w:val="en-US" w:eastAsia="zh-CN"/>
        </w:rPr>
        <w:t>企业或监管机构可根据产品适用范围、检测场景和风险等级，在以上分类基础上制定差异化的技术评价方案。</w:t>
      </w:r>
    </w:p>
    <w:p w14:paraId="6DAF84F8">
      <w:pPr>
        <w:pStyle w:val="105"/>
        <w:spacing w:before="240" w:after="240" w:line="360" w:lineRule="auto"/>
        <w:rPr>
          <w:rFonts w:hint="eastAsia"/>
          <w:szCs w:val="21"/>
          <w:lang w:val="en-US" w:eastAsia="zh-CN"/>
        </w:rPr>
      </w:pPr>
      <w:bookmarkStart w:id="54" w:name="_Toc14740"/>
      <w:r>
        <w:rPr>
          <w:rFonts w:hint="eastAsia"/>
          <w:szCs w:val="21"/>
          <w:lang w:val="en-US" w:eastAsia="zh-CN"/>
        </w:rPr>
        <w:t>性能技术指标</w:t>
      </w:r>
      <w:bookmarkEnd w:id="54"/>
    </w:p>
    <w:p w14:paraId="42D06617">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灵敏度</w:t>
      </w:r>
    </w:p>
    <w:p w14:paraId="6368E9FE">
      <w:pPr>
        <w:pStyle w:val="57"/>
        <w:spacing w:line="360" w:lineRule="auto"/>
        <w:ind w:firstLine="420"/>
        <w:rPr>
          <w:rFonts w:hint="eastAsia"/>
          <w:lang w:val="en-US" w:eastAsia="zh-CN"/>
        </w:rPr>
      </w:pPr>
      <w:r>
        <w:rPr>
          <w:rFonts w:hint="eastAsia"/>
          <w:lang w:val="en-US" w:eastAsia="zh-CN"/>
        </w:rPr>
        <w:t>灵敏度反映试纸条在低浓度目标物条件下的检出能力，是判断其早期诊断与低负载感染筛查能力的重要指标。评价时应以经确认阳性样本为基础，进行梯度稀释试验或限量检出测试。检测方式分两种：</w:t>
      </w:r>
    </w:p>
    <w:p w14:paraId="2BED2161">
      <w:pPr>
        <w:pStyle w:val="57"/>
        <w:spacing w:line="360" w:lineRule="auto"/>
        <w:ind w:firstLine="420"/>
        <w:rPr>
          <w:rFonts w:hint="eastAsia"/>
          <w:lang w:val="en-US" w:eastAsia="zh-CN"/>
        </w:rPr>
      </w:pPr>
      <w:r>
        <w:rPr>
          <w:rFonts w:hint="eastAsia"/>
          <w:lang w:val="en-US" w:eastAsia="zh-CN"/>
        </w:rPr>
        <w:t>定性检测：以阳性符合率表示，推荐不少于30份阳性样本，阳性符合率应≥90%。</w:t>
      </w:r>
    </w:p>
    <w:p w14:paraId="630DA216">
      <w:pPr>
        <w:pStyle w:val="57"/>
        <w:spacing w:line="360" w:lineRule="auto"/>
        <w:ind w:firstLine="420"/>
        <w:rPr>
          <w:rFonts w:hint="eastAsia"/>
          <w:lang w:val="en-US" w:eastAsia="zh-CN"/>
        </w:rPr>
      </w:pPr>
      <w:r>
        <w:rPr>
          <w:rFonts w:hint="eastAsia"/>
          <w:lang w:val="en-US" w:eastAsia="zh-CN"/>
        </w:rPr>
        <w:t>定量/半定量检测：应标明检出限（LoD）及最低检出浓度的CV值，建议检出限不高于同类国家参考产品。样本选取应覆盖目标畜禽多个感染阶段，必要时引入国际参考标准或典型毒株提取物作为阳性参考物。</w:t>
      </w:r>
    </w:p>
    <w:p w14:paraId="73DC2E10">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特异性</w:t>
      </w:r>
    </w:p>
    <w:p w14:paraId="048832B7">
      <w:pPr>
        <w:pStyle w:val="57"/>
        <w:spacing w:line="360" w:lineRule="auto"/>
        <w:ind w:firstLine="420"/>
        <w:rPr>
          <w:rFonts w:hint="eastAsia"/>
          <w:lang w:val="en-US" w:eastAsia="zh-CN"/>
        </w:rPr>
      </w:pPr>
      <w:r>
        <w:rPr>
          <w:rFonts w:hint="eastAsia"/>
          <w:lang w:val="en-US" w:eastAsia="zh-CN"/>
        </w:rPr>
        <w:t>特异性用于评价试纸条识别非靶标样本的排除能力，避免出现假阳性干扰。交叉病原、相关疫苗或宿主背景样本进行验证。推荐使用不少于30份经确认为阴性的样本，阴性符合率应≥95%。对于易混淆目标物（如血清型近似病原、共感染病原），应开展交叉反应检测并报告试纸条的抗原/抗体反应谱。</w:t>
      </w:r>
    </w:p>
    <w:p w14:paraId="046F0B7E">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重复性</w:t>
      </w:r>
    </w:p>
    <w:p w14:paraId="788C7B3D">
      <w:pPr>
        <w:pStyle w:val="57"/>
        <w:spacing w:line="360" w:lineRule="auto"/>
        <w:ind w:firstLine="420"/>
        <w:rPr>
          <w:rFonts w:hint="eastAsia"/>
          <w:lang w:val="en-US" w:eastAsia="zh-CN"/>
        </w:rPr>
      </w:pPr>
      <w:r>
        <w:rPr>
          <w:rFonts w:hint="eastAsia"/>
          <w:lang w:val="en-US" w:eastAsia="zh-CN"/>
        </w:rPr>
        <w:t>重复性评价应通过同一试纸条、同一操作者、相同条件下对同一样本进行连续检测（≥5次）。定性产品的结果一致率应≥95%；定量产品的相对标准偏差（RSD）应≤15%。</w:t>
      </w:r>
    </w:p>
    <w:p w14:paraId="75DE5A03">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稳定性</w:t>
      </w:r>
    </w:p>
    <w:p w14:paraId="3902D6F8">
      <w:pPr>
        <w:pStyle w:val="57"/>
        <w:spacing w:line="360" w:lineRule="auto"/>
        <w:ind w:firstLine="420"/>
        <w:rPr>
          <w:rFonts w:hint="eastAsia"/>
          <w:lang w:val="en-US" w:eastAsia="zh-CN"/>
        </w:rPr>
      </w:pPr>
      <w:r>
        <w:rPr>
          <w:rFonts w:hint="eastAsia"/>
          <w:lang w:val="en-US" w:eastAsia="zh-CN"/>
        </w:rPr>
        <w:t>试纸条的性能稳定性应覆盖多个层面，包括：</w:t>
      </w:r>
    </w:p>
    <w:p w14:paraId="3E442AA3">
      <w:pPr>
        <w:pStyle w:val="57"/>
        <w:spacing w:line="360" w:lineRule="auto"/>
        <w:ind w:firstLine="420"/>
        <w:rPr>
          <w:rFonts w:hint="eastAsia"/>
          <w:lang w:val="en-US" w:eastAsia="zh-CN"/>
        </w:rPr>
      </w:pPr>
      <w:r>
        <w:rPr>
          <w:rFonts w:hint="eastAsia"/>
          <w:lang w:val="en-US" w:eastAsia="zh-CN"/>
        </w:rPr>
        <w:t>实时稳定性：验证产品在正常储存周期内（如12个月）的性能变化。</w:t>
      </w:r>
    </w:p>
    <w:p w14:paraId="688A81C2">
      <w:pPr>
        <w:pStyle w:val="57"/>
        <w:spacing w:line="360" w:lineRule="auto"/>
        <w:ind w:firstLine="420"/>
        <w:rPr>
          <w:rFonts w:hint="eastAsia"/>
          <w:lang w:val="en-US" w:eastAsia="zh-CN"/>
        </w:rPr>
      </w:pPr>
      <w:r>
        <w:rPr>
          <w:rFonts w:hint="eastAsia"/>
          <w:lang w:val="en-US" w:eastAsia="zh-CN"/>
        </w:rPr>
        <w:t>加速稳定性：在高温（如40℃±2℃）条件下放置7天，评估其降解趋势。</w:t>
      </w:r>
    </w:p>
    <w:p w14:paraId="2663F62E">
      <w:pPr>
        <w:pStyle w:val="57"/>
        <w:spacing w:line="360" w:lineRule="auto"/>
        <w:ind w:firstLine="420"/>
        <w:rPr>
          <w:rFonts w:hint="eastAsia"/>
          <w:lang w:val="en-US" w:eastAsia="zh-CN"/>
        </w:rPr>
      </w:pPr>
      <w:r>
        <w:rPr>
          <w:rFonts w:hint="eastAsia"/>
          <w:lang w:val="en-US" w:eastAsia="zh-CN"/>
        </w:rPr>
        <w:t>开封稳定性：检测试纸条在开启后不同时间段（如24小时、48小时）的性能变化。</w:t>
      </w:r>
    </w:p>
    <w:p w14:paraId="292F621B">
      <w:pPr>
        <w:pStyle w:val="57"/>
        <w:spacing w:line="360" w:lineRule="auto"/>
        <w:ind w:firstLine="420"/>
        <w:rPr>
          <w:rFonts w:hint="eastAsia"/>
          <w:lang w:val="en-US" w:eastAsia="zh-CN"/>
        </w:rPr>
      </w:pPr>
      <w:r>
        <w:rPr>
          <w:rFonts w:hint="eastAsia"/>
          <w:lang w:val="en-US" w:eastAsia="zh-CN"/>
        </w:rPr>
        <w:t>运输稳定性：模拟常规物流条件（如振动、温度变化）评估对结果的影响。</w:t>
      </w:r>
    </w:p>
    <w:p w14:paraId="7BE44398">
      <w:pPr>
        <w:pStyle w:val="57"/>
        <w:spacing w:line="360" w:lineRule="auto"/>
        <w:ind w:firstLine="420"/>
        <w:rPr>
          <w:rFonts w:hint="eastAsia"/>
          <w:lang w:val="en-US" w:eastAsia="zh-CN"/>
        </w:rPr>
      </w:pPr>
      <w:r>
        <w:rPr>
          <w:rFonts w:hint="eastAsia"/>
          <w:lang w:val="en-US" w:eastAsia="zh-CN"/>
        </w:rPr>
        <w:t>稳定性评价周期、样本数量与频次应结合产品特性设定，结论应涵盖可使用期限建议。</w:t>
      </w:r>
    </w:p>
    <w:p w14:paraId="7C4FD5E9">
      <w:pPr>
        <w:pStyle w:val="105"/>
        <w:spacing w:before="240" w:after="240" w:line="360" w:lineRule="auto"/>
        <w:rPr>
          <w:rFonts w:hint="eastAsia"/>
          <w:szCs w:val="21"/>
          <w:lang w:val="en-US" w:eastAsia="zh-CN"/>
        </w:rPr>
      </w:pPr>
      <w:bookmarkStart w:id="55" w:name="_Toc22227"/>
      <w:r>
        <w:rPr>
          <w:rFonts w:hint="eastAsia"/>
          <w:szCs w:val="21"/>
          <w:lang w:val="en-US" w:eastAsia="zh-CN"/>
        </w:rPr>
        <w:t>操作便捷性与用户体验性评价</w:t>
      </w:r>
      <w:bookmarkEnd w:id="55"/>
    </w:p>
    <w:p w14:paraId="694A3317">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包装与标识</w:t>
      </w:r>
    </w:p>
    <w:p w14:paraId="23CC62C5">
      <w:pPr>
        <w:pStyle w:val="57"/>
        <w:spacing w:line="360" w:lineRule="auto"/>
        <w:ind w:firstLine="420"/>
        <w:rPr>
          <w:rFonts w:hint="eastAsia"/>
          <w:lang w:val="en-US" w:eastAsia="zh-CN"/>
        </w:rPr>
      </w:pPr>
      <w:r>
        <w:rPr>
          <w:rFonts w:hint="eastAsia"/>
          <w:lang w:val="en-US" w:eastAsia="zh-CN"/>
        </w:rPr>
        <w:t>包装应密封良好，标识清晰，包含产品名称、规格、生产日期、有效期、储存条件、生产厂家等信息。说明书应语言简洁、术语规范，结构完整，包含产品用途、适用范围、检测流程、判读方法、注意事项等内容，并附有图示说明。</w:t>
      </w:r>
    </w:p>
    <w:p w14:paraId="125B871C">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操作流程</w:t>
      </w:r>
    </w:p>
    <w:p w14:paraId="1F9F08A2">
      <w:pPr>
        <w:pStyle w:val="57"/>
        <w:spacing w:line="360" w:lineRule="auto"/>
        <w:ind w:firstLine="420"/>
        <w:rPr>
          <w:rFonts w:hint="eastAsia"/>
          <w:lang w:val="en-US" w:eastAsia="zh-CN"/>
        </w:rPr>
      </w:pPr>
      <w:r>
        <w:rPr>
          <w:rFonts w:hint="eastAsia"/>
          <w:lang w:val="en-US" w:eastAsia="zh-CN"/>
        </w:rPr>
        <w:t>操作流程应简洁明了，易于理解，减少操作步骤和等待时间。推荐采用一步加样法，减少人为误差。</w:t>
      </w:r>
    </w:p>
    <w:p w14:paraId="3AE61A8E">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结果判读</w:t>
      </w:r>
    </w:p>
    <w:p w14:paraId="57ABB69C">
      <w:pPr>
        <w:pStyle w:val="57"/>
        <w:spacing w:line="360" w:lineRule="auto"/>
        <w:ind w:firstLine="420"/>
        <w:rPr>
          <w:rFonts w:hint="eastAsia"/>
          <w:lang w:val="en-US" w:eastAsia="zh-CN"/>
        </w:rPr>
      </w:pPr>
      <w:r>
        <w:rPr>
          <w:rFonts w:hint="eastAsia"/>
          <w:lang w:val="en-US" w:eastAsia="zh-CN"/>
        </w:rPr>
        <w:t>结果判读应直观清晰，可通过颜色变化、线条显现等方式快速判断。推荐设置对照线（C线）和检测线（T线），便于用户自我验证检测有效性。</w:t>
      </w:r>
    </w:p>
    <w:p w14:paraId="30AA9BA4">
      <w:pPr>
        <w:pStyle w:val="105"/>
        <w:spacing w:before="240" w:after="240" w:line="360" w:lineRule="auto"/>
        <w:rPr>
          <w:rFonts w:hint="eastAsia"/>
          <w:szCs w:val="21"/>
          <w:lang w:val="en-US" w:eastAsia="zh-CN"/>
        </w:rPr>
      </w:pPr>
      <w:bookmarkStart w:id="56" w:name="_Toc20350"/>
      <w:r>
        <w:rPr>
          <w:rFonts w:hint="eastAsia"/>
          <w:szCs w:val="21"/>
          <w:lang w:val="en-US" w:eastAsia="zh-CN"/>
        </w:rPr>
        <w:t>质量评价程序与判定</w:t>
      </w:r>
      <w:bookmarkEnd w:id="56"/>
    </w:p>
    <w:p w14:paraId="798C75CA">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评价程序</w:t>
      </w:r>
    </w:p>
    <w:p w14:paraId="53622AF5">
      <w:pPr>
        <w:pStyle w:val="57"/>
        <w:spacing w:line="360" w:lineRule="auto"/>
        <w:ind w:firstLine="420"/>
        <w:rPr>
          <w:rFonts w:hint="eastAsia"/>
          <w:lang w:val="en-US" w:eastAsia="zh-CN"/>
        </w:rPr>
      </w:pPr>
      <w:r>
        <w:rPr>
          <w:rFonts w:hint="eastAsia"/>
          <w:lang w:val="en-US" w:eastAsia="zh-CN"/>
        </w:rPr>
        <w:t>质量评价程序应包括样品准备、性能测试、数据分析、结果判定等环节。具体流程如下：</w:t>
      </w:r>
    </w:p>
    <w:p w14:paraId="57C29B30">
      <w:pPr>
        <w:pStyle w:val="57"/>
        <w:spacing w:line="360" w:lineRule="auto"/>
        <w:ind w:firstLine="420"/>
        <w:rPr>
          <w:rFonts w:hint="eastAsia"/>
          <w:lang w:val="en-US" w:eastAsia="zh-CN"/>
        </w:rPr>
      </w:pPr>
      <w:r>
        <w:rPr>
          <w:rFonts w:hint="eastAsia"/>
          <w:lang w:val="en-US" w:eastAsia="zh-CN"/>
        </w:rPr>
        <w:t>样品准备：选取具有代表性的阳性样本和阴性样本，确保样本数量充足且符合评价要求。</w:t>
      </w:r>
    </w:p>
    <w:p w14:paraId="0301EA5E">
      <w:pPr>
        <w:pStyle w:val="57"/>
        <w:spacing w:line="360" w:lineRule="auto"/>
        <w:ind w:firstLine="420"/>
        <w:rPr>
          <w:rFonts w:hint="eastAsia"/>
          <w:lang w:val="en-US" w:eastAsia="zh-CN"/>
        </w:rPr>
      </w:pPr>
      <w:r>
        <w:rPr>
          <w:rFonts w:hint="eastAsia"/>
          <w:lang w:val="en-US" w:eastAsia="zh-CN"/>
        </w:rPr>
        <w:t>性能测试：按照本文件规定的性能技术指标进行测试，记录测试数据。</w:t>
      </w:r>
    </w:p>
    <w:p w14:paraId="7D85A507">
      <w:pPr>
        <w:pStyle w:val="57"/>
        <w:spacing w:line="360" w:lineRule="auto"/>
        <w:ind w:firstLine="420"/>
        <w:rPr>
          <w:rFonts w:hint="eastAsia"/>
          <w:lang w:val="en-US" w:eastAsia="zh-CN"/>
        </w:rPr>
      </w:pPr>
      <w:r>
        <w:rPr>
          <w:rFonts w:hint="eastAsia"/>
          <w:lang w:val="en-US" w:eastAsia="zh-CN"/>
        </w:rPr>
        <w:t>数据分析：对测试数据进行统计分析，计算各项性能指标。</w:t>
      </w:r>
    </w:p>
    <w:p w14:paraId="2B97F466">
      <w:pPr>
        <w:pStyle w:val="57"/>
        <w:spacing w:line="360" w:lineRule="auto"/>
        <w:ind w:firstLine="420"/>
        <w:rPr>
          <w:rFonts w:hint="eastAsia"/>
          <w:lang w:val="en-US" w:eastAsia="zh-CN"/>
        </w:rPr>
      </w:pPr>
      <w:r>
        <w:rPr>
          <w:rFonts w:hint="eastAsia"/>
          <w:lang w:val="en-US" w:eastAsia="zh-CN"/>
        </w:rPr>
        <w:t>结果判定：根据数据分析结果，对照本文件规定的判定标准，得出质量评价结论。</w:t>
      </w:r>
    </w:p>
    <w:p w14:paraId="4B04A1B9">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结果判定</w:t>
      </w:r>
    </w:p>
    <w:p w14:paraId="73F4A0CF">
      <w:pPr>
        <w:pStyle w:val="57"/>
        <w:spacing w:line="360" w:lineRule="auto"/>
        <w:ind w:firstLine="420"/>
        <w:rPr>
          <w:rFonts w:hint="eastAsia"/>
          <w:lang w:val="en-US" w:eastAsia="zh-CN"/>
        </w:rPr>
      </w:pPr>
      <w:r>
        <w:rPr>
          <w:rFonts w:hint="eastAsia"/>
          <w:lang w:val="en-US" w:eastAsia="zh-CN"/>
        </w:rPr>
        <w:t>根据性能测试结果，对试纸条的质量进行综合评价。各项性能指标均符合本文件规定的，判定为合格；任一项性能指标不符合规定的，判定为不合格。</w:t>
      </w:r>
    </w:p>
    <w:p w14:paraId="12F2098B">
      <w:pPr>
        <w:pStyle w:val="105"/>
        <w:spacing w:before="240" w:after="240" w:line="360" w:lineRule="auto"/>
        <w:rPr>
          <w:rFonts w:hint="eastAsia"/>
          <w:szCs w:val="21"/>
          <w:lang w:val="en-US" w:eastAsia="zh-CN"/>
        </w:rPr>
      </w:pPr>
      <w:bookmarkStart w:id="57" w:name="_Toc24567"/>
      <w:r>
        <w:rPr>
          <w:rFonts w:hint="eastAsia"/>
          <w:szCs w:val="21"/>
          <w:lang w:val="en-US" w:eastAsia="zh-CN"/>
        </w:rPr>
        <w:t>监督与管理</w:t>
      </w:r>
      <w:bookmarkEnd w:id="57"/>
    </w:p>
    <w:p w14:paraId="37E149F3">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质量保证体系</w:t>
      </w:r>
    </w:p>
    <w:p w14:paraId="2568EF90">
      <w:pPr>
        <w:pStyle w:val="57"/>
        <w:spacing w:line="360" w:lineRule="auto"/>
        <w:ind w:firstLine="420"/>
        <w:rPr>
          <w:rFonts w:hint="eastAsia"/>
          <w:lang w:val="en-US" w:eastAsia="zh-CN"/>
        </w:rPr>
      </w:pPr>
      <w:r>
        <w:rPr>
          <w:rFonts w:hint="eastAsia"/>
          <w:lang w:val="en-US" w:eastAsia="zh-CN"/>
        </w:rPr>
        <w:t>建立完善的质量保证体系，明确各级人员的职责和权限，确保数据质量控制措施的有效实施。</w:t>
      </w:r>
    </w:p>
    <w:p w14:paraId="19CBC1F7">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档案管理</w:t>
      </w:r>
    </w:p>
    <w:p w14:paraId="4434A4F2">
      <w:pPr>
        <w:pStyle w:val="57"/>
        <w:spacing w:line="360" w:lineRule="auto"/>
        <w:ind w:firstLine="420"/>
        <w:rPr>
          <w:rFonts w:hint="eastAsia"/>
          <w:lang w:val="en-US" w:eastAsia="zh-CN"/>
        </w:rPr>
      </w:pPr>
      <w:r>
        <w:rPr>
          <w:rFonts w:hint="eastAsia"/>
          <w:lang w:val="en-US" w:eastAsia="zh-CN"/>
        </w:rPr>
        <w:t>原始数据、处理记录及成果报告等档案资料应保存完整，保存期限不少于10年。</w:t>
      </w:r>
    </w:p>
    <w:p w14:paraId="6C87685E">
      <w:pPr>
        <w:pStyle w:val="57"/>
        <w:spacing w:line="360" w:lineRule="auto"/>
        <w:ind w:firstLine="420"/>
        <w:rPr>
          <w:rFonts w:hint="eastAsia"/>
          <w:lang w:val="en-US" w:eastAsia="zh-CN"/>
        </w:rPr>
      </w:pPr>
      <w:r>
        <w:rPr>
          <w:rFonts w:hint="eastAsia"/>
          <w:lang w:val="en-US" w:eastAsia="zh-CN"/>
        </w:rPr>
        <w:t>采用电子化档案管理系统，支持快速检索与追溯。</w:t>
      </w:r>
    </w:p>
    <w:p w14:paraId="4F3C48FA">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持续改进</w:t>
      </w:r>
    </w:p>
    <w:p w14:paraId="2627DC9A">
      <w:pPr>
        <w:pStyle w:val="57"/>
        <w:spacing w:line="360" w:lineRule="auto"/>
        <w:ind w:firstLine="420"/>
        <w:rPr>
          <w:rFonts w:hint="eastAsia"/>
          <w:lang w:val="en-US" w:eastAsia="zh-CN"/>
        </w:rPr>
      </w:pPr>
      <w:r>
        <w:rPr>
          <w:rFonts w:hint="eastAsia"/>
          <w:lang w:val="en-US" w:eastAsia="zh-CN"/>
        </w:rPr>
        <w:t>根据技术发展及政策需求，定期对本标准进行评审和修订，</w:t>
      </w:r>
      <w:bookmarkStart w:id="58" w:name="_GoBack"/>
      <w:bookmarkEnd w:id="58"/>
      <w:r>
        <w:rPr>
          <w:rFonts w:hint="eastAsia"/>
          <w:lang w:val="en-US" w:eastAsia="zh-CN"/>
        </w:rPr>
        <w:t>推动技术创新和标准优化。</w:t>
      </w:r>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2"/>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2"/>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2"/>
    </w:pPr>
    <w:r>
      <w:fldChar w:fldCharType="begin"/>
    </w:r>
    <w:r>
      <w:instrText xml:space="preserve"> STYLEREF  标准文件_文件编号  \* MERGEFORMAT </w:instrText>
    </w:r>
    <w:r>
      <w:fldChar w:fldCharType="separate"/>
    </w:r>
    <w:r>
      <w:t>T/XZBX 0121—2025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0121—2025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2"/>
    </w:pPr>
    <w:r>
      <w:fldChar w:fldCharType="begin"/>
    </w:r>
    <w:r>
      <w:instrText xml:space="preserve"> STYLEREF  标准文件_文件编号  \* MERGEFORMAT </w:instrText>
    </w:r>
    <w:r>
      <w:fldChar w:fldCharType="separate"/>
    </w:r>
    <w:r>
      <w:t>T/XZBX 0121—2025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0121—2025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2"/>
    </w:pPr>
    <w:r>
      <w:fldChar w:fldCharType="begin"/>
    </w:r>
    <w:r>
      <w:instrText xml:space="preserve"> STYLEREF  标准文件_文件编号  \* MERGEFORMAT </w:instrText>
    </w:r>
    <w:r>
      <w:fldChar w:fldCharType="separate"/>
    </w:r>
    <w:r>
      <w:t>T/XZBX 0121—2025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0121—2025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2"/>
    </w:pPr>
    <w:r>
      <w:fldChar w:fldCharType="begin"/>
    </w:r>
    <w:r>
      <w:instrText xml:space="preserve"> STYLEREF  标准文件_文件编号  \* MERGEFORMAT </w:instrText>
    </w:r>
    <w:r>
      <w:fldChar w:fldCharType="separate"/>
    </w:r>
    <w:r>
      <w:t>T/XZBX 0121—2025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0121—2025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0483"/>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14809"/>
    <w:rsid w:val="02063AB2"/>
    <w:rsid w:val="0227136C"/>
    <w:rsid w:val="02571F5F"/>
    <w:rsid w:val="04C133B2"/>
    <w:rsid w:val="04D644D2"/>
    <w:rsid w:val="056C5A14"/>
    <w:rsid w:val="0594649B"/>
    <w:rsid w:val="06450013"/>
    <w:rsid w:val="067676BD"/>
    <w:rsid w:val="083D5267"/>
    <w:rsid w:val="09EA5159"/>
    <w:rsid w:val="0A5B6057"/>
    <w:rsid w:val="0BAE0408"/>
    <w:rsid w:val="0C1F583D"/>
    <w:rsid w:val="0C796C68"/>
    <w:rsid w:val="0FD22917"/>
    <w:rsid w:val="10352EA6"/>
    <w:rsid w:val="119836EC"/>
    <w:rsid w:val="11A5092B"/>
    <w:rsid w:val="11B20C52"/>
    <w:rsid w:val="123C051C"/>
    <w:rsid w:val="13225964"/>
    <w:rsid w:val="13611C3D"/>
    <w:rsid w:val="1367270D"/>
    <w:rsid w:val="14B52807"/>
    <w:rsid w:val="15227E9D"/>
    <w:rsid w:val="16104199"/>
    <w:rsid w:val="16B94831"/>
    <w:rsid w:val="176C54EA"/>
    <w:rsid w:val="18115FA7"/>
    <w:rsid w:val="18C67773"/>
    <w:rsid w:val="194523AC"/>
    <w:rsid w:val="195E521C"/>
    <w:rsid w:val="19996E8D"/>
    <w:rsid w:val="19CF06A0"/>
    <w:rsid w:val="1ACA4340"/>
    <w:rsid w:val="1BC616CD"/>
    <w:rsid w:val="1D9A07EC"/>
    <w:rsid w:val="1F554A44"/>
    <w:rsid w:val="1FF24E4E"/>
    <w:rsid w:val="202F16C0"/>
    <w:rsid w:val="234E00AF"/>
    <w:rsid w:val="23AE5EF7"/>
    <w:rsid w:val="250F386E"/>
    <w:rsid w:val="258A1146"/>
    <w:rsid w:val="25956469"/>
    <w:rsid w:val="280671AA"/>
    <w:rsid w:val="28AC6949"/>
    <w:rsid w:val="28CB3F50"/>
    <w:rsid w:val="2A247DBB"/>
    <w:rsid w:val="2A4D10C0"/>
    <w:rsid w:val="2B41674B"/>
    <w:rsid w:val="2B4D4497"/>
    <w:rsid w:val="2BAF1907"/>
    <w:rsid w:val="2BFE65C2"/>
    <w:rsid w:val="2C7B4F1A"/>
    <w:rsid w:val="2C90587C"/>
    <w:rsid w:val="2CDE24A4"/>
    <w:rsid w:val="2CFB12A7"/>
    <w:rsid w:val="2DCF44E2"/>
    <w:rsid w:val="2FBF58A6"/>
    <w:rsid w:val="2FC71A29"/>
    <w:rsid w:val="30185CCC"/>
    <w:rsid w:val="30234671"/>
    <w:rsid w:val="33890C8F"/>
    <w:rsid w:val="33F61CAC"/>
    <w:rsid w:val="34980849"/>
    <w:rsid w:val="34CD1F56"/>
    <w:rsid w:val="36136B10"/>
    <w:rsid w:val="36462E68"/>
    <w:rsid w:val="38844435"/>
    <w:rsid w:val="39423DBA"/>
    <w:rsid w:val="39AD1CD6"/>
    <w:rsid w:val="3AD924FC"/>
    <w:rsid w:val="3B27385D"/>
    <w:rsid w:val="3B9C63F9"/>
    <w:rsid w:val="3C1E74E7"/>
    <w:rsid w:val="3D031FD4"/>
    <w:rsid w:val="3D09631F"/>
    <w:rsid w:val="3D65451B"/>
    <w:rsid w:val="401C07FB"/>
    <w:rsid w:val="42293D69"/>
    <w:rsid w:val="427A2817"/>
    <w:rsid w:val="429D02B3"/>
    <w:rsid w:val="42EA346B"/>
    <w:rsid w:val="433E1A96"/>
    <w:rsid w:val="443D5731"/>
    <w:rsid w:val="44983428"/>
    <w:rsid w:val="46AB11F1"/>
    <w:rsid w:val="46DF70EC"/>
    <w:rsid w:val="47203CF1"/>
    <w:rsid w:val="47310761"/>
    <w:rsid w:val="48972517"/>
    <w:rsid w:val="48BF5427"/>
    <w:rsid w:val="48F00742"/>
    <w:rsid w:val="495A7BA0"/>
    <w:rsid w:val="4AC80D07"/>
    <w:rsid w:val="4CEA0599"/>
    <w:rsid w:val="4E04568A"/>
    <w:rsid w:val="4F0911AA"/>
    <w:rsid w:val="4F3124AF"/>
    <w:rsid w:val="50242014"/>
    <w:rsid w:val="510A745C"/>
    <w:rsid w:val="51527191"/>
    <w:rsid w:val="51962A9D"/>
    <w:rsid w:val="51986815"/>
    <w:rsid w:val="53234AA5"/>
    <w:rsid w:val="53890B0C"/>
    <w:rsid w:val="54322F51"/>
    <w:rsid w:val="552C79A0"/>
    <w:rsid w:val="55515659"/>
    <w:rsid w:val="55911EF9"/>
    <w:rsid w:val="565F5B54"/>
    <w:rsid w:val="585316E8"/>
    <w:rsid w:val="58676F42"/>
    <w:rsid w:val="588B70D4"/>
    <w:rsid w:val="59AA17DC"/>
    <w:rsid w:val="59D96484"/>
    <w:rsid w:val="5AA82FEB"/>
    <w:rsid w:val="5BA81D4B"/>
    <w:rsid w:val="5DAE61D8"/>
    <w:rsid w:val="5DBE5856"/>
    <w:rsid w:val="5F5C378C"/>
    <w:rsid w:val="5FAB3BB8"/>
    <w:rsid w:val="6008725C"/>
    <w:rsid w:val="60792979"/>
    <w:rsid w:val="60C50CA9"/>
    <w:rsid w:val="61DE0274"/>
    <w:rsid w:val="62CE02E9"/>
    <w:rsid w:val="63422A85"/>
    <w:rsid w:val="64562060"/>
    <w:rsid w:val="64AD2180"/>
    <w:rsid w:val="65705687"/>
    <w:rsid w:val="658E3D60"/>
    <w:rsid w:val="65B73BCD"/>
    <w:rsid w:val="665B26BA"/>
    <w:rsid w:val="66E77BCB"/>
    <w:rsid w:val="685D4B5B"/>
    <w:rsid w:val="68846345"/>
    <w:rsid w:val="68F62348"/>
    <w:rsid w:val="6912299F"/>
    <w:rsid w:val="69407A67"/>
    <w:rsid w:val="694C1F68"/>
    <w:rsid w:val="6B4C26F3"/>
    <w:rsid w:val="6B60619E"/>
    <w:rsid w:val="6BF559D1"/>
    <w:rsid w:val="6C351337"/>
    <w:rsid w:val="6CE55009"/>
    <w:rsid w:val="6D940381"/>
    <w:rsid w:val="6F655B31"/>
    <w:rsid w:val="6FA80114"/>
    <w:rsid w:val="71357785"/>
    <w:rsid w:val="71C15049"/>
    <w:rsid w:val="72653996"/>
    <w:rsid w:val="72695938"/>
    <w:rsid w:val="72A921D9"/>
    <w:rsid w:val="7367064C"/>
    <w:rsid w:val="756B293B"/>
    <w:rsid w:val="75D03F20"/>
    <w:rsid w:val="78AD1F12"/>
    <w:rsid w:val="79A4194C"/>
    <w:rsid w:val="7AA54A68"/>
    <w:rsid w:val="7BAE0860"/>
    <w:rsid w:val="7C093CE8"/>
    <w:rsid w:val="7C1E59E5"/>
    <w:rsid w:val="7CCE07E8"/>
    <w:rsid w:val="7D5D41EC"/>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12</Pages>
  <Words>3306</Words>
  <Characters>3534</Characters>
  <Lines>48</Lines>
  <Paragraphs>13</Paragraphs>
  <TotalTime>3</TotalTime>
  <ScaleCrop>false</ScaleCrop>
  <LinksUpToDate>false</LinksUpToDate>
  <CharactersWithSpaces>3605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2025-10-31T01:55:56Z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eyJoZGlkIjoiZDE0YjJmN2Y1YzFkNjlmYjlkYTI4YTI1MzIwNzJiMDMiLCJ1c2VySWQiOiIxNDE1OTEzOTEwIn0=</vt:lpwstr>
  </property>
  <property fmtid="{D5CDD505-2E9C-101B-9397-08002B2CF9AE}" pid="16" name="KSOProductBuildVer">
    <vt:lpwstr>2052-12.1.0.23542</vt:lpwstr>
  </property>
  <property fmtid="{D5CDD505-2E9C-101B-9397-08002B2CF9AE}" pid="17" name="ICV">
    <vt:lpwstr>A30C2BEBB02B4030816E82C94804B5C9_12</vt:lpwstr>
  </property>
</Properties>
</file>