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13.080.05"/>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13.080.05</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A 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A 01</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0"/>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0120</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土壤重金属快速监测数据质量控制实施要点"/>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土壤重金属快速监测数据质量控制实施要点</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Implementation Key Points for Quality Control of Rapid Monitoring Data of Heavy Metals in Soil"/>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Implementation Key Points for Quality Control of Rapid Monitoring Data of Heavy Metals in Soil</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38E242CA">
      <w:pPr>
        <w:pStyle w:val="19"/>
        <w:tabs>
          <w:tab w:val="right" w:leader="dot" w:pos="9354"/>
        </w:tabs>
      </w:pPr>
      <w:r>
        <w:fldChar w:fldCharType="begin"/>
      </w:r>
      <w:r>
        <w:instrText xml:space="preserve"> TOC \o "1-1" \h </w:instrText>
      </w:r>
      <w:r>
        <w:fldChar w:fldCharType="separate"/>
      </w:r>
      <w:r>
        <w:fldChar w:fldCharType="begin"/>
      </w:r>
      <w:r>
        <w:instrText xml:space="preserve"> HYPERLINK \l _Toc30949 </w:instrText>
      </w:r>
      <w:r>
        <w:fldChar w:fldCharType="separate"/>
      </w:r>
      <w:r>
        <w:rPr>
          <w:spacing w:val="320"/>
        </w:rPr>
        <w:t>前</w:t>
      </w:r>
      <w:r>
        <w:t>言</w:t>
      </w:r>
      <w:r>
        <w:tab/>
      </w:r>
      <w:r>
        <w:fldChar w:fldCharType="begin"/>
      </w:r>
      <w:r>
        <w:instrText xml:space="preserve"> PAGEREF _Toc30949 \h </w:instrText>
      </w:r>
      <w:r>
        <w:fldChar w:fldCharType="separate"/>
      </w:r>
      <w:r>
        <w:t>III</w:t>
      </w:r>
      <w:r>
        <w:fldChar w:fldCharType="end"/>
      </w:r>
      <w:r>
        <w:fldChar w:fldCharType="end"/>
      </w:r>
    </w:p>
    <w:p w14:paraId="5B623198">
      <w:pPr>
        <w:pStyle w:val="19"/>
        <w:tabs>
          <w:tab w:val="right" w:leader="dot" w:pos="9354"/>
        </w:tabs>
      </w:pPr>
      <w:r>
        <w:fldChar w:fldCharType="begin"/>
      </w:r>
      <w:r>
        <w:instrText xml:space="preserve"> HYPERLINK \l _Toc16302 </w:instrText>
      </w:r>
      <w:r>
        <w:fldChar w:fldCharType="separate"/>
      </w:r>
      <w:r>
        <w:rPr>
          <w:spacing w:val="320"/>
        </w:rPr>
        <w:t>引</w:t>
      </w:r>
      <w:r>
        <w:t>言</w:t>
      </w:r>
      <w:r>
        <w:tab/>
      </w:r>
      <w:r>
        <w:fldChar w:fldCharType="begin"/>
      </w:r>
      <w:r>
        <w:instrText xml:space="preserve"> PAGEREF _Toc16302 \h </w:instrText>
      </w:r>
      <w:r>
        <w:fldChar w:fldCharType="separate"/>
      </w:r>
      <w:r>
        <w:t>V</w:t>
      </w:r>
      <w:r>
        <w:fldChar w:fldCharType="end"/>
      </w:r>
      <w:r>
        <w:fldChar w:fldCharType="end"/>
      </w:r>
    </w:p>
    <w:p w14:paraId="41317171">
      <w:pPr>
        <w:pStyle w:val="19"/>
        <w:tabs>
          <w:tab w:val="right" w:leader="dot" w:pos="9354"/>
        </w:tabs>
      </w:pPr>
      <w:r>
        <w:fldChar w:fldCharType="begin"/>
      </w:r>
      <w:r>
        <w:instrText xml:space="preserve"> HYPERLINK \l _Toc13286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_Toc13286 \h </w:instrText>
      </w:r>
      <w:r>
        <w:fldChar w:fldCharType="separate"/>
      </w:r>
      <w:r>
        <w:t>1</w:t>
      </w:r>
      <w:r>
        <w:fldChar w:fldCharType="end"/>
      </w:r>
      <w:r>
        <w:fldChar w:fldCharType="end"/>
      </w:r>
    </w:p>
    <w:p w14:paraId="7B397B54">
      <w:pPr>
        <w:pStyle w:val="19"/>
        <w:tabs>
          <w:tab w:val="right" w:leader="dot" w:pos="9354"/>
        </w:tabs>
      </w:pPr>
      <w:r>
        <w:fldChar w:fldCharType="begin"/>
      </w:r>
      <w:r>
        <w:instrText xml:space="preserve"> HYPERLINK \l _Toc7096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_Toc7096 \h </w:instrText>
      </w:r>
      <w:r>
        <w:fldChar w:fldCharType="separate"/>
      </w:r>
      <w:r>
        <w:t>1</w:t>
      </w:r>
      <w:r>
        <w:fldChar w:fldCharType="end"/>
      </w:r>
      <w:r>
        <w:fldChar w:fldCharType="end"/>
      </w:r>
    </w:p>
    <w:p w14:paraId="6264F1EF">
      <w:pPr>
        <w:pStyle w:val="19"/>
        <w:tabs>
          <w:tab w:val="right" w:leader="dot" w:pos="9354"/>
        </w:tabs>
      </w:pPr>
      <w:r>
        <w:fldChar w:fldCharType="begin"/>
      </w:r>
      <w:r>
        <w:instrText xml:space="preserve"> HYPERLINK \l _Toc31811 </w:instrText>
      </w:r>
      <w:r>
        <w:fldChar w:fldCharType="separate"/>
      </w:r>
      <w:r>
        <w:rPr>
          <w:rFonts w:hint="eastAsia"/>
          <w:szCs w:val="21"/>
        </w:rPr>
        <w:t>3 术语和定义</w:t>
      </w:r>
      <w:r>
        <w:tab/>
      </w:r>
      <w:r>
        <w:fldChar w:fldCharType="begin"/>
      </w:r>
      <w:r>
        <w:instrText xml:space="preserve"> PAGEREF _Toc31811 \h </w:instrText>
      </w:r>
      <w:r>
        <w:fldChar w:fldCharType="separate"/>
      </w:r>
      <w:r>
        <w:t>1</w:t>
      </w:r>
      <w:r>
        <w:fldChar w:fldCharType="end"/>
      </w:r>
      <w:r>
        <w:fldChar w:fldCharType="end"/>
      </w:r>
    </w:p>
    <w:p w14:paraId="2E12D980">
      <w:pPr>
        <w:pStyle w:val="19"/>
        <w:tabs>
          <w:tab w:val="right" w:leader="dot" w:pos="9354"/>
        </w:tabs>
      </w:pPr>
      <w:r>
        <w:fldChar w:fldCharType="begin"/>
      </w:r>
      <w:r>
        <w:instrText xml:space="preserve"> HYPERLINK \l _Toc8786 </w:instrText>
      </w:r>
      <w:r>
        <w:fldChar w:fldCharType="separate"/>
      </w:r>
      <w:r>
        <w:rPr>
          <w:rFonts w:hint="eastAsia"/>
          <w:szCs w:val="21"/>
          <w:lang w:val="en-US" w:eastAsia="zh-CN"/>
        </w:rPr>
        <w:t>4 数据质量控制要求</w:t>
      </w:r>
      <w:r>
        <w:tab/>
      </w:r>
      <w:r>
        <w:fldChar w:fldCharType="begin"/>
      </w:r>
      <w:r>
        <w:instrText xml:space="preserve"> PAGEREF _Toc8786 \h </w:instrText>
      </w:r>
      <w:r>
        <w:fldChar w:fldCharType="separate"/>
      </w:r>
      <w:r>
        <w:t>1</w:t>
      </w:r>
      <w:r>
        <w:fldChar w:fldCharType="end"/>
      </w:r>
      <w:r>
        <w:fldChar w:fldCharType="end"/>
      </w:r>
    </w:p>
    <w:p w14:paraId="50971D07">
      <w:pPr>
        <w:pStyle w:val="19"/>
        <w:tabs>
          <w:tab w:val="right" w:leader="dot" w:pos="9354"/>
        </w:tabs>
      </w:pPr>
      <w:r>
        <w:fldChar w:fldCharType="begin"/>
      </w:r>
      <w:r>
        <w:instrText xml:space="preserve"> HYPERLINK \l _Toc27142 </w:instrText>
      </w:r>
      <w:r>
        <w:fldChar w:fldCharType="separate"/>
      </w:r>
      <w:r>
        <w:rPr>
          <w:rFonts w:hint="eastAsia"/>
          <w:szCs w:val="21"/>
          <w:lang w:val="en-US" w:eastAsia="zh-CN"/>
        </w:rPr>
        <w:t>5 监督与管理</w:t>
      </w:r>
      <w:r>
        <w:tab/>
      </w:r>
      <w:r>
        <w:fldChar w:fldCharType="begin"/>
      </w:r>
      <w:r>
        <w:instrText xml:space="preserve"> PAGEREF _Toc27142 \h </w:instrText>
      </w:r>
      <w:r>
        <w:fldChar w:fldCharType="separate"/>
      </w:r>
      <w:r>
        <w:t>2</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30949"/>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本文件起草单位：扬州市生态环境监测监控中心</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李晖</w:t>
      </w:r>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6302"/>
      <w:bookmarkStart w:id="26" w:name="_Toc197342206"/>
      <w:bookmarkStart w:id="27" w:name="BookMark3"/>
      <w:r>
        <w:rPr>
          <w:spacing w:val="320"/>
        </w:rPr>
        <w:t>引</w:t>
      </w:r>
      <w:r>
        <w:t>言</w:t>
      </w:r>
      <w:bookmarkEnd w:id="25"/>
      <w:bookmarkEnd w:id="26"/>
    </w:p>
    <w:p w14:paraId="5A8D822F">
      <w:pPr>
        <w:pStyle w:val="57"/>
        <w:spacing w:line="360" w:lineRule="auto"/>
        <w:ind w:firstLine="420"/>
        <w:rPr>
          <w:rFonts w:hint="eastAsia"/>
        </w:rPr>
      </w:pPr>
      <w:r>
        <w:rPr>
          <w:rFonts w:hint="eastAsia"/>
        </w:rPr>
        <w:t>土壤作为生态环境的关键组成部分，其质量状况与人类健康、生态平衡以及农业可持续发展息息相关。其中，土壤重金属污染问题日益凸显，成为制约生态环境与社会经济协调发展的重要因素。快速、准确地监测土壤中重金属的含量，对于及时掌握土壤环境质量、制定科学有效的污染防治策略具有至关重要的意义。</w:t>
      </w:r>
    </w:p>
    <w:p w14:paraId="10A83832">
      <w:pPr>
        <w:pStyle w:val="57"/>
        <w:spacing w:line="360" w:lineRule="auto"/>
        <w:ind w:firstLine="420"/>
        <w:rPr>
          <w:rFonts w:hint="eastAsia"/>
        </w:rPr>
      </w:pPr>
      <w:r>
        <w:rPr>
          <w:rFonts w:hint="eastAsia"/>
        </w:rPr>
        <w:t>当前，土壤重金属快速监测技术不断发展，涵盖了现场快速检测与实验室分析等多种手段。然而，监测数据的准确性、精密性、完整性和可比性，直接关系到监测结果的科学性和可靠性，进而影响土壤环境管理的决策。为确保土壤重金属快速监测数据的质量，规范监测活动全过程，制定统一且严格的数据质量控制要求迫在眉睫。本文件基于土壤重金属快速监测的实际需求，结合国内外相关标准与实践经验，系统规定了从样品采集、现场快速监测、实验室分析，到数据处理及成果报告等各个环节的质量控制措施。文件适用于全国范围内土壤重金属的快速监测活动，旨在为相关监测机构和人员提供明确、可操作的指导，保障监测数据的质量，为土壤环境管理和决策提供坚实的数据支撑，推动我国土壤环境保护事业的健康发展。</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土壤重金属快速监测数据质量控制实施要点</w:t>
          </w:r>
        </w:p>
      </w:sdtContent>
    </w:sdt>
    <w:bookmarkEnd w:id="29"/>
    <w:p w14:paraId="1339BF1A">
      <w:pPr>
        <w:pStyle w:val="105"/>
        <w:spacing w:before="240" w:after="240" w:line="360" w:lineRule="auto"/>
      </w:pPr>
      <w:bookmarkStart w:id="30" w:name="_Toc97192964"/>
      <w:bookmarkStart w:id="31" w:name="_Toc24884218"/>
      <w:bookmarkStart w:id="32" w:name="_Toc26986771"/>
      <w:bookmarkStart w:id="33" w:name="_Toc26986530"/>
      <w:bookmarkStart w:id="34" w:name="_Toc26648465"/>
      <w:bookmarkStart w:id="35" w:name="_Toc17233333"/>
      <w:bookmarkStart w:id="36" w:name="_Toc13286"/>
      <w:bookmarkStart w:id="37" w:name="_Toc24884211"/>
      <w:bookmarkStart w:id="38" w:name="_Toc26718930"/>
      <w:bookmarkStart w:id="39" w:name="_Toc17233325"/>
      <w:bookmarkStart w:id="40" w:name="_Toc197342207"/>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17233334"/>
      <w:bookmarkStart w:id="42" w:name="_Toc17233326"/>
      <w:bookmarkStart w:id="43" w:name="_Toc24884212"/>
      <w:bookmarkStart w:id="44" w:name="_Toc24884219"/>
      <w:bookmarkStart w:id="45" w:name="_Toc26648466"/>
      <w:r>
        <w:rPr>
          <w:rFonts w:hint="eastAsia"/>
          <w:lang w:eastAsia="zh-CN"/>
        </w:rPr>
        <w:t>本文件规定了土壤重金属快速监测的数据质量控制要求，包括样品采集、现场快速监测、实验室分析、数据处理及成果报告等环节的质量控制措施。本文件适用于全国范围内土壤重金属的快速监测活动。</w:t>
      </w:r>
    </w:p>
    <w:p w14:paraId="24B680AA">
      <w:pPr>
        <w:pStyle w:val="105"/>
        <w:spacing w:before="240" w:after="240" w:line="360" w:lineRule="auto"/>
        <w:rPr>
          <w:rFonts w:hint="eastAsia"/>
          <w:szCs w:val="21"/>
        </w:rPr>
      </w:pPr>
      <w:bookmarkStart w:id="46" w:name="_Toc197342208"/>
      <w:bookmarkStart w:id="47" w:name="_Toc26986772"/>
      <w:bookmarkStart w:id="48" w:name="_Toc7096"/>
      <w:bookmarkStart w:id="49" w:name="_Toc26718931"/>
      <w:bookmarkStart w:id="50" w:name="_Toc97192965"/>
      <w:bookmarkStart w:id="51" w:name="_Toc26986531"/>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839337C">
      <w:pPr>
        <w:pStyle w:val="57"/>
        <w:spacing w:line="360" w:lineRule="auto"/>
        <w:ind w:firstLine="420"/>
        <w:rPr>
          <w:rFonts w:hint="eastAsia"/>
        </w:rPr>
      </w:pPr>
      <w:r>
        <w:rPr>
          <w:rFonts w:hint="eastAsia"/>
        </w:rPr>
        <w:t>GB/T 14848—2017《地下水质量标准》</w:t>
      </w:r>
    </w:p>
    <w:p w14:paraId="2085E51F">
      <w:pPr>
        <w:pStyle w:val="57"/>
        <w:spacing w:line="360" w:lineRule="auto"/>
        <w:ind w:firstLine="420"/>
        <w:rPr>
          <w:rFonts w:hint="eastAsia"/>
        </w:rPr>
      </w:pPr>
      <w:r>
        <w:rPr>
          <w:rFonts w:hint="eastAsia"/>
        </w:rPr>
        <w:t>HJ 630—2012《环境监测质量管理技术导则》</w:t>
      </w:r>
    </w:p>
    <w:p w14:paraId="6E213D64">
      <w:pPr>
        <w:pStyle w:val="57"/>
        <w:spacing w:line="360" w:lineRule="auto"/>
        <w:ind w:firstLine="420"/>
        <w:rPr>
          <w:rFonts w:hint="eastAsia"/>
        </w:rPr>
      </w:pPr>
      <w:r>
        <w:rPr>
          <w:rFonts w:hint="eastAsia"/>
        </w:rPr>
        <w:t>ISO/IEC 17025:2017《检测和校准实验室能力的通用要求》</w:t>
      </w:r>
    </w:p>
    <w:p w14:paraId="2F00ECF6">
      <w:pPr>
        <w:pStyle w:val="57"/>
        <w:spacing w:line="360" w:lineRule="auto"/>
        <w:ind w:firstLine="420"/>
        <w:rPr>
          <w:rFonts w:hint="eastAsia"/>
        </w:rPr>
      </w:pPr>
      <w:r>
        <w:rPr>
          <w:rFonts w:hint="eastAsia"/>
        </w:rPr>
        <w:t>ISO 5667-1:2020《水质 采样 第1部分：采样方案设计指导》</w:t>
      </w:r>
    </w:p>
    <w:p w14:paraId="1887018E">
      <w:pPr>
        <w:pStyle w:val="57"/>
        <w:spacing w:line="360" w:lineRule="auto"/>
        <w:ind w:firstLine="420"/>
        <w:rPr>
          <w:rFonts w:hint="eastAsia"/>
        </w:rPr>
      </w:pPr>
      <w:r>
        <w:rPr>
          <w:rFonts w:hint="eastAsia"/>
        </w:rPr>
        <w:t>HJ/T 166—2020《土壤环境监测技术导则》</w:t>
      </w:r>
    </w:p>
    <w:bookmarkEnd w:id="28"/>
    <w:p w14:paraId="77D14E71">
      <w:pPr>
        <w:pStyle w:val="105"/>
        <w:spacing w:before="240" w:after="240" w:line="360" w:lineRule="auto"/>
        <w:rPr>
          <w:rFonts w:hint="eastAsia"/>
          <w:szCs w:val="21"/>
        </w:rPr>
      </w:pPr>
      <w:bookmarkStart w:id="52" w:name="_Toc31811"/>
      <w:r>
        <w:rPr>
          <w:rFonts w:hint="eastAsia"/>
          <w:szCs w:val="21"/>
        </w:rPr>
        <w:t>术语和定义</w:t>
      </w:r>
      <w:bookmarkEnd w:id="52"/>
    </w:p>
    <w:p w14:paraId="403EC1D5">
      <w:pPr>
        <w:pStyle w:val="57"/>
        <w:spacing w:line="360" w:lineRule="auto"/>
        <w:ind w:firstLine="420"/>
        <w:rPr>
          <w:rFonts w:hint="eastAsia"/>
        </w:rPr>
      </w:pPr>
      <w:r>
        <w:rPr>
          <w:rFonts w:hint="eastAsia"/>
        </w:rPr>
        <w:t>下列术语和定义适用于本文件。</w:t>
      </w:r>
    </w:p>
    <w:p w14:paraId="6353300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土壤重金属快速监测</w:t>
      </w:r>
    </w:p>
    <w:p w14:paraId="5BE393C8">
      <w:pPr>
        <w:pStyle w:val="57"/>
        <w:spacing w:line="360" w:lineRule="auto"/>
        <w:ind w:firstLine="420"/>
        <w:rPr>
          <w:rFonts w:hint="eastAsia"/>
          <w:lang w:val="en-US" w:eastAsia="zh-CN"/>
        </w:rPr>
      </w:pPr>
      <w:r>
        <w:rPr>
          <w:rFonts w:hint="eastAsia"/>
          <w:lang w:val="en-US" w:eastAsia="zh-CN"/>
        </w:rPr>
        <w:t>采用现场快速检测技术或便携式仪器，在短时间内对土壤中重金属含量进行初步评估的活动。</w:t>
      </w:r>
    </w:p>
    <w:p w14:paraId="64494A5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数据质量控制</w:t>
      </w:r>
    </w:p>
    <w:p w14:paraId="5F4BDB4C">
      <w:pPr>
        <w:pStyle w:val="57"/>
        <w:spacing w:line="360" w:lineRule="auto"/>
        <w:ind w:firstLine="420"/>
        <w:rPr>
          <w:rFonts w:hint="eastAsia"/>
          <w:lang w:val="en-US" w:eastAsia="zh-CN"/>
        </w:rPr>
      </w:pPr>
      <w:r>
        <w:rPr>
          <w:rFonts w:hint="eastAsia"/>
          <w:lang w:val="en-US" w:eastAsia="zh-CN"/>
        </w:rPr>
        <w:t>通过一系列措施和方法，确保监测数据的准确性、精密性、完整性和可比性的过程。</w:t>
      </w:r>
    </w:p>
    <w:p w14:paraId="1D0748B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加标回收率</w:t>
      </w:r>
    </w:p>
    <w:p w14:paraId="6952396C">
      <w:pPr>
        <w:pStyle w:val="57"/>
        <w:spacing w:line="360" w:lineRule="auto"/>
        <w:ind w:firstLine="420"/>
        <w:rPr>
          <w:rFonts w:hint="eastAsia"/>
          <w:lang w:val="en-US" w:eastAsia="zh-CN"/>
        </w:rPr>
      </w:pPr>
      <w:r>
        <w:rPr>
          <w:rFonts w:hint="eastAsia"/>
          <w:lang w:val="en-US" w:eastAsia="zh-CN"/>
        </w:rPr>
        <w:t>在样品中加入已知量的标准物质，通过测定加标后样品的浓度，计算加入标准物质的回收比例。</w:t>
      </w:r>
    </w:p>
    <w:p w14:paraId="4EE9C915">
      <w:pPr>
        <w:pStyle w:val="105"/>
        <w:spacing w:before="240" w:after="240" w:line="360" w:lineRule="auto"/>
        <w:rPr>
          <w:rFonts w:hint="eastAsia"/>
          <w:szCs w:val="21"/>
          <w:lang w:val="en-US" w:eastAsia="zh-CN"/>
        </w:rPr>
      </w:pPr>
      <w:bookmarkStart w:id="53" w:name="_Toc8786"/>
      <w:r>
        <w:rPr>
          <w:rFonts w:hint="eastAsia"/>
          <w:szCs w:val="21"/>
          <w:lang w:val="en-US" w:eastAsia="zh-CN"/>
        </w:rPr>
        <w:t>数据质量控制要求</w:t>
      </w:r>
      <w:bookmarkEnd w:id="53"/>
    </w:p>
    <w:p w14:paraId="3DAB5C9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样品采集质量控制</w:t>
      </w:r>
    </w:p>
    <w:p w14:paraId="4A3684C1">
      <w:pPr>
        <w:pStyle w:val="57"/>
        <w:spacing w:line="360" w:lineRule="auto"/>
        <w:ind w:firstLine="420"/>
        <w:rPr>
          <w:rFonts w:hint="eastAsia"/>
          <w:lang w:val="en-US" w:eastAsia="zh-CN"/>
        </w:rPr>
      </w:pPr>
      <w:r>
        <w:rPr>
          <w:rFonts w:hint="eastAsia"/>
          <w:lang w:val="en-US" w:eastAsia="zh-CN"/>
        </w:rPr>
        <w:t>采样点位选择：采样点位应根据监测目的和区域环境特征科学布设，确保采样点具有代表性，能够反映监测区域内土壤重金属的空间分布和变化趋势。</w:t>
      </w:r>
    </w:p>
    <w:p w14:paraId="7660A503">
      <w:pPr>
        <w:pStyle w:val="57"/>
        <w:spacing w:line="360" w:lineRule="auto"/>
        <w:ind w:firstLine="420"/>
        <w:rPr>
          <w:rFonts w:hint="eastAsia"/>
          <w:lang w:val="en-US" w:eastAsia="zh-CN"/>
        </w:rPr>
      </w:pPr>
      <w:r>
        <w:rPr>
          <w:rFonts w:hint="eastAsia"/>
          <w:lang w:val="en-US" w:eastAsia="zh-CN"/>
        </w:rPr>
        <w:t>采样方法：按照相关标准或指南进行采样，避免采样过程中的污染和交叉污染。</w:t>
      </w:r>
    </w:p>
    <w:p w14:paraId="1706B317">
      <w:pPr>
        <w:pStyle w:val="57"/>
        <w:spacing w:line="360" w:lineRule="auto"/>
        <w:ind w:firstLine="420"/>
        <w:rPr>
          <w:rFonts w:hint="eastAsia"/>
          <w:lang w:val="en-US" w:eastAsia="zh-CN"/>
        </w:rPr>
      </w:pPr>
      <w:r>
        <w:rPr>
          <w:rFonts w:hint="eastAsia"/>
          <w:lang w:val="en-US" w:eastAsia="zh-CN"/>
        </w:rPr>
        <w:t>样品保存与运输：采样后应及时将样品保存于适当的容器中，并尽快送至实验室进行分析，运输过程中应防止样品变质或损坏。</w:t>
      </w:r>
    </w:p>
    <w:p w14:paraId="20372F9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现场快速监测质量控制</w:t>
      </w:r>
    </w:p>
    <w:p w14:paraId="76190674">
      <w:pPr>
        <w:pStyle w:val="57"/>
        <w:spacing w:line="360" w:lineRule="auto"/>
        <w:ind w:firstLine="420"/>
        <w:rPr>
          <w:rFonts w:hint="eastAsia"/>
          <w:lang w:val="en-US" w:eastAsia="zh-CN"/>
        </w:rPr>
      </w:pPr>
      <w:r>
        <w:rPr>
          <w:rFonts w:hint="eastAsia"/>
          <w:lang w:val="en-US" w:eastAsia="zh-CN"/>
        </w:rPr>
        <w:t>仪器校准：监测前应对使用的便携式仪器进行校准，并定期（如每批次监测前）进行校准验证，确保仪器处于良好工作状态。</w:t>
      </w:r>
    </w:p>
    <w:p w14:paraId="024ABC3D">
      <w:pPr>
        <w:pStyle w:val="57"/>
        <w:spacing w:line="360" w:lineRule="auto"/>
        <w:ind w:firstLine="420"/>
        <w:rPr>
          <w:rFonts w:hint="eastAsia"/>
          <w:lang w:val="en-US" w:eastAsia="zh-CN"/>
        </w:rPr>
      </w:pPr>
      <w:r>
        <w:rPr>
          <w:rFonts w:hint="eastAsia"/>
          <w:lang w:val="en-US" w:eastAsia="zh-CN"/>
        </w:rPr>
        <w:t>监测条件：按照仪器使用说明书和相关标准要求，控制监测环境条件（如温度、湿度等），确保监测结果的准确性。</w:t>
      </w:r>
    </w:p>
    <w:p w14:paraId="157C058D">
      <w:pPr>
        <w:pStyle w:val="57"/>
        <w:spacing w:line="360" w:lineRule="auto"/>
        <w:ind w:firstLine="420"/>
        <w:rPr>
          <w:rFonts w:hint="eastAsia"/>
          <w:lang w:val="en-US" w:eastAsia="zh-CN"/>
        </w:rPr>
      </w:pPr>
      <w:r>
        <w:rPr>
          <w:rFonts w:hint="eastAsia"/>
          <w:lang w:val="en-US" w:eastAsia="zh-CN"/>
        </w:rPr>
        <w:t>重复监测：对同一采样点进行多次重复监测，计算平均值和相对标准偏差，评估监测结果的稳定性。</w:t>
      </w:r>
    </w:p>
    <w:p w14:paraId="6E289FC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实验室分析质量控制</w:t>
      </w:r>
    </w:p>
    <w:p w14:paraId="514DDA1E">
      <w:pPr>
        <w:pStyle w:val="57"/>
        <w:spacing w:line="360" w:lineRule="auto"/>
        <w:ind w:firstLine="420"/>
        <w:rPr>
          <w:rFonts w:hint="eastAsia"/>
          <w:lang w:val="en-US" w:eastAsia="zh-CN"/>
        </w:rPr>
      </w:pPr>
      <w:r>
        <w:rPr>
          <w:rFonts w:hint="eastAsia"/>
          <w:lang w:val="en-US" w:eastAsia="zh-CN"/>
        </w:rPr>
        <w:t>试剂与仪器：使用高纯度的试剂和经过校准的仪器进行分析，确保分析条件的稳定性。</w:t>
      </w:r>
    </w:p>
    <w:p w14:paraId="122A39E9">
      <w:pPr>
        <w:pStyle w:val="57"/>
        <w:spacing w:line="360" w:lineRule="auto"/>
        <w:ind w:firstLine="420"/>
        <w:rPr>
          <w:rFonts w:hint="eastAsia"/>
          <w:lang w:val="en-US" w:eastAsia="zh-CN"/>
        </w:rPr>
      </w:pPr>
      <w:r>
        <w:rPr>
          <w:rFonts w:hint="eastAsia"/>
          <w:lang w:val="en-US" w:eastAsia="zh-CN"/>
        </w:rPr>
        <w:t>方法验证：采用标准物质或加标回收试验等方法，验证分析方法的准确性和精密性。</w:t>
      </w:r>
    </w:p>
    <w:p w14:paraId="5350625D">
      <w:pPr>
        <w:pStyle w:val="57"/>
        <w:spacing w:line="360" w:lineRule="auto"/>
        <w:ind w:firstLine="420"/>
        <w:rPr>
          <w:rFonts w:hint="eastAsia"/>
          <w:lang w:val="en-US" w:eastAsia="zh-CN"/>
        </w:rPr>
      </w:pPr>
      <w:r>
        <w:rPr>
          <w:rFonts w:hint="eastAsia"/>
          <w:lang w:val="en-US" w:eastAsia="zh-CN"/>
        </w:rPr>
        <w:t>平行样分析：每批样品应至少测定10%的平行双样，通过计算相对标准偏差等方法评估分析结果的重复性。</w:t>
      </w:r>
    </w:p>
    <w:p w14:paraId="53DAEE7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数据处理与成果报告质量控制</w:t>
      </w:r>
    </w:p>
    <w:p w14:paraId="01CCF88E">
      <w:pPr>
        <w:pStyle w:val="57"/>
        <w:spacing w:line="360" w:lineRule="auto"/>
        <w:ind w:firstLine="420"/>
        <w:rPr>
          <w:rFonts w:hint="eastAsia"/>
          <w:lang w:val="en-US" w:eastAsia="zh-CN"/>
        </w:rPr>
      </w:pPr>
      <w:r>
        <w:rPr>
          <w:rFonts w:hint="eastAsia"/>
          <w:lang w:val="en-US" w:eastAsia="zh-CN"/>
        </w:rPr>
        <w:t>数据审核：建立数据审核机制，对原始数据进行逐级审核，包括初审、复审和终审，确保数据的真实性和准确性。</w:t>
      </w:r>
    </w:p>
    <w:p w14:paraId="38EEE1EA">
      <w:pPr>
        <w:pStyle w:val="57"/>
        <w:spacing w:line="360" w:lineRule="auto"/>
        <w:ind w:firstLine="420"/>
        <w:rPr>
          <w:rFonts w:hint="eastAsia"/>
          <w:lang w:val="en-US" w:eastAsia="zh-CN"/>
        </w:rPr>
      </w:pPr>
      <w:r>
        <w:rPr>
          <w:rFonts w:hint="eastAsia"/>
          <w:lang w:val="en-US" w:eastAsia="zh-CN"/>
        </w:rPr>
        <w:t>异常值处理：对监测过程中的异常值进行识别和处理，避免其对整体数据结果的影响。</w:t>
      </w:r>
    </w:p>
    <w:p w14:paraId="4B154D19">
      <w:pPr>
        <w:pStyle w:val="57"/>
        <w:spacing w:line="360" w:lineRule="auto"/>
        <w:ind w:firstLine="420"/>
        <w:rPr>
          <w:rFonts w:hint="eastAsia"/>
          <w:lang w:val="en-US" w:eastAsia="zh-CN"/>
        </w:rPr>
      </w:pPr>
      <w:r>
        <w:rPr>
          <w:rFonts w:hint="eastAsia"/>
          <w:lang w:val="en-US" w:eastAsia="zh-CN"/>
        </w:rPr>
        <w:t>成果报告：编制详细的监测成果报告，包括监测目的、方法、结果及结论等内容，确保报告内容的完整性和规范性。</w:t>
      </w:r>
    </w:p>
    <w:p w14:paraId="7F2B347B">
      <w:pPr>
        <w:pStyle w:val="105"/>
        <w:spacing w:before="240" w:after="240" w:line="360" w:lineRule="auto"/>
        <w:rPr>
          <w:rFonts w:hint="eastAsia"/>
          <w:szCs w:val="21"/>
          <w:lang w:val="en-US" w:eastAsia="zh-CN"/>
        </w:rPr>
      </w:pPr>
      <w:bookmarkStart w:id="54" w:name="_Toc27142"/>
      <w:r>
        <w:rPr>
          <w:rFonts w:hint="eastAsia"/>
          <w:szCs w:val="21"/>
          <w:lang w:val="en-US" w:eastAsia="zh-CN"/>
        </w:rPr>
        <w:t>监督与管理</w:t>
      </w:r>
      <w:bookmarkEnd w:id="54"/>
    </w:p>
    <w:p w14:paraId="1AEF355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质量保证体系</w:t>
      </w:r>
    </w:p>
    <w:p w14:paraId="5165F8D1">
      <w:pPr>
        <w:pStyle w:val="57"/>
        <w:spacing w:line="360" w:lineRule="auto"/>
        <w:ind w:firstLine="420"/>
        <w:rPr>
          <w:rFonts w:hint="eastAsia"/>
          <w:lang w:val="en-US" w:eastAsia="zh-CN"/>
        </w:rPr>
      </w:pPr>
      <w:r>
        <w:rPr>
          <w:rFonts w:hint="eastAsia"/>
          <w:lang w:val="en-US" w:eastAsia="zh-CN"/>
        </w:rPr>
        <w:t>建立完善的质量保证体系，明确各级人员的职责和权限，确保数据质量控制措施的有效实施。</w:t>
      </w:r>
    </w:p>
    <w:p w14:paraId="210B443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档案管理</w:t>
      </w:r>
    </w:p>
    <w:p w14:paraId="79ACB973">
      <w:pPr>
        <w:pStyle w:val="57"/>
        <w:spacing w:line="360" w:lineRule="auto"/>
        <w:ind w:firstLine="420"/>
        <w:rPr>
          <w:rFonts w:hint="eastAsia"/>
          <w:lang w:val="en-US" w:eastAsia="zh-CN"/>
        </w:rPr>
      </w:pPr>
      <w:r>
        <w:rPr>
          <w:rFonts w:hint="eastAsia"/>
          <w:lang w:val="en-US" w:eastAsia="zh-CN"/>
        </w:rPr>
        <w:t>原始数据、处理记录及成果报告等档案资料应保存完整，保存期限不少于10年。</w:t>
      </w:r>
    </w:p>
    <w:p w14:paraId="4A405161">
      <w:pPr>
        <w:pStyle w:val="57"/>
        <w:spacing w:line="360" w:lineRule="auto"/>
        <w:ind w:firstLine="420"/>
        <w:rPr>
          <w:rFonts w:hint="eastAsia"/>
          <w:lang w:val="en-US" w:eastAsia="zh-CN"/>
        </w:rPr>
      </w:pPr>
      <w:r>
        <w:rPr>
          <w:rFonts w:hint="eastAsia"/>
          <w:lang w:val="en-US" w:eastAsia="zh-CN"/>
        </w:rPr>
        <w:t>采用电子化档案管理系统，支持快速检索与追溯。</w:t>
      </w:r>
    </w:p>
    <w:p w14:paraId="4A59552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持续改进</w:t>
      </w:r>
    </w:p>
    <w:p w14:paraId="2627DC9A">
      <w:pPr>
        <w:pStyle w:val="57"/>
        <w:spacing w:line="360" w:lineRule="auto"/>
        <w:ind w:firstLine="420"/>
        <w:rPr>
          <w:rFonts w:hint="eastAsia"/>
          <w:lang w:val="en-US" w:eastAsia="zh-CN"/>
        </w:rPr>
      </w:pPr>
      <w:r>
        <w:rPr>
          <w:rFonts w:hint="eastAsia"/>
          <w:lang w:val="en-US" w:eastAsia="zh-CN"/>
        </w:rPr>
        <w:t>根据技术发展及政策需求，</w:t>
      </w:r>
      <w:bookmarkStart w:id="55" w:name="_GoBack"/>
      <w:bookmarkEnd w:id="55"/>
      <w:r>
        <w:rPr>
          <w:rFonts w:hint="eastAsia"/>
          <w:lang w:val="en-US" w:eastAsia="zh-CN"/>
        </w:rPr>
        <w:t>定期对本标准进行评审和修订，推动技术创新和标准优化。</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0120—2025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0120—2025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0120—2025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0120—2025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0120—2025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4C133B2"/>
    <w:rsid w:val="04D644D2"/>
    <w:rsid w:val="0594649B"/>
    <w:rsid w:val="06450013"/>
    <w:rsid w:val="067676BD"/>
    <w:rsid w:val="083D5267"/>
    <w:rsid w:val="09EA5159"/>
    <w:rsid w:val="0A5B6057"/>
    <w:rsid w:val="0BAE0408"/>
    <w:rsid w:val="119836EC"/>
    <w:rsid w:val="11A5092B"/>
    <w:rsid w:val="123C051C"/>
    <w:rsid w:val="13225964"/>
    <w:rsid w:val="13611C3D"/>
    <w:rsid w:val="1367270D"/>
    <w:rsid w:val="14B52807"/>
    <w:rsid w:val="15227E9D"/>
    <w:rsid w:val="16104199"/>
    <w:rsid w:val="16B94831"/>
    <w:rsid w:val="176C54EA"/>
    <w:rsid w:val="18115FA7"/>
    <w:rsid w:val="18C67773"/>
    <w:rsid w:val="194523AC"/>
    <w:rsid w:val="19996E8D"/>
    <w:rsid w:val="1A0A0891"/>
    <w:rsid w:val="1ACA4340"/>
    <w:rsid w:val="1BC616CD"/>
    <w:rsid w:val="1D9A07EC"/>
    <w:rsid w:val="1F554A44"/>
    <w:rsid w:val="1FF24E4E"/>
    <w:rsid w:val="202F16C0"/>
    <w:rsid w:val="234E00AF"/>
    <w:rsid w:val="23AE5EF7"/>
    <w:rsid w:val="250F386E"/>
    <w:rsid w:val="25956469"/>
    <w:rsid w:val="28AC6949"/>
    <w:rsid w:val="28CB3F50"/>
    <w:rsid w:val="2B4D4497"/>
    <w:rsid w:val="2BAF1907"/>
    <w:rsid w:val="2BFE65C2"/>
    <w:rsid w:val="2C7B4F1A"/>
    <w:rsid w:val="2C90587C"/>
    <w:rsid w:val="2CDE24A4"/>
    <w:rsid w:val="2FBF58A6"/>
    <w:rsid w:val="2FC71A29"/>
    <w:rsid w:val="30185CCC"/>
    <w:rsid w:val="30234671"/>
    <w:rsid w:val="33890C8F"/>
    <w:rsid w:val="33F61CAC"/>
    <w:rsid w:val="34980849"/>
    <w:rsid w:val="34CD1F56"/>
    <w:rsid w:val="36136B10"/>
    <w:rsid w:val="36462E68"/>
    <w:rsid w:val="38844435"/>
    <w:rsid w:val="39423DBA"/>
    <w:rsid w:val="39AD1CD6"/>
    <w:rsid w:val="3AD924FC"/>
    <w:rsid w:val="3B27385D"/>
    <w:rsid w:val="3B9C63F9"/>
    <w:rsid w:val="3C1E74E7"/>
    <w:rsid w:val="3D031FD4"/>
    <w:rsid w:val="3D09631F"/>
    <w:rsid w:val="401C07FB"/>
    <w:rsid w:val="42293D69"/>
    <w:rsid w:val="427A2817"/>
    <w:rsid w:val="429D02B3"/>
    <w:rsid w:val="42EA346B"/>
    <w:rsid w:val="433E1A96"/>
    <w:rsid w:val="443D5731"/>
    <w:rsid w:val="45136BF2"/>
    <w:rsid w:val="46DF70EC"/>
    <w:rsid w:val="47203CF1"/>
    <w:rsid w:val="47310761"/>
    <w:rsid w:val="48972517"/>
    <w:rsid w:val="48BF5427"/>
    <w:rsid w:val="4AC80D07"/>
    <w:rsid w:val="4F0911AA"/>
    <w:rsid w:val="50242014"/>
    <w:rsid w:val="51527191"/>
    <w:rsid w:val="51962A9D"/>
    <w:rsid w:val="53890B0C"/>
    <w:rsid w:val="54322F51"/>
    <w:rsid w:val="55515659"/>
    <w:rsid w:val="55911EF9"/>
    <w:rsid w:val="585316E8"/>
    <w:rsid w:val="58676F42"/>
    <w:rsid w:val="588B70D4"/>
    <w:rsid w:val="59AA17DC"/>
    <w:rsid w:val="59D96484"/>
    <w:rsid w:val="5AA82FEB"/>
    <w:rsid w:val="5BA81D4B"/>
    <w:rsid w:val="5DBE5856"/>
    <w:rsid w:val="5E7031EA"/>
    <w:rsid w:val="5F5C378C"/>
    <w:rsid w:val="5FAB3BB8"/>
    <w:rsid w:val="60792979"/>
    <w:rsid w:val="60C50CA9"/>
    <w:rsid w:val="61DE0274"/>
    <w:rsid w:val="62CE02E9"/>
    <w:rsid w:val="63422A85"/>
    <w:rsid w:val="64562060"/>
    <w:rsid w:val="65705687"/>
    <w:rsid w:val="658E3D60"/>
    <w:rsid w:val="65B73BCD"/>
    <w:rsid w:val="66E77BCB"/>
    <w:rsid w:val="68846345"/>
    <w:rsid w:val="68F62348"/>
    <w:rsid w:val="69407A67"/>
    <w:rsid w:val="694C1F68"/>
    <w:rsid w:val="6B4C26F3"/>
    <w:rsid w:val="6B60619E"/>
    <w:rsid w:val="6BF559D1"/>
    <w:rsid w:val="6C18144F"/>
    <w:rsid w:val="6C351337"/>
    <w:rsid w:val="6CE55009"/>
    <w:rsid w:val="6F655B31"/>
    <w:rsid w:val="6FA80114"/>
    <w:rsid w:val="70C609BE"/>
    <w:rsid w:val="71357785"/>
    <w:rsid w:val="72653996"/>
    <w:rsid w:val="72695938"/>
    <w:rsid w:val="72A921D9"/>
    <w:rsid w:val="7367064C"/>
    <w:rsid w:val="749C1791"/>
    <w:rsid w:val="756B293B"/>
    <w:rsid w:val="78AD1F12"/>
    <w:rsid w:val="78D046FA"/>
    <w:rsid w:val="79A4194C"/>
    <w:rsid w:val="7AA54A68"/>
    <w:rsid w:val="7C093CE8"/>
    <w:rsid w:val="7C1E59E5"/>
    <w:rsid w:val="7CCE07E8"/>
    <w:rsid w:val="7D5D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1960</Words>
  <Characters>2135</Characters>
  <Lines>48</Lines>
  <Paragraphs>13</Paragraphs>
  <TotalTime>0</TotalTime>
  <ScaleCrop>false</ScaleCrop>
  <LinksUpToDate>false</LinksUpToDate>
  <CharactersWithSpaces>2188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2025-10-31T01:56:22Z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eyJoZGlkIjoiZDE0YjJmN2Y1YzFkNjlmYjlkYTI4YTI1MzIwNzJiMDMiLCJ1c2VySWQiOiIxNDE1OTEzOTEwIn0=</vt:lpwstr>
  </property>
  <property fmtid="{D5CDD505-2E9C-101B-9397-08002B2CF9AE}" pid="16" name="KSOProductBuildVer">
    <vt:lpwstr>2052-12.1.0.23542</vt:lpwstr>
  </property>
  <property fmtid="{D5CDD505-2E9C-101B-9397-08002B2CF9AE}" pid="17" name="ICV">
    <vt:lpwstr>A30C2BEBB02B4030816E82C94804B5C9_12</vt:lpwstr>
  </property>
</Properties>
</file>