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65.020"/>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65.020</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A 02"/>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A 02</w:t>
            </w:r>
            <w:r>
              <w:rPr>
                <w:rFonts w:ascii="黑体" w:hAnsi="黑体" w:eastAsia="黑体" w:cs="Times New Roman"/>
                <w:kern w:val="2"/>
                <w:sz w:val="21"/>
                <w:szCs w:val="21"/>
                <w:lang w:val="en-US" w:eastAsia="zh-CN" w:bidi="ar-SA"/>
              </w:rPr>
              <w:fldChar w:fldCharType="end"/>
            </w:r>
            <w:bookmarkEnd w:id="2"/>
          </w:p>
        </w:tc>
      </w:tr>
    </w:tbl>
    <w:p w14:paraId="7C20094D">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6"/>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19"/>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0119</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1"/>
        <w:framePr w:w="9639" w:h="6976" w:hRule="exact" w:hSpace="0" w:vSpace="0" w:wrap="around" w:hAnchor="page" w:y="6408"/>
        <w:jc w:val="center"/>
        <w:rPr>
          <w:rFonts w:ascii="黑体" w:hAnsi="黑体" w:eastAsia="黑体"/>
          <w:b w:val="0"/>
          <w:bCs w:val="0"/>
          <w:w w:val="100"/>
        </w:rPr>
      </w:pPr>
    </w:p>
    <w:p w14:paraId="32EC4788">
      <w:pPr>
        <w:pStyle w:val="198"/>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森林资源动态监测实施要点"/>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森林资源动态监测实施要点</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6"/>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Implementation Key Points for Dynamic Monitoring of Forest Resources"/>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Implementation Key Points for Dynamic Monitoring of Forest Resources</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6"/>
        <w:framePr w:w="9639" w:h="6974" w:hRule="exact" w:wrap="around" w:vAnchor="page" w:hAnchor="page" w:x="1419" w:y="6408" w:anchorLock="1"/>
        <w:textAlignment w:val="bottom"/>
        <w:rPr>
          <w:rFonts w:eastAsia="黑体"/>
          <w:szCs w:val="28"/>
        </w:rPr>
      </w:pPr>
    </w:p>
    <w:p w14:paraId="1EEEC872">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4"/>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5"/>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2"/>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2"/>
        <w:spacing w:after="360"/>
      </w:pPr>
      <w:bookmarkStart w:id="21" w:name="BookMark1"/>
      <w:bookmarkStart w:id="22" w:name="_Toc197342205"/>
      <w:r>
        <w:rPr>
          <w:rFonts w:hint="eastAsia"/>
          <w:spacing w:val="320"/>
        </w:rPr>
        <w:t>目</w:t>
      </w:r>
      <w:r>
        <w:rPr>
          <w:rFonts w:hint="eastAsia"/>
        </w:rPr>
        <w:t>次</w:t>
      </w:r>
    </w:p>
    <w:p w14:paraId="5881F9B0">
      <w:pPr>
        <w:pStyle w:val="19"/>
        <w:tabs>
          <w:tab w:val="right" w:leader="dot" w:pos="9354"/>
        </w:tabs>
      </w:pPr>
      <w:r>
        <w:fldChar w:fldCharType="begin"/>
      </w:r>
      <w:r>
        <w:instrText xml:space="preserve"> TOC \o "1-1" \h </w:instrText>
      </w:r>
      <w:r>
        <w:fldChar w:fldCharType="separate"/>
      </w:r>
      <w:r>
        <w:fldChar w:fldCharType="begin"/>
      </w:r>
      <w:r>
        <w:instrText xml:space="preserve"> HYPERLINK \l _Toc37 </w:instrText>
      </w:r>
      <w:r>
        <w:fldChar w:fldCharType="separate"/>
      </w:r>
      <w:r>
        <w:rPr>
          <w:spacing w:val="320"/>
        </w:rPr>
        <w:t>前</w:t>
      </w:r>
      <w:r>
        <w:t>言</w:t>
      </w:r>
      <w:r>
        <w:tab/>
      </w:r>
      <w:r>
        <w:fldChar w:fldCharType="begin"/>
      </w:r>
      <w:r>
        <w:instrText xml:space="preserve"> PAGEREF _Toc37 \h </w:instrText>
      </w:r>
      <w:r>
        <w:fldChar w:fldCharType="separate"/>
      </w:r>
      <w:r>
        <w:t>III</w:t>
      </w:r>
      <w:r>
        <w:fldChar w:fldCharType="end"/>
      </w:r>
      <w:r>
        <w:fldChar w:fldCharType="end"/>
      </w:r>
    </w:p>
    <w:p w14:paraId="132C6351">
      <w:pPr>
        <w:pStyle w:val="19"/>
        <w:tabs>
          <w:tab w:val="right" w:leader="dot" w:pos="9354"/>
        </w:tabs>
      </w:pPr>
      <w:r>
        <w:fldChar w:fldCharType="begin"/>
      </w:r>
      <w:r>
        <w:instrText xml:space="preserve"> HYPERLINK \l _Toc14192 </w:instrText>
      </w:r>
      <w:r>
        <w:fldChar w:fldCharType="separate"/>
      </w:r>
      <w:r>
        <w:rPr>
          <w:spacing w:val="320"/>
        </w:rPr>
        <w:t>引</w:t>
      </w:r>
      <w:r>
        <w:t>言</w:t>
      </w:r>
      <w:r>
        <w:tab/>
      </w:r>
      <w:r>
        <w:fldChar w:fldCharType="begin"/>
      </w:r>
      <w:r>
        <w:instrText xml:space="preserve"> PAGEREF _Toc14192 \h </w:instrText>
      </w:r>
      <w:r>
        <w:fldChar w:fldCharType="separate"/>
      </w:r>
      <w:r>
        <w:t>V</w:t>
      </w:r>
      <w:r>
        <w:fldChar w:fldCharType="end"/>
      </w:r>
      <w:r>
        <w:fldChar w:fldCharType="end"/>
      </w:r>
    </w:p>
    <w:p w14:paraId="43312DD2">
      <w:pPr>
        <w:pStyle w:val="19"/>
        <w:tabs>
          <w:tab w:val="right" w:leader="dot" w:pos="9354"/>
        </w:tabs>
      </w:pPr>
      <w:r>
        <w:fldChar w:fldCharType="begin"/>
      </w:r>
      <w:r>
        <w:instrText xml:space="preserve"> HYPERLINK \l _Toc9288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_Toc9288 \h </w:instrText>
      </w:r>
      <w:r>
        <w:fldChar w:fldCharType="separate"/>
      </w:r>
      <w:r>
        <w:t>1</w:t>
      </w:r>
      <w:r>
        <w:fldChar w:fldCharType="end"/>
      </w:r>
      <w:r>
        <w:fldChar w:fldCharType="end"/>
      </w:r>
    </w:p>
    <w:p w14:paraId="4FBA97FA">
      <w:pPr>
        <w:pStyle w:val="19"/>
        <w:tabs>
          <w:tab w:val="right" w:leader="dot" w:pos="9354"/>
        </w:tabs>
      </w:pPr>
      <w:r>
        <w:fldChar w:fldCharType="begin"/>
      </w:r>
      <w:r>
        <w:instrText xml:space="preserve"> HYPERLINK \l _Toc773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_Toc773 \h </w:instrText>
      </w:r>
      <w:r>
        <w:fldChar w:fldCharType="separate"/>
      </w:r>
      <w:r>
        <w:t>1</w:t>
      </w:r>
      <w:r>
        <w:fldChar w:fldCharType="end"/>
      </w:r>
      <w:r>
        <w:fldChar w:fldCharType="end"/>
      </w:r>
    </w:p>
    <w:p w14:paraId="6C131C25">
      <w:pPr>
        <w:pStyle w:val="19"/>
        <w:tabs>
          <w:tab w:val="right" w:leader="dot" w:pos="9354"/>
        </w:tabs>
      </w:pPr>
      <w:r>
        <w:fldChar w:fldCharType="begin"/>
      </w:r>
      <w:r>
        <w:instrText xml:space="preserve"> HYPERLINK \l _Toc7852 </w:instrText>
      </w:r>
      <w:r>
        <w:fldChar w:fldCharType="separate"/>
      </w:r>
      <w:r>
        <w:rPr>
          <w:rFonts w:hint="eastAsia" w:ascii="黑体" w:eastAsia="黑体"/>
          <w:i w:val="0"/>
          <w:szCs w:val="21"/>
        </w:rPr>
        <w:t xml:space="preserve">3 </w:t>
      </w:r>
      <w:r>
        <w:rPr>
          <w:rFonts w:hint="eastAsia"/>
          <w:szCs w:val="21"/>
        </w:rPr>
        <w:t>术语和定义</w:t>
      </w:r>
      <w:r>
        <w:tab/>
      </w:r>
      <w:r>
        <w:fldChar w:fldCharType="begin"/>
      </w:r>
      <w:r>
        <w:instrText xml:space="preserve"> PAGEREF _Toc7852 \h </w:instrText>
      </w:r>
      <w:r>
        <w:fldChar w:fldCharType="separate"/>
      </w:r>
      <w:r>
        <w:t>1</w:t>
      </w:r>
      <w:r>
        <w:fldChar w:fldCharType="end"/>
      </w:r>
      <w:r>
        <w:fldChar w:fldCharType="end"/>
      </w:r>
    </w:p>
    <w:p w14:paraId="75D8D9DE">
      <w:pPr>
        <w:pStyle w:val="19"/>
        <w:tabs>
          <w:tab w:val="right" w:leader="dot" w:pos="9354"/>
        </w:tabs>
      </w:pPr>
      <w:r>
        <w:fldChar w:fldCharType="begin"/>
      </w:r>
      <w:r>
        <w:instrText xml:space="preserve"> HYPERLINK \l _Toc27920 </w:instrText>
      </w:r>
      <w:r>
        <w:fldChar w:fldCharType="separate"/>
      </w:r>
      <w:r>
        <w:rPr>
          <w:rFonts w:hint="eastAsia" w:ascii="黑体" w:eastAsia="黑体"/>
          <w:i w:val="0"/>
          <w:szCs w:val="21"/>
        </w:rPr>
        <w:t xml:space="preserve">4 </w:t>
      </w:r>
      <w:r>
        <w:rPr>
          <w:rFonts w:hint="eastAsia"/>
          <w:szCs w:val="21"/>
        </w:rPr>
        <w:t>监测内容与指标</w:t>
      </w:r>
      <w:r>
        <w:tab/>
      </w:r>
      <w:r>
        <w:fldChar w:fldCharType="begin"/>
      </w:r>
      <w:r>
        <w:instrText xml:space="preserve"> PAGEREF _Toc27920 \h </w:instrText>
      </w:r>
      <w:r>
        <w:fldChar w:fldCharType="separate"/>
      </w:r>
      <w:r>
        <w:t>1</w:t>
      </w:r>
      <w:r>
        <w:fldChar w:fldCharType="end"/>
      </w:r>
      <w:r>
        <w:fldChar w:fldCharType="end"/>
      </w:r>
    </w:p>
    <w:p w14:paraId="6003E3CA">
      <w:pPr>
        <w:pStyle w:val="19"/>
        <w:tabs>
          <w:tab w:val="right" w:leader="dot" w:pos="9354"/>
        </w:tabs>
      </w:pPr>
      <w:r>
        <w:fldChar w:fldCharType="begin"/>
      </w:r>
      <w:r>
        <w:instrText xml:space="preserve"> HYPERLINK \l _Toc781 </w:instrText>
      </w:r>
      <w:r>
        <w:fldChar w:fldCharType="separate"/>
      </w:r>
      <w:r>
        <w:rPr>
          <w:rFonts w:hint="eastAsia" w:ascii="黑体" w:eastAsia="黑体"/>
          <w:i w:val="0"/>
          <w:szCs w:val="21"/>
        </w:rPr>
        <w:t xml:space="preserve">5 </w:t>
      </w:r>
      <w:r>
        <w:rPr>
          <w:rFonts w:hint="eastAsia"/>
          <w:szCs w:val="21"/>
        </w:rPr>
        <w:t>技术要求</w:t>
      </w:r>
      <w:r>
        <w:tab/>
      </w:r>
      <w:r>
        <w:fldChar w:fldCharType="begin"/>
      </w:r>
      <w:r>
        <w:instrText xml:space="preserve"> PAGEREF _Toc781 \h </w:instrText>
      </w:r>
      <w:r>
        <w:fldChar w:fldCharType="separate"/>
      </w:r>
      <w:r>
        <w:t>2</w:t>
      </w:r>
      <w:r>
        <w:fldChar w:fldCharType="end"/>
      </w:r>
      <w:r>
        <w:fldChar w:fldCharType="end"/>
      </w:r>
    </w:p>
    <w:p w14:paraId="4A035118">
      <w:pPr>
        <w:pStyle w:val="19"/>
        <w:tabs>
          <w:tab w:val="right" w:leader="dot" w:pos="9354"/>
        </w:tabs>
      </w:pPr>
      <w:r>
        <w:fldChar w:fldCharType="begin"/>
      </w:r>
      <w:r>
        <w:instrText xml:space="preserve"> HYPERLINK \l _Toc19978 </w:instrText>
      </w:r>
      <w:r>
        <w:fldChar w:fldCharType="separate"/>
      </w:r>
      <w:r>
        <w:rPr>
          <w:rFonts w:hint="eastAsia" w:ascii="黑体" w:eastAsia="黑体"/>
          <w:i w:val="0"/>
          <w:szCs w:val="21"/>
        </w:rPr>
        <w:t xml:space="preserve">6 </w:t>
      </w:r>
      <w:r>
        <w:rPr>
          <w:rFonts w:hint="eastAsia"/>
          <w:szCs w:val="21"/>
        </w:rPr>
        <w:t>实施流程</w:t>
      </w:r>
      <w:r>
        <w:tab/>
      </w:r>
      <w:r>
        <w:fldChar w:fldCharType="begin"/>
      </w:r>
      <w:r>
        <w:instrText xml:space="preserve"> PAGEREF _Toc19978 \h </w:instrText>
      </w:r>
      <w:r>
        <w:fldChar w:fldCharType="separate"/>
      </w:r>
      <w:r>
        <w:t>2</w:t>
      </w:r>
      <w:r>
        <w:fldChar w:fldCharType="end"/>
      </w:r>
      <w:r>
        <w:fldChar w:fldCharType="end"/>
      </w:r>
    </w:p>
    <w:p w14:paraId="05DDA94C">
      <w:pPr>
        <w:pStyle w:val="19"/>
        <w:tabs>
          <w:tab w:val="right" w:leader="dot" w:pos="9354"/>
        </w:tabs>
      </w:pPr>
      <w:r>
        <w:fldChar w:fldCharType="begin"/>
      </w:r>
      <w:r>
        <w:instrText xml:space="preserve"> HYPERLINK \l _Toc21735 </w:instrText>
      </w:r>
      <w:r>
        <w:fldChar w:fldCharType="separate"/>
      </w:r>
      <w:r>
        <w:rPr>
          <w:rFonts w:hint="eastAsia" w:ascii="黑体" w:eastAsia="黑体"/>
          <w:i w:val="0"/>
          <w:szCs w:val="21"/>
        </w:rPr>
        <w:t xml:space="preserve">7 </w:t>
      </w:r>
      <w:r>
        <w:rPr>
          <w:rFonts w:hint="eastAsia"/>
          <w:szCs w:val="21"/>
        </w:rPr>
        <w:t>监督与管理</w:t>
      </w:r>
      <w:r>
        <w:tab/>
      </w:r>
      <w:r>
        <w:fldChar w:fldCharType="begin"/>
      </w:r>
      <w:r>
        <w:instrText xml:space="preserve"> PAGEREF _Toc21735 \h </w:instrText>
      </w:r>
      <w:r>
        <w:fldChar w:fldCharType="separate"/>
      </w:r>
      <w:r>
        <w:t>3</w:t>
      </w:r>
      <w:r>
        <w:fldChar w:fldCharType="end"/>
      </w:r>
      <w:r>
        <w:fldChar w:fldCharType="end"/>
      </w:r>
    </w:p>
    <w:p w14:paraId="1B51B50A">
      <w:pPr>
        <w:pStyle w:val="92"/>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bookmarkStart w:id="57" w:name="_GoBack"/>
      <w:bookmarkEnd w:id="57"/>
    </w:p>
    <w:bookmarkEnd w:id="21"/>
    <w:p w14:paraId="705C16B2">
      <w:pPr>
        <w:pStyle w:val="90"/>
        <w:spacing w:before="900" w:after="360"/>
      </w:pPr>
      <w:bookmarkStart w:id="23" w:name="_Toc37"/>
      <w:bookmarkStart w:id="24" w:name="BookMark2"/>
      <w:r>
        <w:rPr>
          <w:spacing w:val="320"/>
        </w:rPr>
        <w:t>前</w:t>
      </w:r>
      <w:r>
        <w:t>言</w:t>
      </w:r>
      <w:bookmarkEnd w:id="22"/>
      <w:bookmarkEnd w:id="23"/>
    </w:p>
    <w:p w14:paraId="5DC8D965">
      <w:pPr>
        <w:pStyle w:val="57"/>
        <w:spacing w:line="360" w:lineRule="auto"/>
        <w:ind w:firstLine="420"/>
      </w:pPr>
      <w:r>
        <w:rPr>
          <w:rFonts w:hint="eastAsia"/>
        </w:rPr>
        <w:t>本文件按照GB/T 1.1—2020《标准化工作导则  第1部分：标准化文件的结构和起草规则》的规定起草。</w:t>
      </w:r>
    </w:p>
    <w:p w14:paraId="3BF47523">
      <w:pPr>
        <w:pStyle w:val="57"/>
        <w:spacing w:line="360" w:lineRule="auto"/>
        <w:ind w:firstLine="420"/>
      </w:pPr>
      <w:r>
        <w:rPr>
          <w:rFonts w:hint="eastAsia"/>
        </w:rPr>
        <w:t>请注意本文件的某些内容可能涉及专利。本文件的发布机构不承担识别专利的责任。</w:t>
      </w:r>
    </w:p>
    <w:p w14:paraId="754B7426">
      <w:pPr>
        <w:pStyle w:val="57"/>
        <w:spacing w:line="360" w:lineRule="auto"/>
        <w:ind w:firstLine="420"/>
      </w:pPr>
      <w:r>
        <w:rPr>
          <w:rFonts w:hint="eastAsia"/>
        </w:rPr>
        <w:t>本文件由西安市质量与标准化协会提出并归口。</w:t>
      </w:r>
    </w:p>
    <w:p w14:paraId="5B8DD1E1">
      <w:pPr>
        <w:pStyle w:val="57"/>
        <w:spacing w:line="360" w:lineRule="auto"/>
        <w:ind w:firstLine="420"/>
        <w:rPr>
          <w:rFonts w:hint="eastAsia"/>
          <w:lang w:eastAsia="zh-CN"/>
        </w:rPr>
      </w:pPr>
      <w:r>
        <w:rPr>
          <w:rFonts w:hint="eastAsia"/>
        </w:rPr>
        <w:t>本文件起草单位：泰顺县林业事业发展中心</w:t>
      </w:r>
      <w:r>
        <w:rPr>
          <w:rFonts w:hint="eastAsia"/>
          <w:lang w:val="en-US" w:eastAsia="zh-CN"/>
        </w:rPr>
        <w:t>。</w:t>
      </w:r>
    </w:p>
    <w:p w14:paraId="6F393388">
      <w:pPr>
        <w:pStyle w:val="57"/>
        <w:spacing w:line="360" w:lineRule="auto"/>
        <w:ind w:firstLine="420"/>
        <w:rPr>
          <w:rFonts w:hint="default"/>
          <w:lang w:val="en-US" w:eastAsia="zh-CN"/>
        </w:rPr>
      </w:pPr>
      <w:r>
        <w:rPr>
          <w:rFonts w:hint="eastAsia"/>
        </w:rPr>
        <w:t>本文件主要起草人：</w:t>
      </w:r>
      <w:r>
        <w:rPr>
          <w:rFonts w:hint="default"/>
          <w:lang w:val="en-US" w:eastAsia="zh-CN"/>
        </w:rPr>
        <w:t>徐小天</w:t>
      </w:r>
      <w:r>
        <w:rPr>
          <w:rFonts w:hint="eastAsia"/>
          <w:lang w:val="en-US" w:eastAsia="zh-CN"/>
        </w:rPr>
        <w:t>。</w:t>
      </w:r>
    </w:p>
    <w:p w14:paraId="26D9D901">
      <w:pPr>
        <w:pStyle w:val="57"/>
        <w:ind w:firstLine="420"/>
      </w:pPr>
    </w:p>
    <w:p w14:paraId="635AF019">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90"/>
        <w:spacing w:after="360"/>
      </w:pPr>
      <w:bookmarkStart w:id="25" w:name="_Toc197342206"/>
      <w:bookmarkStart w:id="26" w:name="_Toc14192"/>
      <w:bookmarkStart w:id="27" w:name="BookMark3"/>
      <w:r>
        <w:rPr>
          <w:spacing w:val="320"/>
        </w:rPr>
        <w:t>引</w:t>
      </w:r>
      <w:r>
        <w:t>言</w:t>
      </w:r>
      <w:bookmarkEnd w:id="25"/>
      <w:bookmarkEnd w:id="26"/>
    </w:p>
    <w:p w14:paraId="2290F54A">
      <w:pPr>
        <w:pStyle w:val="57"/>
        <w:spacing w:line="360" w:lineRule="auto"/>
        <w:ind w:firstLine="420"/>
        <w:rPr>
          <w:rFonts w:hint="eastAsia"/>
        </w:rPr>
      </w:pPr>
      <w:r>
        <w:rPr>
          <w:rFonts w:hint="eastAsia"/>
        </w:rPr>
        <w:t>森林资源作为陆地生态系统的核心载体，不仅是全球生物多样性保护的关键区域，也是应对气候变化、维持生态平衡的重要屏障。其动态变化直接关联着碳汇功能、水源涵养、土壤保持等生态服务功能的稳定性，对区域经济可持续发展及人类福祉具有深远影响。据联合国粮农组织（FAO）统计，全球森林面积正以每年约1000万公顷的速度缩减，而我国虽通过天然林保护、退耕还林等工程实现了森林覆盖率的稳步提升，但局部地区仍面临非法采伐、林地占用、病虫害频发等威胁，导致森林资源质量与空间分布的动态失衡。</w:t>
      </w:r>
    </w:p>
    <w:p w14:paraId="10A83832">
      <w:pPr>
        <w:pStyle w:val="57"/>
        <w:spacing w:line="360" w:lineRule="auto"/>
        <w:ind w:firstLine="420"/>
        <w:rPr>
          <w:rFonts w:hint="eastAsia"/>
        </w:rPr>
      </w:pPr>
      <w:r>
        <w:rPr>
          <w:rFonts w:hint="eastAsia"/>
        </w:rPr>
        <w:t>传统森林资源监测主要依赖人工样地调查，存在周期长、成本高、覆盖范围有限等弊端，难以实时捕捉森林资源的细微变化。近年来，随着遥感技术（RS）、地理信息系统（GIS）、全球定位系统（GPS）及物联网（IoT）的深度融合，森林资源监测正从“静态统计”向“动态感知”转型。高分辨率卫星影像、激光雷达（LiDAR）及无人机航拍技术的广泛应用，使得大范围、高精度的森林资源调查成为可能；而大数据分析与人工智能算法的引入，则进一步提升了数据处理效率与异常识别能力。然而，我国森林资源动态监测仍面临技术标准不统一、数据共享机制缺失、监测指标碎片化等挑战。不同地区、不同机构采用的监测方法与数据格式差异显著，导致跨区域资源整合与政策协同困难。本标准立足森林资源保护与管理实际需求，系统规范监测技术流程、数据质量控制及成果应用要求，旨在通过标准化手段统一监测指标、优化技术路径、强化数据互认，为提升森林资源管理科学化水平、推动生态文明建设提供坚实技术支撑。</w:t>
      </w:r>
    </w:p>
    <w:p w14:paraId="30E55E16">
      <w:pPr>
        <w:pStyle w:val="57"/>
        <w:spacing w:line="360" w:lineRule="auto"/>
        <w:ind w:firstLine="420"/>
        <w:rPr>
          <w:rFonts w:hint="eastAsia"/>
        </w:rPr>
      </w:pPr>
    </w:p>
    <w:p w14:paraId="1FD0EDB2">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8"/>
            <w:spacing w:after="0"/>
          </w:pPr>
          <w:bookmarkStart w:id="29" w:name="NEW_STAND_NAME"/>
          <w:r>
            <w:rPr>
              <w:rFonts w:hint="eastAsia"/>
            </w:rPr>
            <w:t>森林资源动态监测实施要点</w:t>
          </w:r>
        </w:p>
      </w:sdtContent>
    </w:sdt>
    <w:bookmarkEnd w:id="29"/>
    <w:p w14:paraId="1339BF1A">
      <w:pPr>
        <w:pStyle w:val="105"/>
        <w:spacing w:before="240" w:after="240" w:line="360" w:lineRule="auto"/>
      </w:pPr>
      <w:bookmarkStart w:id="30" w:name="_Toc26718930"/>
      <w:bookmarkStart w:id="31" w:name="_Toc17233333"/>
      <w:bookmarkStart w:id="32" w:name="_Toc97192964"/>
      <w:bookmarkStart w:id="33" w:name="_Toc26648465"/>
      <w:bookmarkStart w:id="34" w:name="_Toc26986530"/>
      <w:bookmarkStart w:id="35" w:name="_Toc24884218"/>
      <w:bookmarkStart w:id="36" w:name="_Toc26986771"/>
      <w:bookmarkStart w:id="37" w:name="_Toc17233325"/>
      <w:bookmarkStart w:id="38" w:name="_Toc24884211"/>
      <w:bookmarkStart w:id="39" w:name="_Toc197342207"/>
      <w:bookmarkStart w:id="40" w:name="_Toc9288"/>
      <w:r>
        <w:rPr>
          <w:rFonts w:hint="eastAsia"/>
        </w:rPr>
        <w:t>范围</w:t>
      </w:r>
      <w:bookmarkEnd w:id="30"/>
      <w:bookmarkEnd w:id="31"/>
      <w:bookmarkEnd w:id="32"/>
      <w:bookmarkEnd w:id="33"/>
      <w:bookmarkEnd w:id="34"/>
      <w:bookmarkEnd w:id="35"/>
      <w:bookmarkEnd w:id="36"/>
      <w:bookmarkEnd w:id="37"/>
      <w:bookmarkEnd w:id="38"/>
      <w:bookmarkEnd w:id="39"/>
      <w:bookmarkEnd w:id="40"/>
    </w:p>
    <w:p w14:paraId="7E82858C">
      <w:pPr>
        <w:pStyle w:val="57"/>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lang w:eastAsia="zh-CN"/>
        </w:rPr>
      </w:pPr>
      <w:bookmarkStart w:id="41" w:name="_Toc17233326"/>
      <w:bookmarkStart w:id="42" w:name="_Toc24884212"/>
      <w:bookmarkStart w:id="43" w:name="_Toc26648466"/>
      <w:bookmarkStart w:id="44" w:name="_Toc24884219"/>
      <w:bookmarkStart w:id="45" w:name="_Toc17233334"/>
      <w:r>
        <w:rPr>
          <w:rFonts w:hint="eastAsia"/>
          <w:lang w:eastAsia="zh-CN"/>
        </w:rPr>
        <w:t>本文件规定了森林资源动态监测的技术要求、实施流程、数据管理及成果应用规范，涵盖森林蓄积量、林地面积、生物多样性、森林健康状况等核心指标的动态监测。</w:t>
      </w:r>
    </w:p>
    <w:p w14:paraId="4D44EB1A">
      <w:pPr>
        <w:pStyle w:val="57"/>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eastAsia="宋体"/>
          <w:lang w:eastAsia="zh-CN"/>
        </w:rPr>
      </w:pPr>
      <w:r>
        <w:rPr>
          <w:rFonts w:hint="eastAsia"/>
          <w:lang w:eastAsia="zh-CN"/>
        </w:rPr>
        <w:t>本文件适用于全国范围内天然林、人工林、经济林及防护林的动态监测活动。</w:t>
      </w:r>
    </w:p>
    <w:p w14:paraId="24B680AA">
      <w:pPr>
        <w:pStyle w:val="105"/>
        <w:spacing w:before="240" w:after="240" w:line="360" w:lineRule="auto"/>
        <w:rPr>
          <w:rFonts w:hint="eastAsia"/>
          <w:szCs w:val="21"/>
        </w:rPr>
      </w:pPr>
      <w:bookmarkStart w:id="46" w:name="_Toc26718931"/>
      <w:bookmarkStart w:id="47" w:name="_Toc197342208"/>
      <w:bookmarkStart w:id="48" w:name="_Toc26986531"/>
      <w:bookmarkStart w:id="49" w:name="_Toc26986772"/>
      <w:bookmarkStart w:id="50" w:name="_Toc97192965"/>
      <w:bookmarkStart w:id="51" w:name="_Toc773"/>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7"/>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A088098">
      <w:pPr>
        <w:pStyle w:val="57"/>
        <w:spacing w:line="360" w:lineRule="auto"/>
        <w:ind w:firstLine="420"/>
        <w:rPr>
          <w:rFonts w:hint="eastAsia"/>
        </w:rPr>
      </w:pPr>
      <w:r>
        <w:rPr>
          <w:rFonts w:hint="eastAsia"/>
        </w:rPr>
        <w:t>GB/T 26424—2010</w:t>
      </w:r>
      <w:r>
        <w:rPr>
          <w:rFonts w:hint="eastAsia"/>
          <w:lang w:val="en-US" w:eastAsia="zh-CN"/>
        </w:rPr>
        <w:t xml:space="preserve"> </w:t>
      </w:r>
      <w:r>
        <w:rPr>
          <w:rFonts w:hint="eastAsia"/>
        </w:rPr>
        <w:t>森林资源规划设计调查技术规程</w:t>
      </w:r>
    </w:p>
    <w:p w14:paraId="460B4D74">
      <w:pPr>
        <w:pStyle w:val="57"/>
        <w:spacing w:line="360" w:lineRule="auto"/>
        <w:ind w:firstLine="420"/>
        <w:rPr>
          <w:rFonts w:hint="eastAsia"/>
        </w:rPr>
      </w:pPr>
      <w:r>
        <w:rPr>
          <w:rFonts w:hint="eastAsia"/>
        </w:rPr>
        <w:t>GB/T 38590—2020</w:t>
      </w:r>
      <w:r>
        <w:rPr>
          <w:rFonts w:hint="eastAsia"/>
          <w:lang w:val="en-US" w:eastAsia="zh-CN"/>
        </w:rPr>
        <w:t xml:space="preserve"> </w:t>
      </w:r>
      <w:r>
        <w:rPr>
          <w:rFonts w:hint="eastAsia"/>
        </w:rPr>
        <w:t>森林资源连续清查技术规程</w:t>
      </w:r>
    </w:p>
    <w:p w14:paraId="4B5606AF">
      <w:pPr>
        <w:pStyle w:val="57"/>
        <w:spacing w:line="360" w:lineRule="auto"/>
        <w:ind w:firstLine="420"/>
        <w:rPr>
          <w:rFonts w:hint="eastAsia"/>
        </w:rPr>
      </w:pPr>
      <w:r>
        <w:rPr>
          <w:rFonts w:hint="eastAsia"/>
        </w:rPr>
        <w:t>LY/T 1812—2020</w:t>
      </w:r>
      <w:r>
        <w:rPr>
          <w:rFonts w:hint="eastAsia"/>
          <w:lang w:val="en-US" w:eastAsia="zh-CN"/>
        </w:rPr>
        <w:t xml:space="preserve"> </w:t>
      </w:r>
      <w:r>
        <w:rPr>
          <w:rFonts w:hint="eastAsia"/>
        </w:rPr>
        <w:t>林地变更调查技术规程</w:t>
      </w:r>
    </w:p>
    <w:p w14:paraId="06D34C94">
      <w:pPr>
        <w:pStyle w:val="57"/>
        <w:spacing w:line="360" w:lineRule="auto"/>
        <w:ind w:firstLine="420"/>
        <w:rPr>
          <w:rFonts w:hint="eastAsia"/>
        </w:rPr>
      </w:pPr>
      <w:r>
        <w:rPr>
          <w:rFonts w:hint="eastAsia"/>
        </w:rPr>
        <w:t>ISO/IEC 19115:2018</w:t>
      </w:r>
      <w:r>
        <w:rPr>
          <w:rFonts w:hint="eastAsia"/>
          <w:lang w:val="en-US" w:eastAsia="zh-CN"/>
        </w:rPr>
        <w:t xml:space="preserve"> </w:t>
      </w:r>
      <w:r>
        <w:rPr>
          <w:rFonts w:hint="eastAsia"/>
        </w:rPr>
        <w:t>地理信息 元数据</w:t>
      </w:r>
    </w:p>
    <w:bookmarkEnd w:id="28"/>
    <w:p w14:paraId="77D14E71">
      <w:pPr>
        <w:pStyle w:val="105"/>
        <w:spacing w:before="240" w:after="240" w:line="360" w:lineRule="auto"/>
        <w:rPr>
          <w:rFonts w:hint="eastAsia"/>
          <w:szCs w:val="21"/>
        </w:rPr>
      </w:pPr>
      <w:bookmarkStart w:id="52" w:name="_Toc7852"/>
      <w:r>
        <w:rPr>
          <w:rFonts w:hint="eastAsia"/>
          <w:szCs w:val="21"/>
        </w:rPr>
        <w:t>术语和定义</w:t>
      </w:r>
      <w:bookmarkEnd w:id="52"/>
    </w:p>
    <w:p w14:paraId="403EC1D5">
      <w:pPr>
        <w:pStyle w:val="57"/>
        <w:spacing w:line="360" w:lineRule="auto"/>
        <w:ind w:firstLine="420"/>
        <w:rPr>
          <w:rFonts w:hint="eastAsia"/>
        </w:rPr>
      </w:pPr>
      <w:r>
        <w:rPr>
          <w:rFonts w:hint="eastAsia"/>
        </w:rPr>
        <w:t>下列术语和定义适用于本文件。</w:t>
      </w:r>
    </w:p>
    <w:p w14:paraId="34A52D0D">
      <w:pPr>
        <w:pStyle w:val="224"/>
        <w:spacing w:line="360" w:lineRule="auto"/>
        <w:ind w:left="420" w:hanging="420" w:hangingChars="200"/>
        <w:outlineLvl w:val="1"/>
        <w:rPr>
          <w:rFonts w:hint="eastAsia" w:ascii="黑体" w:hAnsi="黑体" w:eastAsia="黑体"/>
        </w:rPr>
      </w:pPr>
      <w:r>
        <w:rPr>
          <w:rFonts w:hint="eastAsia" w:ascii="黑体" w:hAnsi="黑体" w:eastAsia="黑体"/>
        </w:rPr>
        <w:t>森林资源动态监测</w:t>
      </w:r>
    </w:p>
    <w:p w14:paraId="6FD9E0F8">
      <w:pPr>
        <w:pStyle w:val="57"/>
        <w:spacing w:line="360" w:lineRule="auto"/>
        <w:ind w:firstLine="420"/>
        <w:rPr>
          <w:rFonts w:hint="eastAsia"/>
          <w:lang w:val="en-US" w:eastAsia="zh-CN"/>
        </w:rPr>
      </w:pPr>
      <w:r>
        <w:rPr>
          <w:rFonts w:hint="eastAsia"/>
          <w:lang w:val="en-US" w:eastAsia="zh-CN"/>
        </w:rPr>
        <w:t>森林资源动态监测是指采用遥感、地面调查、物联网等技术，对森林资源的数量、质量、空间分布及生态功能进行定期或实时跟踪与评估的活动。</w:t>
      </w:r>
    </w:p>
    <w:p w14:paraId="151B20E6">
      <w:pPr>
        <w:pStyle w:val="224"/>
        <w:spacing w:line="360" w:lineRule="auto"/>
        <w:ind w:left="420" w:hanging="420" w:hangingChars="200"/>
        <w:outlineLvl w:val="1"/>
        <w:rPr>
          <w:rFonts w:hint="eastAsia" w:ascii="黑体" w:hAnsi="黑体" w:eastAsia="黑体"/>
        </w:rPr>
      </w:pPr>
      <w:r>
        <w:rPr>
          <w:rFonts w:hint="eastAsia" w:ascii="黑体" w:hAnsi="黑体" w:eastAsia="黑体"/>
        </w:rPr>
        <w:t>森林蓄积量</w:t>
      </w:r>
    </w:p>
    <w:p w14:paraId="72328D85">
      <w:pPr>
        <w:pStyle w:val="57"/>
        <w:spacing w:line="360" w:lineRule="auto"/>
        <w:ind w:firstLine="420"/>
        <w:rPr>
          <w:rFonts w:hint="eastAsia"/>
          <w:lang w:val="en-US" w:eastAsia="zh-CN"/>
        </w:rPr>
      </w:pPr>
      <w:r>
        <w:rPr>
          <w:rFonts w:hint="eastAsia"/>
          <w:lang w:val="en-US" w:eastAsia="zh-CN"/>
        </w:rPr>
        <w:t>单位面积森林内活立木的材积总量，反映森林资源经济价值与生态承载力。</w:t>
      </w:r>
    </w:p>
    <w:p w14:paraId="58D7E195">
      <w:pPr>
        <w:pStyle w:val="224"/>
        <w:spacing w:line="360" w:lineRule="auto"/>
        <w:ind w:left="420" w:hanging="420" w:hangingChars="200"/>
        <w:outlineLvl w:val="1"/>
        <w:rPr>
          <w:rFonts w:hint="eastAsia" w:ascii="黑体" w:hAnsi="黑体" w:eastAsia="黑体"/>
        </w:rPr>
      </w:pPr>
      <w:r>
        <w:rPr>
          <w:rFonts w:hint="eastAsia" w:ascii="黑体" w:hAnsi="黑体" w:eastAsia="黑体"/>
        </w:rPr>
        <w:t>林地面积</w:t>
      </w:r>
    </w:p>
    <w:p w14:paraId="1B56D2C4">
      <w:pPr>
        <w:pStyle w:val="57"/>
        <w:spacing w:line="360" w:lineRule="auto"/>
        <w:ind w:firstLine="420"/>
        <w:rPr>
          <w:rFonts w:hint="eastAsia"/>
          <w:lang w:val="en-US" w:eastAsia="zh-CN"/>
        </w:rPr>
      </w:pPr>
      <w:r>
        <w:rPr>
          <w:rFonts w:hint="eastAsia"/>
          <w:lang w:val="en-US" w:eastAsia="zh-CN"/>
        </w:rPr>
        <w:t>具有森林植被覆盖或适宜森林生长的土地面积，包括有林地、疏林地、灌木林地等。</w:t>
      </w:r>
    </w:p>
    <w:p w14:paraId="21B23F09">
      <w:pPr>
        <w:pStyle w:val="224"/>
        <w:spacing w:line="360" w:lineRule="auto"/>
        <w:ind w:left="420" w:hanging="420" w:hangingChars="200"/>
        <w:outlineLvl w:val="1"/>
        <w:rPr>
          <w:rFonts w:hint="eastAsia" w:ascii="黑体" w:hAnsi="黑体" w:eastAsia="黑体"/>
        </w:rPr>
      </w:pPr>
      <w:r>
        <w:rPr>
          <w:rFonts w:hint="eastAsia" w:ascii="黑体" w:hAnsi="黑体" w:eastAsia="黑体"/>
        </w:rPr>
        <w:t>生物多样性</w:t>
      </w:r>
    </w:p>
    <w:p w14:paraId="63F127C9">
      <w:pPr>
        <w:pStyle w:val="57"/>
        <w:spacing w:line="360" w:lineRule="auto"/>
        <w:ind w:firstLine="420"/>
        <w:rPr>
          <w:rFonts w:hint="eastAsia"/>
          <w:lang w:val="en-US" w:eastAsia="zh-CN"/>
        </w:rPr>
      </w:pPr>
      <w:r>
        <w:rPr>
          <w:rFonts w:hint="eastAsia"/>
          <w:lang w:val="en-US" w:eastAsia="zh-CN"/>
        </w:rPr>
        <w:t>森林生态系统中物种多样性、遗传多样性及生态系统多样性的总和。</w:t>
      </w:r>
    </w:p>
    <w:p w14:paraId="43628F42">
      <w:pPr>
        <w:pStyle w:val="105"/>
        <w:spacing w:before="240" w:after="240" w:line="360" w:lineRule="auto"/>
        <w:rPr>
          <w:rFonts w:hint="eastAsia"/>
          <w:szCs w:val="21"/>
        </w:rPr>
      </w:pPr>
      <w:bookmarkStart w:id="53" w:name="_Toc27920"/>
      <w:r>
        <w:rPr>
          <w:rFonts w:hint="eastAsia"/>
          <w:szCs w:val="21"/>
        </w:rPr>
        <w:t>监测内容与指标</w:t>
      </w:r>
      <w:bookmarkEnd w:id="53"/>
    </w:p>
    <w:p w14:paraId="25B8779C">
      <w:pPr>
        <w:pStyle w:val="224"/>
        <w:spacing w:line="360" w:lineRule="auto"/>
        <w:ind w:left="420" w:hanging="420" w:hangingChars="200"/>
        <w:outlineLvl w:val="1"/>
        <w:rPr>
          <w:rFonts w:hint="eastAsia" w:ascii="黑体" w:hAnsi="黑体" w:eastAsia="黑体"/>
        </w:rPr>
      </w:pPr>
      <w:r>
        <w:rPr>
          <w:rFonts w:hint="eastAsia" w:ascii="黑体" w:hAnsi="黑体" w:eastAsia="黑体"/>
        </w:rPr>
        <w:t>核心监测指标</w:t>
      </w:r>
    </w:p>
    <w:p w14:paraId="789DA0C5">
      <w:pPr>
        <w:pStyle w:val="57"/>
        <w:rPr>
          <w:rFonts w:hint="eastAsia" w:ascii="黑体" w:hAnsi="黑体" w:eastAsia="黑体"/>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14:paraId="3986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57D03256">
            <w:pPr>
              <w:pStyle w:val="57"/>
              <w:spacing w:line="360" w:lineRule="auto"/>
              <w:ind w:firstLine="420"/>
              <w:rPr>
                <w:rFonts w:hint="eastAsia"/>
                <w:b/>
                <w:bCs/>
                <w:lang w:val="en-US" w:eastAsia="zh-CN"/>
              </w:rPr>
            </w:pPr>
            <w:r>
              <w:rPr>
                <w:rFonts w:hint="default"/>
                <w:b/>
                <w:bCs/>
                <w:lang w:val="en-US" w:eastAsia="zh-CN"/>
              </w:rPr>
              <w:t>指标类别</w:t>
            </w:r>
          </w:p>
        </w:tc>
        <w:tc>
          <w:tcPr>
            <w:tcW w:w="3190" w:type="dxa"/>
          </w:tcPr>
          <w:p w14:paraId="1914DB28">
            <w:pPr>
              <w:pStyle w:val="57"/>
              <w:spacing w:line="360" w:lineRule="auto"/>
              <w:ind w:firstLine="420"/>
              <w:rPr>
                <w:rFonts w:hint="eastAsia"/>
                <w:b/>
                <w:bCs/>
                <w:lang w:val="en-US" w:eastAsia="zh-CN"/>
              </w:rPr>
            </w:pPr>
            <w:r>
              <w:rPr>
                <w:rFonts w:hint="default"/>
                <w:b/>
                <w:bCs/>
                <w:lang w:val="en-US" w:eastAsia="zh-CN"/>
              </w:rPr>
              <w:t>具体指标</w:t>
            </w:r>
          </w:p>
        </w:tc>
        <w:tc>
          <w:tcPr>
            <w:tcW w:w="3190" w:type="dxa"/>
          </w:tcPr>
          <w:p w14:paraId="701A3267">
            <w:pPr>
              <w:pStyle w:val="57"/>
              <w:spacing w:line="360" w:lineRule="auto"/>
              <w:ind w:firstLine="420"/>
              <w:rPr>
                <w:rFonts w:hint="eastAsia"/>
                <w:b/>
                <w:bCs/>
                <w:lang w:val="en-US" w:eastAsia="zh-CN"/>
              </w:rPr>
            </w:pPr>
            <w:r>
              <w:rPr>
                <w:rFonts w:hint="default"/>
                <w:b/>
                <w:bCs/>
                <w:lang w:val="en-US" w:eastAsia="zh-CN"/>
              </w:rPr>
              <w:t>监测频率</w:t>
            </w:r>
          </w:p>
        </w:tc>
      </w:tr>
      <w:tr w14:paraId="023A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61777A7B">
            <w:pPr>
              <w:pStyle w:val="57"/>
              <w:spacing w:line="360" w:lineRule="auto"/>
              <w:ind w:firstLine="420"/>
              <w:rPr>
                <w:rFonts w:hint="eastAsia"/>
                <w:lang w:val="en-US" w:eastAsia="zh-CN"/>
              </w:rPr>
            </w:pPr>
            <w:r>
              <w:rPr>
                <w:rFonts w:hint="default"/>
                <w:lang w:val="en-US" w:eastAsia="zh-CN"/>
              </w:rPr>
              <w:t>森林蓄积量</w:t>
            </w:r>
          </w:p>
        </w:tc>
        <w:tc>
          <w:tcPr>
            <w:tcW w:w="3190" w:type="dxa"/>
          </w:tcPr>
          <w:p w14:paraId="14DAE26B">
            <w:pPr>
              <w:pStyle w:val="57"/>
              <w:spacing w:line="360" w:lineRule="auto"/>
              <w:ind w:firstLine="420"/>
              <w:rPr>
                <w:rFonts w:hint="eastAsia"/>
                <w:lang w:val="en-US" w:eastAsia="zh-CN"/>
              </w:rPr>
            </w:pPr>
            <w:r>
              <w:rPr>
                <w:rFonts w:hint="default"/>
                <w:lang w:val="en-US" w:eastAsia="zh-CN"/>
              </w:rPr>
              <w:t>单位面积活立木蓄积量（m³/ha）</w:t>
            </w:r>
          </w:p>
        </w:tc>
        <w:tc>
          <w:tcPr>
            <w:tcW w:w="3190" w:type="dxa"/>
          </w:tcPr>
          <w:p w14:paraId="0B640D06">
            <w:pPr>
              <w:pStyle w:val="57"/>
              <w:spacing w:line="360" w:lineRule="auto"/>
              <w:ind w:firstLine="420"/>
              <w:rPr>
                <w:rFonts w:hint="eastAsia"/>
                <w:lang w:val="en-US" w:eastAsia="zh-CN"/>
              </w:rPr>
            </w:pPr>
            <w:r>
              <w:rPr>
                <w:rFonts w:hint="default"/>
                <w:lang w:val="en-US" w:eastAsia="zh-CN"/>
              </w:rPr>
              <w:t>年度</w:t>
            </w:r>
          </w:p>
        </w:tc>
      </w:tr>
      <w:tr w14:paraId="364E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6E1016EB">
            <w:pPr>
              <w:pStyle w:val="57"/>
              <w:spacing w:line="360" w:lineRule="auto"/>
              <w:ind w:firstLine="420"/>
              <w:rPr>
                <w:rFonts w:hint="eastAsia"/>
                <w:lang w:val="en-US" w:eastAsia="zh-CN"/>
              </w:rPr>
            </w:pPr>
            <w:r>
              <w:rPr>
                <w:rFonts w:hint="default"/>
                <w:lang w:val="en-US" w:eastAsia="zh-CN"/>
              </w:rPr>
              <w:t>林地面积</w:t>
            </w:r>
          </w:p>
        </w:tc>
        <w:tc>
          <w:tcPr>
            <w:tcW w:w="3190" w:type="dxa"/>
          </w:tcPr>
          <w:p w14:paraId="7759E823">
            <w:pPr>
              <w:pStyle w:val="57"/>
              <w:spacing w:line="360" w:lineRule="auto"/>
              <w:ind w:firstLine="420"/>
              <w:rPr>
                <w:rFonts w:hint="eastAsia"/>
                <w:lang w:val="en-US" w:eastAsia="zh-CN"/>
              </w:rPr>
            </w:pPr>
            <w:r>
              <w:rPr>
                <w:rFonts w:hint="default"/>
                <w:lang w:val="en-US" w:eastAsia="zh-CN"/>
              </w:rPr>
              <w:t>有林地、疏林地、灌木林地面积（ha）</w:t>
            </w:r>
          </w:p>
        </w:tc>
        <w:tc>
          <w:tcPr>
            <w:tcW w:w="3190" w:type="dxa"/>
          </w:tcPr>
          <w:p w14:paraId="3C1AE5C3">
            <w:pPr>
              <w:pStyle w:val="57"/>
              <w:spacing w:line="360" w:lineRule="auto"/>
              <w:ind w:firstLine="420"/>
              <w:rPr>
                <w:rFonts w:hint="eastAsia"/>
                <w:lang w:val="en-US" w:eastAsia="zh-CN"/>
              </w:rPr>
            </w:pPr>
            <w:r>
              <w:rPr>
                <w:rFonts w:hint="default"/>
                <w:lang w:val="en-US" w:eastAsia="zh-CN"/>
              </w:rPr>
              <w:t>季度</w:t>
            </w:r>
          </w:p>
        </w:tc>
      </w:tr>
      <w:tr w14:paraId="7419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6A2D5571">
            <w:pPr>
              <w:pStyle w:val="57"/>
              <w:spacing w:line="360" w:lineRule="auto"/>
              <w:ind w:firstLine="420"/>
              <w:rPr>
                <w:rFonts w:hint="eastAsia"/>
                <w:lang w:val="en-US" w:eastAsia="zh-CN"/>
              </w:rPr>
            </w:pPr>
            <w:r>
              <w:rPr>
                <w:rFonts w:hint="default"/>
                <w:lang w:val="en-US" w:eastAsia="zh-CN"/>
              </w:rPr>
              <w:t>森林健康状况</w:t>
            </w:r>
          </w:p>
        </w:tc>
        <w:tc>
          <w:tcPr>
            <w:tcW w:w="3190" w:type="dxa"/>
          </w:tcPr>
          <w:p w14:paraId="3C071236">
            <w:pPr>
              <w:pStyle w:val="57"/>
              <w:spacing w:line="360" w:lineRule="auto"/>
              <w:ind w:firstLine="420"/>
              <w:rPr>
                <w:rFonts w:hint="eastAsia"/>
                <w:lang w:val="en-US" w:eastAsia="zh-CN"/>
              </w:rPr>
            </w:pPr>
            <w:r>
              <w:rPr>
                <w:rFonts w:hint="default"/>
                <w:lang w:val="en-US" w:eastAsia="zh-CN"/>
              </w:rPr>
              <w:t>病虫害发生率、森林火灾受灾面积</w:t>
            </w:r>
          </w:p>
        </w:tc>
        <w:tc>
          <w:tcPr>
            <w:tcW w:w="3190" w:type="dxa"/>
          </w:tcPr>
          <w:p w14:paraId="547C6E93">
            <w:pPr>
              <w:pStyle w:val="57"/>
              <w:spacing w:line="360" w:lineRule="auto"/>
              <w:ind w:firstLine="420"/>
              <w:rPr>
                <w:rFonts w:hint="eastAsia"/>
                <w:lang w:val="en-US" w:eastAsia="zh-CN"/>
              </w:rPr>
            </w:pPr>
            <w:r>
              <w:rPr>
                <w:rFonts w:hint="default"/>
                <w:lang w:val="en-US" w:eastAsia="zh-CN"/>
              </w:rPr>
              <w:t>月度</w:t>
            </w:r>
          </w:p>
        </w:tc>
      </w:tr>
      <w:tr w14:paraId="6382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71B7DBC4">
            <w:pPr>
              <w:pStyle w:val="57"/>
              <w:spacing w:line="360" w:lineRule="auto"/>
              <w:ind w:firstLine="420"/>
              <w:rPr>
                <w:rFonts w:hint="eastAsia"/>
                <w:lang w:val="en-US" w:eastAsia="zh-CN"/>
              </w:rPr>
            </w:pPr>
            <w:r>
              <w:rPr>
                <w:rFonts w:hint="default"/>
                <w:lang w:val="en-US" w:eastAsia="zh-CN"/>
              </w:rPr>
              <w:t>生物多样性</w:t>
            </w:r>
          </w:p>
        </w:tc>
        <w:tc>
          <w:tcPr>
            <w:tcW w:w="3190" w:type="dxa"/>
          </w:tcPr>
          <w:p w14:paraId="0F706AB2">
            <w:pPr>
              <w:pStyle w:val="57"/>
              <w:spacing w:line="360" w:lineRule="auto"/>
              <w:ind w:firstLine="420"/>
              <w:rPr>
                <w:rFonts w:hint="eastAsia"/>
                <w:lang w:val="en-US" w:eastAsia="zh-CN"/>
              </w:rPr>
            </w:pPr>
            <w:r>
              <w:rPr>
                <w:rFonts w:hint="default"/>
                <w:lang w:val="en-US" w:eastAsia="zh-CN"/>
              </w:rPr>
              <w:t>物种丰富度、珍稀濒危物种数量</w:t>
            </w:r>
          </w:p>
        </w:tc>
        <w:tc>
          <w:tcPr>
            <w:tcW w:w="3190" w:type="dxa"/>
          </w:tcPr>
          <w:p w14:paraId="6FCC8E00">
            <w:pPr>
              <w:pStyle w:val="57"/>
              <w:spacing w:line="360" w:lineRule="auto"/>
              <w:ind w:firstLine="420"/>
              <w:rPr>
                <w:rFonts w:hint="eastAsia"/>
                <w:lang w:val="en-US" w:eastAsia="zh-CN"/>
              </w:rPr>
            </w:pPr>
            <w:r>
              <w:rPr>
                <w:rFonts w:hint="default"/>
                <w:lang w:val="en-US" w:eastAsia="zh-CN"/>
              </w:rPr>
              <w:t>两年一次</w:t>
            </w:r>
          </w:p>
        </w:tc>
      </w:tr>
    </w:tbl>
    <w:p w14:paraId="7C11D0C0">
      <w:pPr>
        <w:pStyle w:val="224"/>
        <w:spacing w:line="360" w:lineRule="auto"/>
        <w:ind w:left="420" w:hanging="420" w:hangingChars="200"/>
        <w:outlineLvl w:val="1"/>
        <w:rPr>
          <w:rFonts w:hint="eastAsia" w:ascii="黑体" w:hAnsi="黑体" w:eastAsia="黑体"/>
        </w:rPr>
      </w:pPr>
      <w:r>
        <w:rPr>
          <w:rFonts w:hint="eastAsia" w:ascii="黑体" w:hAnsi="黑体" w:eastAsia="黑体"/>
        </w:rPr>
        <w:t>扩展监测指标</w:t>
      </w:r>
    </w:p>
    <w:p w14:paraId="48FE971A">
      <w:pPr>
        <w:pStyle w:val="57"/>
        <w:spacing w:line="360" w:lineRule="auto"/>
        <w:ind w:firstLine="420"/>
        <w:rPr>
          <w:rFonts w:hint="eastAsia"/>
          <w:lang w:val="en-US" w:eastAsia="zh-CN"/>
        </w:rPr>
      </w:pPr>
      <w:r>
        <w:rPr>
          <w:rFonts w:hint="eastAsia"/>
          <w:lang w:val="en-US" w:eastAsia="zh-CN"/>
        </w:rPr>
        <w:t>碳汇功能：森林碳储量及年固碳量（t CO₂e）。</w:t>
      </w:r>
    </w:p>
    <w:p w14:paraId="0EBC7A79">
      <w:pPr>
        <w:pStyle w:val="57"/>
        <w:spacing w:line="360" w:lineRule="auto"/>
        <w:ind w:firstLine="420"/>
        <w:rPr>
          <w:rFonts w:hint="eastAsia"/>
          <w:lang w:val="en-US" w:eastAsia="zh-CN"/>
        </w:rPr>
      </w:pPr>
      <w:r>
        <w:rPr>
          <w:rFonts w:hint="eastAsia"/>
          <w:lang w:val="en-US" w:eastAsia="zh-CN"/>
        </w:rPr>
        <w:t>生态服务功能：水源涵养量、土壤保持量（m³/a）。</w:t>
      </w:r>
    </w:p>
    <w:p w14:paraId="530BABAA">
      <w:pPr>
        <w:pStyle w:val="57"/>
        <w:spacing w:line="360" w:lineRule="auto"/>
        <w:ind w:firstLine="420"/>
        <w:rPr>
          <w:rFonts w:hint="eastAsia"/>
          <w:lang w:val="en-US" w:eastAsia="zh-CN"/>
        </w:rPr>
      </w:pPr>
      <w:r>
        <w:rPr>
          <w:rFonts w:hint="eastAsia"/>
          <w:lang w:val="en-US" w:eastAsia="zh-CN"/>
        </w:rPr>
        <w:t>人为活动影响：非法采伐、林地占用面积（ha）。</w:t>
      </w:r>
    </w:p>
    <w:p w14:paraId="0FE4C0F9">
      <w:pPr>
        <w:pStyle w:val="105"/>
        <w:spacing w:before="240" w:after="240" w:line="360" w:lineRule="auto"/>
        <w:rPr>
          <w:rFonts w:hint="eastAsia"/>
          <w:szCs w:val="21"/>
        </w:rPr>
      </w:pPr>
      <w:bookmarkStart w:id="54" w:name="_Toc781"/>
      <w:r>
        <w:rPr>
          <w:rFonts w:hint="eastAsia"/>
          <w:szCs w:val="21"/>
        </w:rPr>
        <w:t>技术要求</w:t>
      </w:r>
      <w:bookmarkEnd w:id="54"/>
    </w:p>
    <w:p w14:paraId="330CC1C2">
      <w:pPr>
        <w:pStyle w:val="224"/>
        <w:spacing w:line="360" w:lineRule="auto"/>
        <w:ind w:left="420" w:hanging="420" w:hangingChars="200"/>
        <w:outlineLvl w:val="1"/>
        <w:rPr>
          <w:rFonts w:hint="eastAsia" w:ascii="黑体" w:hAnsi="黑体" w:eastAsia="黑体"/>
        </w:rPr>
      </w:pPr>
      <w:r>
        <w:rPr>
          <w:rFonts w:hint="eastAsia" w:ascii="黑体" w:hAnsi="黑体" w:eastAsia="黑体"/>
        </w:rPr>
        <w:t>数据采集</w:t>
      </w:r>
    </w:p>
    <w:p w14:paraId="68C458FD">
      <w:pPr>
        <w:pStyle w:val="57"/>
        <w:spacing w:line="360" w:lineRule="auto"/>
        <w:ind w:firstLine="420"/>
        <w:rPr>
          <w:rFonts w:hint="eastAsia"/>
          <w:lang w:val="en-US" w:eastAsia="zh-CN"/>
        </w:rPr>
      </w:pPr>
      <w:r>
        <w:rPr>
          <w:rFonts w:hint="eastAsia"/>
          <w:lang w:val="en-US" w:eastAsia="zh-CN"/>
        </w:rPr>
        <w:t>遥感数据：遥感数据应采用多光谱、高光谱及激光雷达（LiDAR）技术，空间分辨率≤5m，重访周期≤16天。</w:t>
      </w:r>
    </w:p>
    <w:p w14:paraId="43E05957">
      <w:pPr>
        <w:pStyle w:val="57"/>
        <w:spacing w:line="360" w:lineRule="auto"/>
        <w:ind w:firstLine="420"/>
        <w:rPr>
          <w:rFonts w:hint="eastAsia"/>
          <w:lang w:val="en-US" w:eastAsia="zh-CN"/>
        </w:rPr>
      </w:pPr>
      <w:r>
        <w:rPr>
          <w:rFonts w:hint="eastAsia"/>
          <w:lang w:val="en-US" w:eastAsia="zh-CN"/>
        </w:rPr>
        <w:t>地面调查：设置固定样地（面积≥0.06ha），每5年复测一次，记录胸径、树高、冠幅等参数。</w:t>
      </w:r>
    </w:p>
    <w:p w14:paraId="5AE40AF0">
      <w:pPr>
        <w:pStyle w:val="57"/>
        <w:spacing w:line="360" w:lineRule="auto"/>
        <w:ind w:firstLine="420"/>
        <w:rPr>
          <w:rFonts w:hint="eastAsia"/>
          <w:lang w:val="en-US" w:eastAsia="zh-CN"/>
        </w:rPr>
      </w:pPr>
      <w:r>
        <w:rPr>
          <w:rFonts w:hint="eastAsia"/>
          <w:lang w:val="en-US" w:eastAsia="zh-CN"/>
        </w:rPr>
        <w:t>物联网设备：部署土壤温湿度传感器、气象站及摄像头，实时传输数据至监测平台。</w:t>
      </w:r>
    </w:p>
    <w:p w14:paraId="271643EF">
      <w:pPr>
        <w:pStyle w:val="224"/>
        <w:spacing w:line="360" w:lineRule="auto"/>
        <w:ind w:left="420" w:hanging="420" w:hangingChars="200"/>
        <w:outlineLvl w:val="1"/>
        <w:rPr>
          <w:rFonts w:hint="eastAsia" w:ascii="黑体" w:hAnsi="黑体" w:eastAsia="黑体"/>
        </w:rPr>
      </w:pPr>
      <w:r>
        <w:rPr>
          <w:rFonts w:hint="eastAsia" w:ascii="黑体" w:hAnsi="黑体" w:eastAsia="黑体"/>
        </w:rPr>
        <w:t>数据处理</w:t>
      </w:r>
    </w:p>
    <w:p w14:paraId="744FB046">
      <w:pPr>
        <w:pStyle w:val="57"/>
        <w:spacing w:line="360" w:lineRule="auto"/>
        <w:ind w:firstLine="420"/>
        <w:rPr>
          <w:rFonts w:hint="eastAsia"/>
          <w:lang w:val="en-US" w:eastAsia="zh-CN"/>
        </w:rPr>
      </w:pPr>
      <w:r>
        <w:rPr>
          <w:rFonts w:hint="eastAsia"/>
          <w:lang w:val="en-US" w:eastAsia="zh-CN"/>
        </w:rPr>
        <w:t>数据融合：结合遥感影像与地面调查数据，采用随机森林算法生成森林资源分布图。</w:t>
      </w:r>
    </w:p>
    <w:p w14:paraId="2180222F">
      <w:pPr>
        <w:pStyle w:val="57"/>
        <w:spacing w:line="360" w:lineRule="auto"/>
        <w:ind w:firstLine="420"/>
        <w:rPr>
          <w:rFonts w:hint="eastAsia"/>
          <w:lang w:val="en-US" w:eastAsia="zh-CN"/>
        </w:rPr>
      </w:pPr>
      <w:r>
        <w:rPr>
          <w:rFonts w:hint="eastAsia"/>
          <w:lang w:val="en-US" w:eastAsia="zh-CN"/>
        </w:rPr>
        <w:t>精度验证：数据处理应通过混淆矩阵计算分类精度，总体精度≥85%，Kappa系数≥0.8。</w:t>
      </w:r>
    </w:p>
    <w:p w14:paraId="782023C1">
      <w:pPr>
        <w:pStyle w:val="224"/>
        <w:spacing w:line="360" w:lineRule="auto"/>
        <w:ind w:left="420" w:hanging="420" w:hangingChars="200"/>
        <w:outlineLvl w:val="1"/>
        <w:rPr>
          <w:rFonts w:hint="eastAsia" w:ascii="黑体" w:hAnsi="黑体" w:eastAsia="黑体"/>
        </w:rPr>
      </w:pPr>
      <w:r>
        <w:rPr>
          <w:rFonts w:hint="eastAsia" w:ascii="黑体" w:hAnsi="黑体" w:eastAsia="黑体"/>
        </w:rPr>
        <w:t>成果输出</w:t>
      </w:r>
    </w:p>
    <w:p w14:paraId="2F2C51D9">
      <w:pPr>
        <w:pStyle w:val="57"/>
        <w:spacing w:line="360" w:lineRule="auto"/>
        <w:ind w:firstLine="420"/>
        <w:rPr>
          <w:rFonts w:hint="eastAsia"/>
          <w:lang w:val="en-US" w:eastAsia="zh-CN"/>
        </w:rPr>
      </w:pPr>
      <w:r>
        <w:rPr>
          <w:rFonts w:hint="eastAsia"/>
          <w:lang w:val="en-US" w:eastAsia="zh-CN"/>
        </w:rPr>
        <w:t>专题图件：生成森林资源分布图、蓄积量等级图及变化趋势图（比例尺1:10万—1:25万）。</w:t>
      </w:r>
    </w:p>
    <w:p w14:paraId="222292EA">
      <w:pPr>
        <w:pStyle w:val="57"/>
        <w:spacing w:line="360" w:lineRule="auto"/>
        <w:ind w:firstLine="420"/>
        <w:rPr>
          <w:rFonts w:hint="eastAsia"/>
          <w:lang w:val="en-US" w:eastAsia="zh-CN"/>
        </w:rPr>
      </w:pPr>
      <w:r>
        <w:rPr>
          <w:rFonts w:hint="eastAsia"/>
          <w:lang w:val="en-US" w:eastAsia="zh-CN"/>
        </w:rPr>
        <w:t>统计报告：编制年度监测报告，包含数据汇总、问题分析及对策建议。</w:t>
      </w:r>
    </w:p>
    <w:p w14:paraId="2A66598A">
      <w:pPr>
        <w:pStyle w:val="105"/>
        <w:spacing w:before="240" w:after="240" w:line="360" w:lineRule="auto"/>
        <w:rPr>
          <w:rFonts w:hint="eastAsia"/>
          <w:szCs w:val="21"/>
        </w:rPr>
      </w:pPr>
      <w:bookmarkStart w:id="55" w:name="_Toc19978"/>
      <w:r>
        <w:rPr>
          <w:rFonts w:hint="eastAsia"/>
          <w:szCs w:val="21"/>
        </w:rPr>
        <w:t>实施流程</w:t>
      </w:r>
      <w:bookmarkEnd w:id="55"/>
    </w:p>
    <w:p w14:paraId="24AE8996">
      <w:pPr>
        <w:pStyle w:val="224"/>
        <w:spacing w:line="360" w:lineRule="auto"/>
        <w:ind w:left="420" w:hanging="420" w:hangingChars="200"/>
        <w:outlineLvl w:val="1"/>
        <w:rPr>
          <w:rFonts w:hint="eastAsia" w:ascii="黑体" w:hAnsi="黑体" w:eastAsia="黑体"/>
        </w:rPr>
      </w:pPr>
      <w:r>
        <w:rPr>
          <w:rFonts w:hint="eastAsia" w:ascii="黑体" w:hAnsi="黑体" w:eastAsia="黑体"/>
        </w:rPr>
        <w:t>准备阶段</w:t>
      </w:r>
    </w:p>
    <w:p w14:paraId="5545B07C">
      <w:pPr>
        <w:pStyle w:val="57"/>
        <w:spacing w:line="360" w:lineRule="auto"/>
        <w:ind w:firstLine="420"/>
        <w:rPr>
          <w:rFonts w:hint="eastAsia"/>
          <w:lang w:val="en-US" w:eastAsia="zh-CN"/>
        </w:rPr>
      </w:pPr>
      <w:r>
        <w:rPr>
          <w:rFonts w:hint="eastAsia"/>
          <w:lang w:val="en-US" w:eastAsia="zh-CN"/>
        </w:rPr>
        <w:t>制定监测方案，明确目标、范围及技术路线。</w:t>
      </w:r>
    </w:p>
    <w:p w14:paraId="12E4A907">
      <w:pPr>
        <w:pStyle w:val="57"/>
        <w:spacing w:line="360" w:lineRule="auto"/>
        <w:ind w:firstLine="420"/>
        <w:rPr>
          <w:rFonts w:hint="eastAsia"/>
          <w:lang w:val="en-US" w:eastAsia="zh-CN"/>
        </w:rPr>
      </w:pPr>
      <w:r>
        <w:rPr>
          <w:rFonts w:hint="eastAsia"/>
          <w:lang w:val="en-US" w:eastAsia="zh-CN"/>
        </w:rPr>
        <w:t>组建专业团队，开展技术培训（年均学时≥24小时）。</w:t>
      </w:r>
    </w:p>
    <w:p w14:paraId="6C5E9A40">
      <w:pPr>
        <w:pStyle w:val="224"/>
        <w:spacing w:line="360" w:lineRule="auto"/>
        <w:ind w:left="420" w:hanging="420" w:hangingChars="200"/>
        <w:outlineLvl w:val="1"/>
        <w:rPr>
          <w:rFonts w:hint="eastAsia" w:ascii="黑体" w:hAnsi="黑体" w:eastAsia="黑体"/>
        </w:rPr>
      </w:pPr>
      <w:r>
        <w:rPr>
          <w:rFonts w:hint="eastAsia" w:ascii="黑体" w:hAnsi="黑体" w:eastAsia="黑体"/>
        </w:rPr>
        <w:t>数据采集阶段</w:t>
      </w:r>
    </w:p>
    <w:p w14:paraId="797A73F6">
      <w:pPr>
        <w:pStyle w:val="57"/>
        <w:spacing w:line="360" w:lineRule="auto"/>
        <w:ind w:firstLine="420"/>
        <w:rPr>
          <w:rFonts w:hint="eastAsia"/>
          <w:lang w:val="en-US" w:eastAsia="zh-CN"/>
        </w:rPr>
      </w:pPr>
      <w:r>
        <w:rPr>
          <w:rFonts w:hint="eastAsia"/>
          <w:lang w:val="en-US" w:eastAsia="zh-CN"/>
        </w:rPr>
        <w:t>按计划完成遥感影像获取、样地调查及设备部署。</w:t>
      </w:r>
    </w:p>
    <w:p w14:paraId="3363F319">
      <w:pPr>
        <w:pStyle w:val="57"/>
        <w:spacing w:line="360" w:lineRule="auto"/>
        <w:ind w:firstLine="420"/>
        <w:rPr>
          <w:rFonts w:hint="eastAsia"/>
          <w:lang w:val="en-US" w:eastAsia="zh-CN"/>
        </w:rPr>
      </w:pPr>
      <w:r>
        <w:rPr>
          <w:rFonts w:hint="eastAsia"/>
          <w:lang w:val="en-US" w:eastAsia="zh-CN"/>
        </w:rPr>
        <w:t>实时校验数据质量，异常值剔除率≤5%。</w:t>
      </w:r>
    </w:p>
    <w:p w14:paraId="5656E0D9">
      <w:pPr>
        <w:pStyle w:val="224"/>
        <w:spacing w:line="360" w:lineRule="auto"/>
        <w:ind w:left="420" w:hanging="420" w:hangingChars="200"/>
        <w:outlineLvl w:val="1"/>
        <w:rPr>
          <w:rFonts w:hint="eastAsia" w:ascii="黑体" w:hAnsi="黑体" w:eastAsia="黑体"/>
        </w:rPr>
      </w:pPr>
      <w:r>
        <w:rPr>
          <w:rFonts w:hint="eastAsia" w:ascii="黑体" w:hAnsi="黑体" w:eastAsia="黑体"/>
        </w:rPr>
        <w:t>分析阶段</w:t>
      </w:r>
    </w:p>
    <w:p w14:paraId="4082B308">
      <w:pPr>
        <w:pStyle w:val="57"/>
        <w:spacing w:line="360" w:lineRule="auto"/>
        <w:ind w:firstLine="420"/>
        <w:rPr>
          <w:rFonts w:hint="eastAsia"/>
          <w:lang w:val="en-US" w:eastAsia="zh-CN"/>
        </w:rPr>
      </w:pPr>
      <w:r>
        <w:rPr>
          <w:rFonts w:hint="eastAsia"/>
          <w:lang w:val="en-US" w:eastAsia="zh-CN"/>
        </w:rPr>
        <w:t>运用GIS空间分析工具，识别森林资源变化热点区域。</w:t>
      </w:r>
    </w:p>
    <w:p w14:paraId="6D886597">
      <w:pPr>
        <w:pStyle w:val="57"/>
        <w:spacing w:line="360" w:lineRule="auto"/>
        <w:ind w:firstLine="420"/>
        <w:rPr>
          <w:rFonts w:hint="eastAsia"/>
          <w:lang w:val="en-US" w:eastAsia="zh-CN"/>
        </w:rPr>
      </w:pPr>
      <w:r>
        <w:rPr>
          <w:rFonts w:hint="eastAsia"/>
          <w:lang w:val="en-US" w:eastAsia="zh-CN"/>
        </w:rPr>
        <w:t>结合气候、地形数据，分析变化驱动因素。</w:t>
      </w:r>
    </w:p>
    <w:p w14:paraId="1B3AD472">
      <w:pPr>
        <w:pStyle w:val="224"/>
        <w:spacing w:line="360" w:lineRule="auto"/>
        <w:ind w:left="420" w:hanging="420" w:hangingChars="200"/>
        <w:outlineLvl w:val="1"/>
        <w:rPr>
          <w:rFonts w:hint="eastAsia" w:ascii="黑体" w:hAnsi="黑体" w:eastAsia="黑体"/>
        </w:rPr>
      </w:pPr>
      <w:r>
        <w:rPr>
          <w:rFonts w:hint="eastAsia" w:ascii="黑体" w:hAnsi="黑体" w:eastAsia="黑体"/>
        </w:rPr>
        <w:t>成果应用阶段</w:t>
      </w:r>
    </w:p>
    <w:p w14:paraId="5D11D268">
      <w:pPr>
        <w:pStyle w:val="57"/>
        <w:spacing w:line="360" w:lineRule="auto"/>
        <w:ind w:firstLine="420"/>
        <w:rPr>
          <w:rFonts w:hint="eastAsia"/>
          <w:lang w:val="en-US" w:eastAsia="zh-CN"/>
        </w:rPr>
      </w:pPr>
      <w:r>
        <w:rPr>
          <w:rFonts w:hint="eastAsia"/>
          <w:lang w:val="en-US" w:eastAsia="zh-CN"/>
        </w:rPr>
        <w:t>将监测结果纳入林业规划、生态补偿及执法监督体系。</w:t>
      </w:r>
    </w:p>
    <w:p w14:paraId="33FD4923">
      <w:pPr>
        <w:pStyle w:val="57"/>
        <w:spacing w:line="360" w:lineRule="auto"/>
        <w:ind w:firstLine="420"/>
        <w:rPr>
          <w:rFonts w:hint="eastAsia"/>
          <w:lang w:val="en-US" w:eastAsia="zh-CN"/>
        </w:rPr>
      </w:pPr>
      <w:r>
        <w:rPr>
          <w:rFonts w:hint="eastAsia"/>
          <w:lang w:val="en-US" w:eastAsia="zh-CN"/>
        </w:rPr>
        <w:t>定期向社会公开监测数据，接受公众监督。</w:t>
      </w:r>
    </w:p>
    <w:p w14:paraId="096BCF6C">
      <w:pPr>
        <w:pStyle w:val="105"/>
        <w:spacing w:before="240" w:after="240" w:line="360" w:lineRule="auto"/>
        <w:rPr>
          <w:rFonts w:hint="eastAsia"/>
          <w:szCs w:val="21"/>
        </w:rPr>
      </w:pPr>
      <w:bookmarkStart w:id="56" w:name="_Toc21735"/>
      <w:r>
        <w:rPr>
          <w:rFonts w:hint="eastAsia"/>
          <w:szCs w:val="21"/>
        </w:rPr>
        <w:t>监督与管理</w:t>
      </w:r>
      <w:bookmarkEnd w:id="56"/>
    </w:p>
    <w:p w14:paraId="6A560571">
      <w:pPr>
        <w:pStyle w:val="224"/>
        <w:spacing w:line="360" w:lineRule="auto"/>
        <w:ind w:left="420" w:hanging="420" w:hangingChars="200"/>
        <w:outlineLvl w:val="1"/>
        <w:rPr>
          <w:rFonts w:hint="eastAsia" w:ascii="黑体" w:hAnsi="黑体" w:eastAsia="黑体"/>
        </w:rPr>
      </w:pPr>
      <w:r>
        <w:rPr>
          <w:rFonts w:hint="eastAsia" w:ascii="黑体" w:hAnsi="黑体" w:eastAsia="黑体"/>
        </w:rPr>
        <w:t>质量管控</w:t>
      </w:r>
    </w:p>
    <w:p w14:paraId="177864FD">
      <w:pPr>
        <w:pStyle w:val="57"/>
        <w:spacing w:line="360" w:lineRule="auto"/>
        <w:ind w:firstLine="420"/>
        <w:rPr>
          <w:rFonts w:hint="eastAsia"/>
          <w:lang w:val="en-US" w:eastAsia="zh-CN"/>
        </w:rPr>
      </w:pPr>
      <w:r>
        <w:rPr>
          <w:rFonts w:hint="eastAsia"/>
          <w:lang w:val="en-US" w:eastAsia="zh-CN"/>
        </w:rPr>
        <w:t>建立三级审核机制（项目组、技术组、专家组），确保数据真实性。</w:t>
      </w:r>
    </w:p>
    <w:p w14:paraId="6DF40AED">
      <w:pPr>
        <w:pStyle w:val="57"/>
        <w:spacing w:line="360" w:lineRule="auto"/>
        <w:ind w:firstLine="420"/>
        <w:rPr>
          <w:rFonts w:hint="eastAsia"/>
          <w:lang w:val="en-US" w:eastAsia="zh-CN"/>
        </w:rPr>
      </w:pPr>
      <w:r>
        <w:rPr>
          <w:rFonts w:hint="eastAsia"/>
          <w:lang w:val="en-US" w:eastAsia="zh-CN"/>
        </w:rPr>
        <w:t>扩展监测指标中，森林碳储量及年固碳量（t CO₂e）应每年更新，水源涵养量、土壤保持量（m³/a）按需监测。</w:t>
      </w:r>
    </w:p>
    <w:p w14:paraId="783746B8">
      <w:pPr>
        <w:pStyle w:val="224"/>
        <w:spacing w:line="360" w:lineRule="auto"/>
        <w:ind w:left="420" w:hanging="420" w:hangingChars="200"/>
        <w:outlineLvl w:val="1"/>
        <w:rPr>
          <w:rFonts w:hint="eastAsia" w:ascii="黑体" w:hAnsi="黑体" w:eastAsia="黑体"/>
        </w:rPr>
      </w:pPr>
      <w:r>
        <w:rPr>
          <w:rFonts w:hint="eastAsia" w:ascii="黑体" w:hAnsi="黑体" w:eastAsia="黑体"/>
        </w:rPr>
        <w:t>档案管理</w:t>
      </w:r>
    </w:p>
    <w:p w14:paraId="5B73D992">
      <w:pPr>
        <w:pStyle w:val="57"/>
        <w:spacing w:line="360" w:lineRule="auto"/>
        <w:ind w:firstLine="420"/>
        <w:rPr>
          <w:rFonts w:hint="eastAsia"/>
          <w:lang w:val="en-US" w:eastAsia="zh-CN"/>
        </w:rPr>
      </w:pPr>
      <w:r>
        <w:rPr>
          <w:rFonts w:hint="eastAsia"/>
          <w:lang w:val="en-US" w:eastAsia="zh-CN"/>
        </w:rPr>
        <w:t>原始数据、处理记录及成果报告保存期限≥10年。</w:t>
      </w:r>
    </w:p>
    <w:p w14:paraId="19685D1C">
      <w:pPr>
        <w:pStyle w:val="57"/>
        <w:spacing w:line="360" w:lineRule="auto"/>
        <w:ind w:firstLine="420"/>
        <w:rPr>
          <w:rFonts w:hint="eastAsia"/>
          <w:lang w:val="en-US" w:eastAsia="zh-CN"/>
        </w:rPr>
      </w:pPr>
      <w:r>
        <w:rPr>
          <w:rFonts w:hint="eastAsia"/>
          <w:lang w:val="en-US" w:eastAsia="zh-CN"/>
        </w:rPr>
        <w:t>采用电子化档案管理系统，支持快速检索与追溯。</w:t>
      </w:r>
    </w:p>
    <w:p w14:paraId="4553442C">
      <w:pPr>
        <w:pStyle w:val="224"/>
        <w:spacing w:line="360" w:lineRule="auto"/>
        <w:ind w:left="420" w:hanging="420" w:hangingChars="200"/>
        <w:outlineLvl w:val="1"/>
        <w:rPr>
          <w:rFonts w:hint="eastAsia" w:ascii="黑体" w:hAnsi="黑体" w:eastAsia="黑体"/>
        </w:rPr>
      </w:pPr>
      <w:r>
        <w:rPr>
          <w:rFonts w:hint="eastAsia" w:ascii="黑体" w:hAnsi="黑体" w:eastAsia="黑体"/>
        </w:rPr>
        <w:t>持续改进</w:t>
      </w:r>
    </w:p>
    <w:p w14:paraId="1F0CA683">
      <w:pPr>
        <w:pStyle w:val="57"/>
        <w:spacing w:line="360" w:lineRule="auto"/>
        <w:ind w:firstLine="420"/>
        <w:rPr>
          <w:rFonts w:hint="eastAsia"/>
          <w:lang w:val="en-US" w:eastAsia="zh-CN"/>
        </w:rPr>
      </w:pPr>
      <w:r>
        <w:rPr>
          <w:rFonts w:hint="eastAsia"/>
          <w:lang w:val="en-US" w:eastAsia="zh-CN"/>
        </w:rPr>
        <w:t>根据技术发展及政策需求，每3年修订一次标准内容。</w:t>
      </w:r>
    </w:p>
    <w:p w14:paraId="2627DC9A">
      <w:pPr>
        <w:pStyle w:val="57"/>
        <w:spacing w:line="360" w:lineRule="auto"/>
        <w:ind w:firstLine="420"/>
        <w:rPr>
          <w:rFonts w:hint="eastAsia"/>
          <w:lang w:val="en-US" w:eastAsia="zh-CN"/>
        </w:rPr>
      </w:pPr>
      <w:r>
        <w:rPr>
          <w:rFonts w:hint="eastAsia"/>
          <w:lang w:val="en-US" w:eastAsia="zh-CN"/>
        </w:rPr>
        <w:t>鼓励科研机构参与标准优化，推动技术创新。</w:t>
      </w: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2"/>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2"/>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2"/>
    </w:pPr>
    <w:r>
      <w:fldChar w:fldCharType="begin"/>
    </w:r>
    <w:r>
      <w:instrText xml:space="preserve"> STYLEREF  标准文件_文件编号  \* MERGEFORMAT </w:instrText>
    </w:r>
    <w:r>
      <w:fldChar w:fldCharType="separate"/>
    </w:r>
    <w:r>
      <w:t>T/XZBX 0119—2025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0119—2025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2"/>
    </w:pPr>
    <w:r>
      <w:fldChar w:fldCharType="begin"/>
    </w:r>
    <w:r>
      <w:instrText xml:space="preserve"> STYLEREF  标准文件_文件编号  \* MERGEFORMAT </w:instrText>
    </w:r>
    <w:r>
      <w:fldChar w:fldCharType="separate"/>
    </w:r>
    <w:r>
      <w:t>T/XZBX 0119—2025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0119—2025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2"/>
    </w:pPr>
    <w:r>
      <w:fldChar w:fldCharType="begin"/>
    </w:r>
    <w:r>
      <w:instrText xml:space="preserve"> STYLEREF  标准文件_文件编号  \* MERGEFORMAT </w:instrText>
    </w:r>
    <w:r>
      <w:fldChar w:fldCharType="separate"/>
    </w:r>
    <w:r>
      <w:t>T/XZBX 0119—2025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0119—2025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2"/>
    </w:pPr>
    <w:r>
      <w:fldChar w:fldCharType="begin"/>
    </w:r>
    <w:r>
      <w:instrText xml:space="preserve"> STYLEREF  标准文件_文件编号  \* MERGEFORMAT </w:instrText>
    </w:r>
    <w:r>
      <w:fldChar w:fldCharType="separate"/>
    </w:r>
    <w:r>
      <w:t>T/XZBX 0119—2025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0119—2025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063AB2"/>
    <w:rsid w:val="0227136C"/>
    <w:rsid w:val="02571F5F"/>
    <w:rsid w:val="04C133B2"/>
    <w:rsid w:val="04D644D2"/>
    <w:rsid w:val="058D7738"/>
    <w:rsid w:val="0594649B"/>
    <w:rsid w:val="06450013"/>
    <w:rsid w:val="067676BD"/>
    <w:rsid w:val="083D5267"/>
    <w:rsid w:val="09EA5159"/>
    <w:rsid w:val="0A5B38F1"/>
    <w:rsid w:val="0A5B6057"/>
    <w:rsid w:val="0BAE0408"/>
    <w:rsid w:val="119836EC"/>
    <w:rsid w:val="11A5092B"/>
    <w:rsid w:val="123C051C"/>
    <w:rsid w:val="13225964"/>
    <w:rsid w:val="1367270D"/>
    <w:rsid w:val="13955CCA"/>
    <w:rsid w:val="14B52807"/>
    <w:rsid w:val="15227E9D"/>
    <w:rsid w:val="16104199"/>
    <w:rsid w:val="16B94831"/>
    <w:rsid w:val="176C54EA"/>
    <w:rsid w:val="18115FA7"/>
    <w:rsid w:val="18C67773"/>
    <w:rsid w:val="194523AC"/>
    <w:rsid w:val="19996E8D"/>
    <w:rsid w:val="1ACA4340"/>
    <w:rsid w:val="1B04693D"/>
    <w:rsid w:val="1BC616CD"/>
    <w:rsid w:val="1D9A07EC"/>
    <w:rsid w:val="1F554A44"/>
    <w:rsid w:val="1FF24E4E"/>
    <w:rsid w:val="234E00AF"/>
    <w:rsid w:val="23AE5EF7"/>
    <w:rsid w:val="28AC6949"/>
    <w:rsid w:val="28CB3F50"/>
    <w:rsid w:val="2B4D4497"/>
    <w:rsid w:val="2BAF1907"/>
    <w:rsid w:val="2BFE65C2"/>
    <w:rsid w:val="2C7B4F1A"/>
    <w:rsid w:val="2C90587C"/>
    <w:rsid w:val="2CDE24A4"/>
    <w:rsid w:val="2FBF58A6"/>
    <w:rsid w:val="2FC71A29"/>
    <w:rsid w:val="30185CCC"/>
    <w:rsid w:val="30234671"/>
    <w:rsid w:val="33890C8F"/>
    <w:rsid w:val="33F61CAC"/>
    <w:rsid w:val="34980849"/>
    <w:rsid w:val="34CD1F56"/>
    <w:rsid w:val="36136B10"/>
    <w:rsid w:val="36462E68"/>
    <w:rsid w:val="38844435"/>
    <w:rsid w:val="39423DBA"/>
    <w:rsid w:val="39AD1CD6"/>
    <w:rsid w:val="3AD924FC"/>
    <w:rsid w:val="3B27385D"/>
    <w:rsid w:val="3B9C63F9"/>
    <w:rsid w:val="3D031FD4"/>
    <w:rsid w:val="3D09631F"/>
    <w:rsid w:val="401C07FB"/>
    <w:rsid w:val="42293D69"/>
    <w:rsid w:val="427A2817"/>
    <w:rsid w:val="429D02B3"/>
    <w:rsid w:val="42EA346B"/>
    <w:rsid w:val="433E1A96"/>
    <w:rsid w:val="443D5731"/>
    <w:rsid w:val="46DF70EC"/>
    <w:rsid w:val="47203CF1"/>
    <w:rsid w:val="47310761"/>
    <w:rsid w:val="48972517"/>
    <w:rsid w:val="48BF5427"/>
    <w:rsid w:val="4AC80D07"/>
    <w:rsid w:val="4DBC3641"/>
    <w:rsid w:val="4F0911AA"/>
    <w:rsid w:val="50242014"/>
    <w:rsid w:val="508A00C9"/>
    <w:rsid w:val="51527191"/>
    <w:rsid w:val="51962A9D"/>
    <w:rsid w:val="53890B0C"/>
    <w:rsid w:val="54322F51"/>
    <w:rsid w:val="55515659"/>
    <w:rsid w:val="55911EF9"/>
    <w:rsid w:val="585316E8"/>
    <w:rsid w:val="58676F42"/>
    <w:rsid w:val="588B70D4"/>
    <w:rsid w:val="59AA17DC"/>
    <w:rsid w:val="59D96484"/>
    <w:rsid w:val="5AA82FEB"/>
    <w:rsid w:val="5BA81D4B"/>
    <w:rsid w:val="5DBE5856"/>
    <w:rsid w:val="5F5C378C"/>
    <w:rsid w:val="5FAB3BB8"/>
    <w:rsid w:val="60792979"/>
    <w:rsid w:val="60C50CA9"/>
    <w:rsid w:val="61DE0274"/>
    <w:rsid w:val="62AA0FF0"/>
    <w:rsid w:val="62CE02E9"/>
    <w:rsid w:val="63422A85"/>
    <w:rsid w:val="64562060"/>
    <w:rsid w:val="65705687"/>
    <w:rsid w:val="658E3D60"/>
    <w:rsid w:val="65B73BCD"/>
    <w:rsid w:val="66E77BCB"/>
    <w:rsid w:val="68846345"/>
    <w:rsid w:val="68F62348"/>
    <w:rsid w:val="69407A67"/>
    <w:rsid w:val="694C1F68"/>
    <w:rsid w:val="6B0B7C00"/>
    <w:rsid w:val="6B4C26F3"/>
    <w:rsid w:val="6BF559D1"/>
    <w:rsid w:val="6C351337"/>
    <w:rsid w:val="6CE55009"/>
    <w:rsid w:val="6F387D5A"/>
    <w:rsid w:val="6F655B31"/>
    <w:rsid w:val="6FA80114"/>
    <w:rsid w:val="71357785"/>
    <w:rsid w:val="72653996"/>
    <w:rsid w:val="72695938"/>
    <w:rsid w:val="72A921D9"/>
    <w:rsid w:val="7367064C"/>
    <w:rsid w:val="7417727F"/>
    <w:rsid w:val="756B293B"/>
    <w:rsid w:val="78AD1F12"/>
    <w:rsid w:val="79A4194C"/>
    <w:rsid w:val="79AE0B42"/>
    <w:rsid w:val="7AA54A68"/>
    <w:rsid w:val="7C093CE8"/>
    <w:rsid w:val="7C1E59E5"/>
    <w:rsid w:val="7CCE07E8"/>
    <w:rsid w:val="7D5D4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2242</Words>
  <Characters>2450</Characters>
  <Lines>48</Lines>
  <Paragraphs>13</Paragraphs>
  <TotalTime>0</TotalTime>
  <ScaleCrop>false</ScaleCrop>
  <LinksUpToDate>false</LinksUpToDate>
  <CharactersWithSpaces>2509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2025-10-31T01:57:20Z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eyJoZGlkIjoiZDE0YjJmN2Y1YzFkNjlmYjlkYTI4YTI1MzIwNzJiMDMiLCJ1c2VySWQiOiIxNDE1OTEzOTEwIn0=</vt:lpwstr>
  </property>
  <property fmtid="{D5CDD505-2E9C-101B-9397-08002B2CF9AE}" pid="16" name="KSOProductBuildVer">
    <vt:lpwstr>2052-12.1.0.23542</vt:lpwstr>
  </property>
  <property fmtid="{D5CDD505-2E9C-101B-9397-08002B2CF9AE}" pid="17" name="ICV">
    <vt:lpwstr>A30C2BEBB02B4030816E82C94804B5C9_12</vt:lpwstr>
  </property>
</Properties>
</file>