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3.0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93.020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E 48"/>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E 48</w:t>
            </w:r>
            <w:r>
              <w:rPr>
                <w:rFonts w:ascii="黑体" w:hAnsi="黑体" w:eastAsia="黑体" w:cs="Times New Roman"/>
                <w:kern w:val="2"/>
                <w:sz w:val="21"/>
                <w:szCs w:val="21"/>
                <w:lang w:val="en-US" w:eastAsia="zh-CN" w:bidi="ar-SA"/>
              </w:rPr>
              <w:fldChar w:fldCharType="end"/>
            </w:r>
            <w:bookmarkEnd w:id="2"/>
          </w:p>
        </w:tc>
      </w:tr>
    </w:tbl>
    <w:p w14:paraId="7C20094D">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5"/>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1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0115</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0"/>
        <w:framePr w:w="9639" w:h="6976" w:hRule="exact" w:hSpace="0" w:vSpace="0" w:wrap="around" w:hAnchor="page" w:y="6408"/>
        <w:jc w:val="center"/>
        <w:rPr>
          <w:rFonts w:ascii="黑体" w:hAnsi="黑体" w:eastAsia="黑体"/>
          <w:b w:val="0"/>
          <w:bCs w:val="0"/>
          <w:w w:val="100"/>
        </w:rPr>
      </w:pPr>
    </w:p>
    <w:p w14:paraId="32EC4788">
      <w:pPr>
        <w:pStyle w:val="197"/>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工程地质勘察中岩土体稳定性评价流程要点"/>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工程地质勘察中岩土体稳定性评价流程要点</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5"/>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Key Points of the Evaluation Process for Rock and Soil Mass Stability in Engineering Geological Investigation"/>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Key Points of the Evaluation Process for Rock and Soil Mass Stability in Engineering Geological Investigation</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5"/>
        <w:framePr w:w="9639" w:h="6974" w:hRule="exact" w:wrap="around" w:vAnchor="page" w:hAnchor="page" w:x="1419" w:y="6408" w:anchorLock="1"/>
        <w:textAlignment w:val="bottom"/>
        <w:rPr>
          <w:rFonts w:eastAsia="黑体"/>
          <w:szCs w:val="28"/>
        </w:rPr>
      </w:pPr>
    </w:p>
    <w:p w14:paraId="1EEEC87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1"/>
        <w:spacing w:after="360"/>
      </w:pPr>
      <w:bookmarkStart w:id="21" w:name="BookMark1"/>
      <w:bookmarkStart w:id="22" w:name="_Toc197342205"/>
      <w:r>
        <w:rPr>
          <w:rFonts w:hint="eastAsia"/>
          <w:spacing w:val="320"/>
        </w:rPr>
        <w:t>目</w:t>
      </w:r>
      <w:r>
        <w:rPr>
          <w:rFonts w:hint="eastAsia"/>
        </w:rPr>
        <w:t>次</w:t>
      </w:r>
    </w:p>
    <w:p w14:paraId="3F618190">
      <w:pPr>
        <w:pStyle w:val="19"/>
        <w:tabs>
          <w:tab w:val="right" w:leader="dot" w:pos="9354"/>
        </w:tabs>
      </w:pPr>
      <w:r>
        <w:fldChar w:fldCharType="begin"/>
      </w:r>
      <w:r>
        <w:instrText xml:space="preserve"> TOC \o "1-1" \h </w:instrText>
      </w:r>
      <w:r>
        <w:fldChar w:fldCharType="separate"/>
      </w:r>
      <w:r>
        <w:fldChar w:fldCharType="begin"/>
      </w:r>
      <w:r>
        <w:instrText xml:space="preserve"> HYPERLINK \l _Toc9134 </w:instrText>
      </w:r>
      <w:r>
        <w:fldChar w:fldCharType="separate"/>
      </w:r>
      <w:r>
        <w:rPr>
          <w:spacing w:val="320"/>
        </w:rPr>
        <w:t>前</w:t>
      </w:r>
      <w:r>
        <w:t>言</w:t>
      </w:r>
      <w:r>
        <w:tab/>
      </w:r>
      <w:r>
        <w:fldChar w:fldCharType="begin"/>
      </w:r>
      <w:r>
        <w:instrText xml:space="preserve"> PAGEREF _Toc9134 \h </w:instrText>
      </w:r>
      <w:r>
        <w:fldChar w:fldCharType="separate"/>
      </w:r>
      <w:r>
        <w:t>III</w:t>
      </w:r>
      <w:r>
        <w:fldChar w:fldCharType="end"/>
      </w:r>
      <w:r>
        <w:fldChar w:fldCharType="end"/>
      </w:r>
    </w:p>
    <w:p w14:paraId="5DA002EC">
      <w:pPr>
        <w:pStyle w:val="19"/>
        <w:tabs>
          <w:tab w:val="right" w:leader="dot" w:pos="9354"/>
        </w:tabs>
      </w:pPr>
      <w:r>
        <w:fldChar w:fldCharType="begin"/>
      </w:r>
      <w:r>
        <w:instrText xml:space="preserve"> HYPERLINK \l _Toc26106 </w:instrText>
      </w:r>
      <w:r>
        <w:fldChar w:fldCharType="separate"/>
      </w:r>
      <w:r>
        <w:rPr>
          <w:spacing w:val="320"/>
        </w:rPr>
        <w:t>引</w:t>
      </w:r>
      <w:r>
        <w:t>言</w:t>
      </w:r>
      <w:r>
        <w:tab/>
      </w:r>
      <w:r>
        <w:fldChar w:fldCharType="begin"/>
      </w:r>
      <w:r>
        <w:instrText xml:space="preserve"> PAGEREF _Toc26106 \h </w:instrText>
      </w:r>
      <w:r>
        <w:fldChar w:fldCharType="separate"/>
      </w:r>
      <w:r>
        <w:t>V</w:t>
      </w:r>
      <w:r>
        <w:fldChar w:fldCharType="end"/>
      </w:r>
      <w:r>
        <w:fldChar w:fldCharType="end"/>
      </w:r>
    </w:p>
    <w:p w14:paraId="67F816B4">
      <w:pPr>
        <w:pStyle w:val="19"/>
        <w:tabs>
          <w:tab w:val="right" w:leader="dot" w:pos="9354"/>
        </w:tabs>
      </w:pPr>
      <w:r>
        <w:fldChar w:fldCharType="begin"/>
      </w:r>
      <w:r>
        <w:instrText xml:space="preserve"> HYPERLINK \l _Toc11825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_Toc11825 \h </w:instrText>
      </w:r>
      <w:r>
        <w:fldChar w:fldCharType="separate"/>
      </w:r>
      <w:r>
        <w:t>1</w:t>
      </w:r>
      <w:r>
        <w:fldChar w:fldCharType="end"/>
      </w:r>
      <w:r>
        <w:fldChar w:fldCharType="end"/>
      </w:r>
    </w:p>
    <w:p w14:paraId="6426EE45">
      <w:pPr>
        <w:pStyle w:val="19"/>
        <w:tabs>
          <w:tab w:val="right" w:leader="dot" w:pos="9354"/>
        </w:tabs>
      </w:pPr>
      <w:r>
        <w:fldChar w:fldCharType="begin"/>
      </w:r>
      <w:r>
        <w:instrText xml:space="preserve"> HYPERLINK \l _Toc16875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_Toc16875 \h </w:instrText>
      </w:r>
      <w:r>
        <w:fldChar w:fldCharType="separate"/>
      </w:r>
      <w:r>
        <w:t>1</w:t>
      </w:r>
      <w:r>
        <w:fldChar w:fldCharType="end"/>
      </w:r>
      <w:r>
        <w:fldChar w:fldCharType="end"/>
      </w:r>
    </w:p>
    <w:p w14:paraId="5B41F9A6">
      <w:pPr>
        <w:pStyle w:val="19"/>
        <w:tabs>
          <w:tab w:val="right" w:leader="dot" w:pos="9354"/>
        </w:tabs>
      </w:pPr>
      <w:r>
        <w:fldChar w:fldCharType="begin"/>
      </w:r>
      <w:r>
        <w:instrText xml:space="preserve"> HYPERLINK \l _Toc13452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_Toc13452 \h </w:instrText>
      </w:r>
      <w:r>
        <w:fldChar w:fldCharType="separate"/>
      </w:r>
      <w:r>
        <w:t>1</w:t>
      </w:r>
      <w:r>
        <w:fldChar w:fldCharType="end"/>
      </w:r>
      <w:r>
        <w:fldChar w:fldCharType="end"/>
      </w:r>
    </w:p>
    <w:p w14:paraId="1C1F969F">
      <w:pPr>
        <w:pStyle w:val="19"/>
        <w:tabs>
          <w:tab w:val="right" w:leader="dot" w:pos="9354"/>
        </w:tabs>
      </w:pPr>
      <w:r>
        <w:fldChar w:fldCharType="begin"/>
      </w:r>
      <w:r>
        <w:instrText xml:space="preserve"> HYPERLINK \l _Toc14952 </w:instrText>
      </w:r>
      <w:r>
        <w:fldChar w:fldCharType="separate"/>
      </w:r>
      <w:r>
        <w:rPr>
          <w:rFonts w:hint="eastAsia" w:ascii="黑体" w:eastAsia="黑体"/>
          <w:i w:val="0"/>
          <w:lang w:val="en-US" w:eastAsia="zh-CN"/>
        </w:rPr>
        <w:t xml:space="preserve">4 </w:t>
      </w:r>
      <w:r>
        <w:rPr>
          <w:rFonts w:hint="eastAsia"/>
          <w:lang w:val="en-US" w:eastAsia="zh-CN"/>
        </w:rPr>
        <w:t>评价流程要点</w:t>
      </w:r>
      <w:r>
        <w:tab/>
      </w:r>
      <w:r>
        <w:fldChar w:fldCharType="begin"/>
      </w:r>
      <w:r>
        <w:instrText xml:space="preserve"> PAGEREF _Toc14952 \h </w:instrText>
      </w:r>
      <w:r>
        <w:fldChar w:fldCharType="separate"/>
      </w:r>
      <w:r>
        <w:t>2</w:t>
      </w:r>
      <w:r>
        <w:fldChar w:fldCharType="end"/>
      </w:r>
      <w:r>
        <w:fldChar w:fldCharType="end"/>
      </w:r>
    </w:p>
    <w:p w14:paraId="1D6E1FC0">
      <w:pPr>
        <w:pStyle w:val="19"/>
        <w:tabs>
          <w:tab w:val="right" w:leader="dot" w:pos="9354"/>
        </w:tabs>
      </w:pPr>
      <w:r>
        <w:fldChar w:fldCharType="begin"/>
      </w:r>
      <w:r>
        <w:instrText xml:space="preserve"> HYPERLINK \l _Toc6661 </w:instrText>
      </w:r>
      <w:r>
        <w:fldChar w:fldCharType="separate"/>
      </w:r>
      <w:r>
        <w:rPr>
          <w:rFonts w:hint="eastAsia" w:ascii="黑体" w:eastAsia="黑体"/>
          <w:i w:val="0"/>
          <w:lang w:val="en-US" w:eastAsia="zh-CN"/>
        </w:rPr>
        <w:t xml:space="preserve">5 </w:t>
      </w:r>
      <w:r>
        <w:rPr>
          <w:rFonts w:hint="eastAsia"/>
          <w:lang w:val="en-US" w:eastAsia="zh-CN"/>
        </w:rPr>
        <w:t>质量控制与保证措施</w:t>
      </w:r>
      <w:r>
        <w:tab/>
      </w:r>
      <w:r>
        <w:fldChar w:fldCharType="begin"/>
      </w:r>
      <w:r>
        <w:instrText xml:space="preserve"> PAGEREF _Toc6661 \h </w:instrText>
      </w:r>
      <w:r>
        <w:fldChar w:fldCharType="separate"/>
      </w:r>
      <w:r>
        <w:t>2</w:t>
      </w:r>
      <w:r>
        <w:fldChar w:fldCharType="end"/>
      </w:r>
      <w:r>
        <w:fldChar w:fldCharType="end"/>
      </w:r>
    </w:p>
    <w:p w14:paraId="67917009">
      <w:pPr>
        <w:pStyle w:val="19"/>
        <w:tabs>
          <w:tab w:val="right" w:leader="dot" w:pos="9354"/>
        </w:tabs>
      </w:pPr>
      <w:r>
        <w:fldChar w:fldCharType="begin"/>
      </w:r>
      <w:r>
        <w:instrText xml:space="preserve"> HYPERLINK \l _Toc18509 </w:instrText>
      </w:r>
      <w:r>
        <w:fldChar w:fldCharType="separate"/>
      </w:r>
      <w:r>
        <w:rPr>
          <w:rFonts w:hint="eastAsia" w:ascii="黑体" w:eastAsia="黑体"/>
          <w:i w:val="0"/>
          <w:lang w:val="en-US" w:eastAsia="zh-CN"/>
        </w:rPr>
        <w:t xml:space="preserve">6 </w:t>
      </w:r>
      <w:r>
        <w:rPr>
          <w:rFonts w:hint="eastAsia"/>
          <w:lang w:val="en-US" w:eastAsia="zh-CN"/>
        </w:rPr>
        <w:t>安全性与合规性要求</w:t>
      </w:r>
      <w:r>
        <w:tab/>
      </w:r>
      <w:r>
        <w:fldChar w:fldCharType="begin"/>
      </w:r>
      <w:r>
        <w:instrText xml:space="preserve"> PAGEREF _Toc18509 \h </w:instrText>
      </w:r>
      <w:r>
        <w:fldChar w:fldCharType="separate"/>
      </w:r>
      <w:r>
        <w:t>3</w:t>
      </w:r>
      <w:r>
        <w:fldChar w:fldCharType="end"/>
      </w:r>
      <w:r>
        <w:fldChar w:fldCharType="end"/>
      </w:r>
    </w:p>
    <w:p w14:paraId="0ABDC13C">
      <w:pPr>
        <w:pStyle w:val="19"/>
        <w:tabs>
          <w:tab w:val="right" w:leader="dot" w:pos="9354"/>
        </w:tabs>
      </w:pPr>
      <w:r>
        <w:fldChar w:fldCharType="begin"/>
      </w:r>
      <w:r>
        <w:instrText xml:space="preserve"> HYPERLINK \l _Toc13321 </w:instrText>
      </w:r>
      <w:r>
        <w:fldChar w:fldCharType="separate"/>
      </w:r>
      <w:r>
        <w:rPr>
          <w:rFonts w:hint="eastAsia" w:ascii="黑体" w:eastAsia="黑体"/>
          <w:i w:val="0"/>
          <w:lang w:val="en-US" w:eastAsia="zh-CN"/>
        </w:rPr>
        <w:t xml:space="preserve">7 </w:t>
      </w:r>
      <w:r>
        <w:rPr>
          <w:rFonts w:hint="eastAsia"/>
          <w:lang w:val="en-US" w:eastAsia="zh-CN"/>
        </w:rPr>
        <w:t>记录与档案管理</w:t>
      </w:r>
      <w:r>
        <w:tab/>
      </w:r>
      <w:r>
        <w:fldChar w:fldCharType="begin"/>
      </w:r>
      <w:r>
        <w:instrText xml:space="preserve"> PAGEREF _Toc13321 \h </w:instrText>
      </w:r>
      <w:r>
        <w:fldChar w:fldCharType="separate"/>
      </w:r>
      <w:r>
        <w:t>3</w:t>
      </w:r>
      <w:r>
        <w:fldChar w:fldCharType="end"/>
      </w:r>
      <w:r>
        <w:fldChar w:fldCharType="end"/>
      </w:r>
    </w:p>
    <w:p w14:paraId="1B51B50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89"/>
        <w:spacing w:before="900" w:after="360"/>
      </w:pPr>
      <w:bookmarkStart w:id="23" w:name="_Toc9134"/>
      <w:bookmarkStart w:id="24" w:name="BookMark2"/>
      <w:r>
        <w:rPr>
          <w:spacing w:val="320"/>
        </w:rPr>
        <w:t>前</w:t>
      </w:r>
      <w:r>
        <w:t>言</w:t>
      </w:r>
      <w:bookmarkEnd w:id="22"/>
      <w:bookmarkEnd w:id="23"/>
    </w:p>
    <w:p w14:paraId="5DC8D965">
      <w:pPr>
        <w:pStyle w:val="56"/>
        <w:spacing w:line="360" w:lineRule="auto"/>
        <w:ind w:firstLine="420"/>
      </w:pPr>
      <w:r>
        <w:rPr>
          <w:rFonts w:hint="eastAsia"/>
        </w:rPr>
        <w:t>本文件按照GB/T 1.1—2020《标准化工作导则  第1部分：标准化文件的结构和起草规则》的规定起草。</w:t>
      </w:r>
    </w:p>
    <w:p w14:paraId="3BF47523">
      <w:pPr>
        <w:pStyle w:val="56"/>
        <w:spacing w:line="360" w:lineRule="auto"/>
        <w:ind w:firstLine="420"/>
      </w:pPr>
      <w:r>
        <w:rPr>
          <w:rFonts w:hint="eastAsia"/>
        </w:rPr>
        <w:t>请注意本文件的某些内容可能涉及专利。本文件的发布机构不承担识别专利的责任。</w:t>
      </w:r>
    </w:p>
    <w:p w14:paraId="754B7426">
      <w:pPr>
        <w:pStyle w:val="56"/>
        <w:spacing w:line="360" w:lineRule="auto"/>
        <w:ind w:firstLine="420"/>
      </w:pPr>
      <w:r>
        <w:rPr>
          <w:rFonts w:hint="eastAsia"/>
        </w:rPr>
        <w:t>本文件由西安市质量与标准化协会提出并归口。</w:t>
      </w:r>
    </w:p>
    <w:p w14:paraId="5B8DD1E1">
      <w:pPr>
        <w:pStyle w:val="56"/>
        <w:spacing w:line="360" w:lineRule="auto"/>
        <w:ind w:firstLine="420"/>
        <w:rPr>
          <w:rFonts w:hint="eastAsia" w:eastAsia="宋体"/>
          <w:lang w:val="en-US" w:eastAsia="zh-CN"/>
        </w:rPr>
      </w:pPr>
      <w:r>
        <w:rPr>
          <w:rFonts w:hint="eastAsia"/>
        </w:rPr>
        <w:t>本文件起草单位：中交一公局第三工程有限公司</w:t>
      </w:r>
      <w:r>
        <w:rPr>
          <w:rFonts w:hint="eastAsia"/>
          <w:lang w:eastAsia="zh-CN"/>
        </w:rPr>
        <w:t>。</w:t>
      </w:r>
    </w:p>
    <w:p w14:paraId="37915AF8">
      <w:pPr>
        <w:pStyle w:val="56"/>
        <w:spacing w:line="360" w:lineRule="auto"/>
        <w:ind w:firstLine="420"/>
        <w:rPr>
          <w:rFonts w:hint="eastAsia" w:eastAsia="宋体"/>
          <w:lang w:eastAsia="zh-CN"/>
        </w:rPr>
      </w:pPr>
      <w:r>
        <w:rPr>
          <w:rFonts w:hint="eastAsia"/>
        </w:rPr>
        <w:t>本文件主要起草人：徐厚庆</w:t>
      </w:r>
      <w:r>
        <w:rPr>
          <w:rFonts w:hint="eastAsia"/>
          <w:lang w:eastAsia="zh-CN"/>
        </w:rPr>
        <w:t>。</w:t>
      </w:r>
      <w:bookmarkStart w:id="60" w:name="_GoBack"/>
      <w:bookmarkEnd w:id="60"/>
    </w:p>
    <w:p w14:paraId="26D9D901">
      <w:pPr>
        <w:pStyle w:val="56"/>
        <w:ind w:firstLine="420"/>
      </w:pPr>
    </w:p>
    <w:p w14:paraId="635AF019">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89"/>
        <w:spacing w:after="360"/>
      </w:pPr>
      <w:bookmarkStart w:id="25" w:name="_Toc26106"/>
      <w:bookmarkStart w:id="26" w:name="_Toc197342206"/>
      <w:bookmarkStart w:id="27" w:name="BookMark3"/>
      <w:r>
        <w:rPr>
          <w:spacing w:val="320"/>
        </w:rPr>
        <w:t>引</w:t>
      </w:r>
      <w:r>
        <w:t>言</w:t>
      </w:r>
      <w:bookmarkEnd w:id="25"/>
      <w:bookmarkEnd w:id="26"/>
    </w:p>
    <w:p w14:paraId="5279559E">
      <w:pPr>
        <w:pStyle w:val="56"/>
        <w:spacing w:line="360" w:lineRule="auto"/>
        <w:ind w:firstLine="420"/>
        <w:rPr>
          <w:rFonts w:hint="eastAsia"/>
        </w:rPr>
      </w:pPr>
      <w:r>
        <w:rPr>
          <w:rFonts w:hint="eastAsia"/>
        </w:rPr>
        <w:t>工程地质勘察是工程建设的重要前期工作，其核心目标之一是准确评估岩土体的稳定性，为工程的设计、施工及运营提供可靠的地质依据。岩土体作为工程建设的承载主体，其稳定性直接关系到工程的安全性和耐久性。一旦岩土体发生失稳，如滑坡、崩塌、泥石流等地质灾害，不仅会造成巨大的经济损失，还可能危及人民生命安全，引发严重的社会后果。</w:t>
      </w:r>
    </w:p>
    <w:p w14:paraId="289DA6DC">
      <w:pPr>
        <w:pStyle w:val="56"/>
        <w:spacing w:line="360" w:lineRule="auto"/>
        <w:ind w:firstLine="420"/>
        <w:rPr>
          <w:rFonts w:hint="eastAsia"/>
        </w:rPr>
      </w:pPr>
      <w:r>
        <w:rPr>
          <w:rFonts w:hint="eastAsia"/>
        </w:rPr>
        <w:t>近年来，随着我国基础设施建设的快速发展，各类大型、复杂工程项目不断涌现，如高层建筑、大型桥梁、隧道工程、地下空间开发等。这些工程对地质条件的要求更为苛刻，对岩土体稳定性评价的精度和可靠性提出了更高的要求。然而，目前在实际工程地质勘察中，岩土体稳定性评价工作仍存在一些问题，如评价方法选择不当、参数取值不合理、评价结果与实际情况偏差较大等，导致工程建设面临潜在的安全风险。</w:t>
      </w:r>
    </w:p>
    <w:p w14:paraId="62B299D8">
      <w:pPr>
        <w:pStyle w:val="56"/>
        <w:spacing w:line="360" w:lineRule="auto"/>
        <w:ind w:firstLine="420"/>
        <w:rPr>
          <w:rFonts w:hint="eastAsia"/>
        </w:rPr>
      </w:pPr>
      <w:r>
        <w:rPr>
          <w:rFonts w:hint="eastAsia"/>
        </w:rPr>
        <w:t>为了规范工程地质勘察中岩土体稳定性评价工作，提高评价的科学性和准确性，保障工程建设的安全，制定一套系统、全面、可操作的岩土体稳定性评价流程要点团体标准显得尤为必要。本标准旨在通过明确评价流程的各个环节和技术要求，为地质勘察单位、设计单位及相关技术服务企业提供统一的技术指导，促进工程地质勘察行业的健康发展，确保工程建设在安全可靠的地质环境下进行。</w:t>
      </w:r>
    </w:p>
    <w:p w14:paraId="10A83832">
      <w:pPr>
        <w:pStyle w:val="56"/>
        <w:spacing w:line="360" w:lineRule="auto"/>
        <w:ind w:firstLine="420"/>
      </w:pPr>
    </w:p>
    <w:p w14:paraId="1FD0EDB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7"/>
            <w:spacing w:after="0"/>
          </w:pPr>
          <w:bookmarkStart w:id="29" w:name="NEW_STAND_NAME"/>
          <w:r>
            <w:rPr>
              <w:rFonts w:hint="eastAsia"/>
            </w:rPr>
            <w:t>工程地质勘察中岩土体稳定性评价流程要点</w:t>
          </w:r>
        </w:p>
      </w:sdtContent>
    </w:sdt>
    <w:bookmarkEnd w:id="29"/>
    <w:p w14:paraId="1339BF1A">
      <w:pPr>
        <w:pStyle w:val="104"/>
        <w:spacing w:before="240" w:after="240" w:line="360" w:lineRule="auto"/>
      </w:pPr>
      <w:bookmarkStart w:id="30" w:name="_Toc24884211"/>
      <w:bookmarkStart w:id="31" w:name="_Toc197342207"/>
      <w:bookmarkStart w:id="32" w:name="_Toc26648465"/>
      <w:bookmarkStart w:id="33" w:name="_Toc26718930"/>
      <w:bookmarkStart w:id="34" w:name="_Toc26986771"/>
      <w:bookmarkStart w:id="35" w:name="_Toc17233325"/>
      <w:bookmarkStart w:id="36" w:name="_Toc11825"/>
      <w:bookmarkStart w:id="37" w:name="_Toc17233333"/>
      <w:bookmarkStart w:id="38" w:name="_Toc24884218"/>
      <w:bookmarkStart w:id="39" w:name="_Toc97192964"/>
      <w:bookmarkStart w:id="40" w:name="_Toc26986530"/>
      <w:r>
        <w:rPr>
          <w:rFonts w:hint="eastAsia"/>
        </w:rPr>
        <w:t>范围</w:t>
      </w:r>
      <w:bookmarkEnd w:id="30"/>
      <w:bookmarkEnd w:id="31"/>
      <w:bookmarkEnd w:id="32"/>
      <w:bookmarkEnd w:id="33"/>
      <w:bookmarkEnd w:id="34"/>
      <w:bookmarkEnd w:id="35"/>
      <w:bookmarkEnd w:id="36"/>
      <w:bookmarkEnd w:id="37"/>
      <w:bookmarkEnd w:id="38"/>
      <w:bookmarkEnd w:id="39"/>
      <w:bookmarkEnd w:id="40"/>
    </w:p>
    <w:p w14:paraId="66F84276">
      <w:pPr>
        <w:pStyle w:val="56"/>
        <w:spacing w:line="360" w:lineRule="auto"/>
        <w:ind w:firstLine="420"/>
        <w:rPr>
          <w:rFonts w:hint="eastAsia"/>
        </w:rPr>
      </w:pPr>
      <w:bookmarkStart w:id="41" w:name="_Toc24884212"/>
      <w:bookmarkStart w:id="42" w:name="_Toc17233334"/>
      <w:bookmarkStart w:id="43" w:name="_Toc17233326"/>
      <w:bookmarkStart w:id="44" w:name="_Toc26648466"/>
      <w:bookmarkStart w:id="45" w:name="_Toc24884219"/>
      <w:r>
        <w:rPr>
          <w:rFonts w:hint="eastAsia"/>
        </w:rPr>
        <w:t>本文件规定了工程地质勘察中岩土体稳定性评价的流程要点，包括勘察准备、现场勘察、岩土体性质测试与分析、稳定性评价方法选择与应用、评价报告编制等环节的技术要求。</w:t>
      </w:r>
    </w:p>
    <w:p w14:paraId="48F96F3A">
      <w:pPr>
        <w:pStyle w:val="56"/>
        <w:spacing w:line="360" w:lineRule="auto"/>
        <w:ind w:firstLine="420"/>
        <w:rPr>
          <w:rFonts w:hint="eastAsia"/>
        </w:rPr>
      </w:pPr>
      <w:r>
        <w:rPr>
          <w:rFonts w:hint="eastAsia"/>
        </w:rPr>
        <w:t>本文件适用于各类工程建设项目的地质勘察中岩土体稳定性评价工作，为地质勘察单位、设计单位及相关技术服务企业提供技术指导。</w:t>
      </w:r>
    </w:p>
    <w:p w14:paraId="24B680AA">
      <w:pPr>
        <w:pStyle w:val="104"/>
        <w:spacing w:before="240" w:after="240" w:line="360" w:lineRule="auto"/>
      </w:pPr>
      <w:bookmarkStart w:id="46" w:name="_Toc26986772"/>
      <w:bookmarkStart w:id="47" w:name="_Toc26718931"/>
      <w:bookmarkStart w:id="48" w:name="_Toc97192965"/>
      <w:bookmarkStart w:id="49" w:name="_Toc16875"/>
      <w:bookmarkStart w:id="50" w:name="_Toc197342208"/>
      <w:bookmarkStart w:id="51" w:name="_Toc269865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6"/>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83DE50">
      <w:pPr>
        <w:pStyle w:val="56"/>
        <w:spacing w:line="360" w:lineRule="auto"/>
        <w:ind w:firstLine="420"/>
        <w:rPr>
          <w:rFonts w:hint="eastAsia"/>
        </w:rPr>
      </w:pPr>
      <w:r>
        <w:rPr>
          <w:rFonts w:hint="eastAsia"/>
        </w:rPr>
        <w:t>GB 50021—2001 岩土工程勘察规范</w:t>
      </w:r>
    </w:p>
    <w:p w14:paraId="0261E7D3">
      <w:pPr>
        <w:pStyle w:val="56"/>
        <w:spacing w:line="360" w:lineRule="auto"/>
        <w:ind w:firstLine="420"/>
        <w:rPr>
          <w:rFonts w:hint="eastAsia"/>
        </w:rPr>
      </w:pPr>
      <w:r>
        <w:rPr>
          <w:rFonts w:hint="eastAsia"/>
        </w:rPr>
        <w:t>GB/T 50123—2019 土工试验方法标准</w:t>
      </w:r>
    </w:p>
    <w:p w14:paraId="513D1474">
      <w:pPr>
        <w:pStyle w:val="56"/>
        <w:spacing w:line="360" w:lineRule="auto"/>
        <w:ind w:firstLine="420"/>
        <w:rPr>
          <w:rFonts w:hint="eastAsia"/>
        </w:rPr>
      </w:pPr>
      <w:r>
        <w:rPr>
          <w:rFonts w:hint="eastAsia"/>
        </w:rPr>
        <w:t>JGJ 87—2013 建筑工程地质勘探与取样技术规程</w:t>
      </w:r>
    </w:p>
    <w:p w14:paraId="028ED68A">
      <w:pPr>
        <w:pStyle w:val="56"/>
        <w:spacing w:line="360" w:lineRule="auto"/>
        <w:ind w:firstLine="420"/>
        <w:rPr>
          <w:rFonts w:hint="eastAsia"/>
        </w:rPr>
      </w:pPr>
      <w:r>
        <w:rPr>
          <w:rFonts w:hint="eastAsia"/>
        </w:rPr>
        <w:t>GB 50330—2013</w:t>
      </w:r>
      <w:r>
        <w:rPr>
          <w:rFonts w:hint="eastAsia"/>
          <w:lang w:val="en-US" w:eastAsia="zh-CN"/>
        </w:rPr>
        <w:t xml:space="preserve"> </w:t>
      </w:r>
      <w:r>
        <w:rPr>
          <w:rFonts w:hint="eastAsia"/>
        </w:rPr>
        <w:t>建筑边坡工程技术规范</w:t>
      </w:r>
    </w:p>
    <w:p w14:paraId="2D6F2F5A">
      <w:pPr>
        <w:pStyle w:val="56"/>
        <w:spacing w:line="360" w:lineRule="auto"/>
        <w:ind w:firstLine="420"/>
        <w:rPr>
          <w:rFonts w:hint="eastAsia"/>
        </w:rPr>
      </w:pPr>
      <w:r>
        <w:rPr>
          <w:rFonts w:hint="eastAsia"/>
        </w:rPr>
        <w:t>GB 50007—2011</w:t>
      </w:r>
      <w:r>
        <w:rPr>
          <w:rFonts w:hint="eastAsia"/>
          <w:lang w:val="en-US" w:eastAsia="zh-CN"/>
        </w:rPr>
        <w:t xml:space="preserve"> </w:t>
      </w:r>
      <w:r>
        <w:rPr>
          <w:rFonts w:hint="eastAsia"/>
        </w:rPr>
        <w:t>建筑地基基础设计规范</w:t>
      </w:r>
    </w:p>
    <w:p w14:paraId="2FAE12C6">
      <w:pPr>
        <w:pStyle w:val="56"/>
        <w:spacing w:line="360" w:lineRule="auto"/>
        <w:ind w:firstLine="420"/>
        <w:rPr>
          <w:rFonts w:hint="eastAsia"/>
        </w:rPr>
      </w:pPr>
      <w:r>
        <w:rPr>
          <w:rFonts w:hint="eastAsia"/>
        </w:rPr>
        <w:t>JTG 3430—2020</w:t>
      </w:r>
      <w:r>
        <w:rPr>
          <w:rFonts w:hint="eastAsia"/>
          <w:lang w:val="en-US" w:eastAsia="zh-CN"/>
        </w:rPr>
        <w:t xml:space="preserve"> </w:t>
      </w:r>
      <w:r>
        <w:rPr>
          <w:rFonts w:hint="eastAsia"/>
        </w:rPr>
        <w:t>公路土工试验规程</w:t>
      </w:r>
    </w:p>
    <w:p w14:paraId="0B32E346">
      <w:pPr>
        <w:pStyle w:val="56"/>
        <w:spacing w:line="360" w:lineRule="auto"/>
        <w:ind w:firstLine="420"/>
        <w:rPr>
          <w:rFonts w:hint="eastAsia"/>
        </w:rPr>
      </w:pPr>
      <w:r>
        <w:rPr>
          <w:rFonts w:hint="eastAsia"/>
        </w:rPr>
        <w:t>JGJ 83—2011</w:t>
      </w:r>
      <w:r>
        <w:rPr>
          <w:rFonts w:hint="eastAsia"/>
          <w:lang w:val="en-US" w:eastAsia="zh-CN"/>
        </w:rPr>
        <w:t xml:space="preserve"> </w:t>
      </w:r>
      <w:r>
        <w:rPr>
          <w:rFonts w:hint="eastAsia"/>
        </w:rPr>
        <w:t>软土地区岩土工程勘察规程</w:t>
      </w:r>
    </w:p>
    <w:p w14:paraId="4C7FCC62">
      <w:pPr>
        <w:pStyle w:val="56"/>
        <w:spacing w:line="360" w:lineRule="auto"/>
        <w:ind w:firstLine="420"/>
        <w:rPr>
          <w:rFonts w:hint="eastAsia"/>
        </w:rPr>
      </w:pPr>
      <w:r>
        <w:rPr>
          <w:rFonts w:hint="eastAsia"/>
        </w:rPr>
        <w:t>DZ/T 0286—2015</w:t>
      </w:r>
      <w:r>
        <w:rPr>
          <w:rFonts w:hint="eastAsia"/>
          <w:lang w:val="en-US" w:eastAsia="zh-CN"/>
        </w:rPr>
        <w:t xml:space="preserve"> </w:t>
      </w:r>
      <w:r>
        <w:rPr>
          <w:rFonts w:hint="eastAsia"/>
        </w:rPr>
        <w:t>地质灾害危险性评估规范</w:t>
      </w:r>
    </w:p>
    <w:p w14:paraId="707E4573">
      <w:pPr>
        <w:pStyle w:val="56"/>
        <w:spacing w:line="360" w:lineRule="auto"/>
        <w:ind w:firstLine="420"/>
        <w:rPr>
          <w:rFonts w:hint="eastAsia"/>
        </w:rPr>
      </w:pPr>
      <w:r>
        <w:rPr>
          <w:rFonts w:hint="eastAsia"/>
        </w:rPr>
        <w:t>CJJ 57—2012</w:t>
      </w:r>
      <w:r>
        <w:rPr>
          <w:rFonts w:hint="eastAsia"/>
          <w:lang w:val="en-US" w:eastAsia="zh-CN"/>
        </w:rPr>
        <w:t xml:space="preserve"> </w:t>
      </w:r>
      <w:r>
        <w:rPr>
          <w:rFonts w:hint="eastAsia"/>
        </w:rPr>
        <w:t>城乡规划工程地质勘察规范</w:t>
      </w:r>
    </w:p>
    <w:p w14:paraId="15236D3E">
      <w:pPr>
        <w:pStyle w:val="104"/>
        <w:spacing w:before="240" w:after="240" w:line="360" w:lineRule="auto"/>
        <w:rPr>
          <w:rFonts w:hint="eastAsia"/>
        </w:rPr>
      </w:pPr>
      <w:bookmarkStart w:id="52" w:name="_Toc13452"/>
      <w:bookmarkStart w:id="53" w:name="_Toc97192966"/>
      <w:bookmarkStart w:id="54" w:name="_Toc197342209"/>
      <w:r>
        <w:rPr>
          <w:rFonts w:hint="eastAsia"/>
        </w:rPr>
        <w:t>术语和定义</w:t>
      </w:r>
      <w:bookmarkEnd w:id="52"/>
      <w:bookmarkEnd w:id="53"/>
      <w:bookmarkEnd w:id="54"/>
    </w:p>
    <w:sdt>
      <w:sdtPr>
        <w:id w:val="-1909835108"/>
        <w:placeholder>
          <w:docPart w:val="DF10AEF82D6D4F4F9C769483D536A91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229AF9">
          <w:pPr>
            <w:pStyle w:val="56"/>
            <w:spacing w:line="360" w:lineRule="auto"/>
            <w:ind w:firstLine="420"/>
          </w:pPr>
          <w:bookmarkStart w:id="55" w:name="_Toc26986532"/>
          <w:bookmarkEnd w:id="55"/>
          <w:r>
            <w:rPr>
              <w:rFonts w:ascii="宋体" w:hAnsi="Times New Roman" w:eastAsia="宋体" w:cs="Times New Roman"/>
              <w:sz w:val="21"/>
              <w:lang w:val="en-US" w:eastAsia="zh-CN" w:bidi="ar-SA"/>
            </w:rPr>
            <w:t>下列术语和定义适用于本文件。</w:t>
          </w:r>
        </w:p>
      </w:sdtContent>
    </w:sdt>
    <w:p w14:paraId="77C1AF46">
      <w:pPr>
        <w:pStyle w:val="223"/>
        <w:spacing w:line="360" w:lineRule="auto"/>
        <w:ind w:left="420" w:hanging="420" w:hangingChars="200"/>
        <w:rPr>
          <w:rFonts w:hint="eastAsia" w:ascii="黑体" w:hAnsi="黑体" w:eastAsia="黑体"/>
        </w:rPr>
      </w:pPr>
      <w:r>
        <w:rPr>
          <w:rFonts w:hint="eastAsia" w:ascii="黑体" w:hAnsi="黑体" w:eastAsia="黑体"/>
        </w:rPr>
        <w:t>岩土体稳定性</w:t>
      </w:r>
    </w:p>
    <w:p w14:paraId="31DF0CAC">
      <w:pPr>
        <w:pStyle w:val="56"/>
        <w:spacing w:line="360" w:lineRule="auto"/>
        <w:ind w:firstLine="420"/>
        <w:rPr>
          <w:rFonts w:hint="eastAsia"/>
        </w:rPr>
      </w:pPr>
      <w:r>
        <w:rPr>
          <w:rFonts w:hint="eastAsia"/>
        </w:rPr>
        <w:t>岩土体稳定性指在自然或人为因素（包括工程作用）作用下，岩土体保持其原有结构状态和功能，不发生破坏或失稳（如滑坡、崩塌、泥石流）的能力。</w:t>
      </w:r>
    </w:p>
    <w:p w14:paraId="17CCEB9D">
      <w:pPr>
        <w:pStyle w:val="223"/>
        <w:spacing w:line="360" w:lineRule="auto"/>
        <w:ind w:left="420" w:hanging="420" w:hangingChars="200"/>
        <w:rPr>
          <w:rFonts w:hint="eastAsia" w:ascii="黑体" w:hAnsi="黑体" w:eastAsia="黑体"/>
        </w:rPr>
      </w:pPr>
      <w:r>
        <w:rPr>
          <w:rFonts w:hint="eastAsia" w:ascii="黑体" w:hAnsi="黑体" w:eastAsia="黑体"/>
        </w:rPr>
        <w:t>工程地质勘察</w:t>
      </w:r>
    </w:p>
    <w:p w14:paraId="111D26CB">
      <w:pPr>
        <w:pStyle w:val="56"/>
        <w:spacing w:line="360" w:lineRule="auto"/>
        <w:ind w:firstLine="420"/>
        <w:rPr>
          <w:rFonts w:hint="eastAsia"/>
        </w:rPr>
      </w:pPr>
      <w:r>
        <w:rPr>
          <w:rFonts w:hint="eastAsia"/>
        </w:rPr>
        <w:t>为查明工程建设场地的地质条件而进行的地质调查、勘探、测试及分析评价工作。</w:t>
      </w:r>
    </w:p>
    <w:p w14:paraId="3B6C9616">
      <w:pPr>
        <w:pStyle w:val="223"/>
        <w:spacing w:line="360" w:lineRule="auto"/>
        <w:ind w:left="420" w:hanging="420" w:hangingChars="200"/>
        <w:rPr>
          <w:rFonts w:hint="eastAsia" w:ascii="黑体" w:hAnsi="黑体" w:eastAsia="黑体"/>
        </w:rPr>
      </w:pPr>
      <w:r>
        <w:rPr>
          <w:rFonts w:hint="eastAsia" w:ascii="黑体" w:hAnsi="黑体" w:eastAsia="黑体"/>
        </w:rPr>
        <w:t>稳定性评价</w:t>
      </w:r>
    </w:p>
    <w:p w14:paraId="2381B562">
      <w:pPr>
        <w:pStyle w:val="56"/>
        <w:spacing w:line="360" w:lineRule="auto"/>
        <w:ind w:firstLine="420"/>
        <w:rPr>
          <w:rFonts w:hint="eastAsia"/>
        </w:rPr>
      </w:pPr>
      <w:r>
        <w:rPr>
          <w:rFonts w:hint="eastAsia"/>
        </w:rPr>
        <w:t>根据岩土体的物理力学性质、地质环境条件及工程作用，评估其稳定性的过程。</w:t>
      </w:r>
    </w:p>
    <w:p w14:paraId="1F7DACB5">
      <w:pPr>
        <w:pStyle w:val="104"/>
        <w:spacing w:before="240" w:after="240" w:line="360" w:lineRule="auto"/>
        <w:rPr>
          <w:rFonts w:hint="eastAsia"/>
          <w:lang w:val="en-US" w:eastAsia="zh-CN"/>
        </w:rPr>
      </w:pPr>
      <w:bookmarkStart w:id="56" w:name="_Toc14952"/>
      <w:r>
        <w:rPr>
          <w:rFonts w:hint="eastAsia"/>
          <w:lang w:val="en-US" w:eastAsia="zh-CN"/>
        </w:rPr>
        <w:t>评价流程要点</w:t>
      </w:r>
      <w:bookmarkEnd w:id="56"/>
    </w:p>
    <w:p w14:paraId="5F440D36">
      <w:pPr>
        <w:pStyle w:val="223"/>
        <w:spacing w:line="360" w:lineRule="auto"/>
        <w:ind w:left="420" w:hanging="420" w:hangingChars="200"/>
        <w:rPr>
          <w:rFonts w:hint="eastAsia" w:ascii="黑体" w:hAnsi="黑体" w:eastAsia="黑体"/>
        </w:rPr>
      </w:pPr>
      <w:r>
        <w:rPr>
          <w:rFonts w:hint="eastAsia" w:ascii="黑体" w:hAnsi="黑体" w:eastAsia="黑体"/>
        </w:rPr>
        <w:t>勘察准备</w:t>
      </w:r>
    </w:p>
    <w:p w14:paraId="0B9B83DA">
      <w:pPr>
        <w:pStyle w:val="65"/>
        <w:bidi w:val="0"/>
        <w:ind w:left="0" w:leftChars="0" w:firstLine="0" w:firstLineChars="0"/>
        <w:rPr>
          <w:rFonts w:hint="eastAsia"/>
        </w:rPr>
      </w:pPr>
      <w:r>
        <w:rPr>
          <w:rFonts w:hint="eastAsia"/>
        </w:rPr>
        <w:t>明确勘察目的与任务</w:t>
      </w:r>
    </w:p>
    <w:p w14:paraId="3BE40CA6">
      <w:pPr>
        <w:pStyle w:val="56"/>
        <w:spacing w:line="360" w:lineRule="auto"/>
        <w:ind w:firstLine="420"/>
        <w:rPr>
          <w:rFonts w:hint="eastAsia"/>
        </w:rPr>
      </w:pPr>
      <w:r>
        <w:rPr>
          <w:rFonts w:hint="eastAsia"/>
        </w:rPr>
        <w:t>根据工程建设项目的需求，明确岩土体稳定性评价的具体目的和任务。</w:t>
      </w:r>
    </w:p>
    <w:p w14:paraId="048A294F">
      <w:pPr>
        <w:pStyle w:val="65"/>
        <w:bidi w:val="0"/>
        <w:ind w:left="0" w:leftChars="0" w:firstLine="0" w:firstLineChars="0"/>
        <w:rPr>
          <w:rFonts w:hint="eastAsia"/>
        </w:rPr>
      </w:pPr>
      <w:r>
        <w:rPr>
          <w:rFonts w:hint="eastAsia"/>
        </w:rPr>
        <w:t>收集基础资料</w:t>
      </w:r>
    </w:p>
    <w:p w14:paraId="26CFCAA5">
      <w:pPr>
        <w:pStyle w:val="56"/>
        <w:spacing w:line="360" w:lineRule="auto"/>
        <w:ind w:firstLine="420"/>
        <w:rPr>
          <w:rFonts w:hint="eastAsia"/>
        </w:rPr>
      </w:pPr>
      <w:r>
        <w:rPr>
          <w:rFonts w:hint="eastAsia"/>
        </w:rPr>
        <w:t>收集工程区域的地质图（1:50000~1:25000）、水文地质报告、气象数据（近10年降雨量、极端气温）、历史地质灾害记录等资料，并通过地质档案馆、气象局等官方渠道验证资料完整性。</w:t>
      </w:r>
    </w:p>
    <w:p w14:paraId="0D85E6E5">
      <w:pPr>
        <w:pStyle w:val="65"/>
        <w:bidi w:val="0"/>
        <w:ind w:left="0" w:leftChars="0" w:firstLine="0" w:firstLineChars="0"/>
        <w:rPr>
          <w:rFonts w:hint="eastAsia"/>
        </w:rPr>
      </w:pPr>
      <w:r>
        <w:rPr>
          <w:rFonts w:hint="eastAsia"/>
        </w:rPr>
        <w:t>制定勘察方案</w:t>
      </w:r>
    </w:p>
    <w:p w14:paraId="22D574CB">
      <w:pPr>
        <w:pStyle w:val="56"/>
        <w:spacing w:line="360" w:lineRule="auto"/>
        <w:ind w:firstLine="420"/>
        <w:rPr>
          <w:rFonts w:hint="eastAsia"/>
        </w:rPr>
      </w:pPr>
      <w:r>
        <w:rPr>
          <w:rFonts w:hint="eastAsia"/>
        </w:rPr>
        <w:t>根据勘察目的和任务，结合工程区域的地质条件，制定详细的勘察方案，包括勘察方法、勘察点布置、测试项目等。</w:t>
      </w:r>
    </w:p>
    <w:p w14:paraId="2A9D29AE">
      <w:pPr>
        <w:pStyle w:val="223"/>
        <w:spacing w:line="360" w:lineRule="auto"/>
        <w:ind w:left="420" w:hanging="420" w:hangingChars="200"/>
        <w:rPr>
          <w:rFonts w:hint="eastAsia" w:ascii="黑体" w:hAnsi="黑体" w:eastAsia="黑体"/>
        </w:rPr>
      </w:pPr>
      <w:r>
        <w:rPr>
          <w:rFonts w:hint="eastAsia" w:ascii="黑体" w:hAnsi="黑体" w:eastAsia="黑体"/>
        </w:rPr>
        <w:t>现场勘察</w:t>
      </w:r>
    </w:p>
    <w:p w14:paraId="4271B080">
      <w:pPr>
        <w:pStyle w:val="65"/>
        <w:bidi w:val="0"/>
        <w:ind w:left="0" w:leftChars="0" w:firstLine="0" w:firstLineChars="0"/>
        <w:rPr>
          <w:rFonts w:hint="eastAsia"/>
        </w:rPr>
      </w:pPr>
      <w:r>
        <w:rPr>
          <w:rFonts w:hint="eastAsia"/>
        </w:rPr>
        <w:t>勘察点布置</w:t>
      </w:r>
    </w:p>
    <w:p w14:paraId="63248F9E">
      <w:pPr>
        <w:pStyle w:val="56"/>
        <w:spacing w:line="360" w:lineRule="auto"/>
        <w:ind w:firstLine="420"/>
        <w:rPr>
          <w:rFonts w:hint="eastAsia"/>
        </w:rPr>
      </w:pPr>
      <w:r>
        <w:rPr>
          <w:rFonts w:hint="eastAsia"/>
        </w:rPr>
        <w:t>按照勘察方案，在工程区域内合理布置勘察点，确保能够全面反映岩土体的地质条件。</w:t>
      </w:r>
    </w:p>
    <w:p w14:paraId="368B0820">
      <w:pPr>
        <w:pStyle w:val="65"/>
        <w:bidi w:val="0"/>
        <w:ind w:left="0" w:leftChars="0" w:firstLine="0" w:firstLineChars="0"/>
        <w:rPr>
          <w:rFonts w:hint="eastAsia"/>
        </w:rPr>
      </w:pPr>
      <w:r>
        <w:rPr>
          <w:rFonts w:hint="eastAsia"/>
        </w:rPr>
        <w:t>地质测绘与编录</w:t>
      </w:r>
    </w:p>
    <w:p w14:paraId="49009091">
      <w:pPr>
        <w:pStyle w:val="56"/>
        <w:spacing w:line="360" w:lineRule="auto"/>
        <w:ind w:firstLine="420"/>
        <w:rPr>
          <w:rFonts w:hint="eastAsia"/>
        </w:rPr>
      </w:pPr>
      <w:r>
        <w:rPr>
          <w:rFonts w:hint="eastAsia"/>
        </w:rPr>
        <w:t>对勘察点进行详细的地质测绘和编录，记录岩土体的类型、分布、结构特征等信息。</w:t>
      </w:r>
    </w:p>
    <w:p w14:paraId="1416B058">
      <w:pPr>
        <w:pStyle w:val="65"/>
        <w:bidi w:val="0"/>
        <w:ind w:left="0" w:leftChars="0" w:firstLine="0" w:firstLineChars="0"/>
        <w:rPr>
          <w:rFonts w:hint="eastAsia"/>
        </w:rPr>
      </w:pPr>
      <w:r>
        <w:rPr>
          <w:rFonts w:hint="eastAsia"/>
        </w:rPr>
        <w:t>原位测试</w:t>
      </w:r>
    </w:p>
    <w:p w14:paraId="32DEF728">
      <w:pPr>
        <w:pStyle w:val="56"/>
        <w:spacing w:line="360" w:lineRule="auto"/>
        <w:ind w:firstLine="420"/>
        <w:rPr>
          <w:rFonts w:hint="eastAsia"/>
        </w:rPr>
      </w:pPr>
      <w:r>
        <w:rPr>
          <w:rFonts w:hint="eastAsia"/>
        </w:rPr>
        <w:t>按勘察方案在勘察点进行标准贯入试验（每50m布置一个测试点，深度至基岩面或软土层底面）、动力触探试验等；若测试结果与邻近点偏差超过30%，需在5m范围内复测。</w:t>
      </w:r>
    </w:p>
    <w:p w14:paraId="5C465967">
      <w:pPr>
        <w:pStyle w:val="223"/>
        <w:spacing w:line="360" w:lineRule="auto"/>
        <w:ind w:left="420" w:hanging="420" w:hangingChars="200"/>
        <w:rPr>
          <w:rFonts w:hint="eastAsia" w:ascii="黑体" w:hAnsi="黑体" w:eastAsia="黑体"/>
        </w:rPr>
      </w:pPr>
      <w:r>
        <w:rPr>
          <w:rFonts w:hint="eastAsia" w:ascii="黑体" w:hAnsi="黑体" w:eastAsia="黑体"/>
        </w:rPr>
        <w:t>岩土体性质测试与分析</w:t>
      </w:r>
    </w:p>
    <w:p w14:paraId="0643F7FE">
      <w:pPr>
        <w:pStyle w:val="65"/>
        <w:bidi w:val="0"/>
        <w:ind w:left="0" w:leftChars="0" w:firstLine="0" w:firstLineChars="0"/>
        <w:rPr>
          <w:rFonts w:hint="eastAsia"/>
        </w:rPr>
      </w:pPr>
      <w:r>
        <w:rPr>
          <w:rFonts w:hint="eastAsia"/>
        </w:rPr>
        <w:t>室内试验</w:t>
      </w:r>
    </w:p>
    <w:p w14:paraId="1B7D9147">
      <w:pPr>
        <w:pStyle w:val="56"/>
        <w:spacing w:line="360" w:lineRule="auto"/>
        <w:ind w:firstLine="420"/>
        <w:rPr>
          <w:rFonts w:hint="eastAsia"/>
        </w:rPr>
      </w:pPr>
      <w:r>
        <w:rPr>
          <w:rFonts w:hint="eastAsia"/>
        </w:rPr>
        <w:t>采集岩土体样品进行室内试验，如颗粒分析、压缩试验、剪切试验等，进一步分析岩土体的物理力学性质。</w:t>
      </w:r>
    </w:p>
    <w:p w14:paraId="31FD92E0">
      <w:pPr>
        <w:pStyle w:val="65"/>
        <w:bidi w:val="0"/>
        <w:ind w:left="0" w:leftChars="0" w:firstLine="0" w:firstLineChars="0"/>
        <w:rPr>
          <w:rFonts w:hint="eastAsia"/>
        </w:rPr>
      </w:pPr>
      <w:r>
        <w:rPr>
          <w:rFonts w:hint="eastAsia"/>
        </w:rPr>
        <w:t>数据整理与分析</w:t>
      </w:r>
    </w:p>
    <w:p w14:paraId="6B8461A9">
      <w:pPr>
        <w:pStyle w:val="56"/>
        <w:spacing w:line="360" w:lineRule="auto"/>
        <w:ind w:firstLine="420"/>
        <w:rPr>
          <w:rFonts w:hint="eastAsia"/>
        </w:rPr>
      </w:pPr>
      <w:r>
        <w:rPr>
          <w:rFonts w:hint="eastAsia"/>
        </w:rPr>
        <w:t>对现场勘察和室内试验获得的数据进行整理和分析，计算岩土体的各项物理力学性质指标。</w:t>
      </w:r>
    </w:p>
    <w:p w14:paraId="31E3A761">
      <w:pPr>
        <w:pStyle w:val="65"/>
        <w:bidi w:val="0"/>
        <w:ind w:left="0" w:leftChars="0" w:firstLine="0" w:firstLineChars="0"/>
        <w:rPr>
          <w:rFonts w:hint="eastAsia"/>
        </w:rPr>
      </w:pPr>
      <w:r>
        <w:rPr>
          <w:rFonts w:hint="eastAsia"/>
        </w:rPr>
        <w:t>岩土体分类与评价</w:t>
      </w:r>
    </w:p>
    <w:p w14:paraId="3211998F">
      <w:pPr>
        <w:pStyle w:val="56"/>
        <w:spacing w:line="360" w:lineRule="auto"/>
        <w:ind w:firstLine="420"/>
        <w:rPr>
          <w:rFonts w:hint="eastAsia"/>
        </w:rPr>
      </w:pPr>
      <w:r>
        <w:rPr>
          <w:rFonts w:hint="eastAsia"/>
        </w:rPr>
        <w:t>根据岩土体的物理力学性质指标，对其进行分类和评价，确定其工程特性。</w:t>
      </w:r>
    </w:p>
    <w:p w14:paraId="0D0D6A85">
      <w:pPr>
        <w:pStyle w:val="223"/>
        <w:spacing w:line="360" w:lineRule="auto"/>
        <w:ind w:left="420" w:hanging="420" w:hangingChars="200"/>
        <w:rPr>
          <w:rFonts w:hint="eastAsia" w:ascii="黑体" w:hAnsi="黑体" w:eastAsia="黑体"/>
        </w:rPr>
      </w:pPr>
      <w:r>
        <w:rPr>
          <w:rFonts w:hint="eastAsia" w:ascii="黑体" w:hAnsi="黑体" w:eastAsia="黑体"/>
        </w:rPr>
        <w:t>稳定性评价方法选择与应用</w:t>
      </w:r>
    </w:p>
    <w:p w14:paraId="2EB9C51C">
      <w:pPr>
        <w:pStyle w:val="65"/>
        <w:bidi w:val="0"/>
        <w:ind w:left="0" w:leftChars="0" w:firstLine="0" w:firstLineChars="0"/>
        <w:rPr>
          <w:rFonts w:hint="eastAsia"/>
        </w:rPr>
      </w:pPr>
      <w:r>
        <w:rPr>
          <w:rFonts w:hint="eastAsia"/>
        </w:rPr>
        <w:t>评价方法选择</w:t>
      </w:r>
    </w:p>
    <w:p w14:paraId="507DE983">
      <w:pPr>
        <w:pStyle w:val="56"/>
        <w:spacing w:line="360" w:lineRule="auto"/>
        <w:ind w:firstLine="420"/>
        <w:rPr>
          <w:rFonts w:hint="eastAsia"/>
        </w:rPr>
      </w:pPr>
      <w:r>
        <w:rPr>
          <w:rFonts w:hint="eastAsia"/>
        </w:rPr>
        <w:t>根据岩土体类型、地质环境条件及工程作用，选择极限平衡法（适用于均质土坡）、有限元法（适用于复杂地质条件）、离散元法（适用于碎裂结构岩体）；若采用非标准方法，需在报告中说明其局限性。</w:t>
      </w:r>
    </w:p>
    <w:p w14:paraId="00ADAA33">
      <w:pPr>
        <w:pStyle w:val="65"/>
        <w:bidi w:val="0"/>
        <w:ind w:left="0" w:leftChars="0" w:firstLine="0" w:firstLineChars="0"/>
        <w:rPr>
          <w:rFonts w:hint="eastAsia"/>
        </w:rPr>
      </w:pPr>
      <w:r>
        <w:rPr>
          <w:rFonts w:hint="eastAsia"/>
        </w:rPr>
        <w:t>模型建立与参数确定</w:t>
      </w:r>
    </w:p>
    <w:p w14:paraId="70FBB144">
      <w:pPr>
        <w:pStyle w:val="56"/>
        <w:spacing w:line="360" w:lineRule="auto"/>
        <w:ind w:firstLine="420"/>
        <w:rPr>
          <w:rFonts w:hint="eastAsia"/>
        </w:rPr>
      </w:pPr>
      <w:r>
        <w:rPr>
          <w:rFonts w:hint="eastAsia"/>
        </w:rPr>
        <w:t>根据所选评价方法，建立相应的计算模型，并确定模型参数。</w:t>
      </w:r>
    </w:p>
    <w:p w14:paraId="4154A93E">
      <w:pPr>
        <w:pStyle w:val="65"/>
        <w:bidi w:val="0"/>
        <w:ind w:left="0" w:leftChars="0" w:firstLine="0" w:firstLineChars="0"/>
        <w:rPr>
          <w:rFonts w:hint="eastAsia"/>
        </w:rPr>
      </w:pPr>
      <w:r>
        <w:rPr>
          <w:rFonts w:hint="eastAsia"/>
        </w:rPr>
        <w:t>稳定性计算与分析</w:t>
      </w:r>
    </w:p>
    <w:p w14:paraId="57E27B70">
      <w:pPr>
        <w:pStyle w:val="56"/>
        <w:spacing w:line="360" w:lineRule="auto"/>
        <w:ind w:firstLine="420"/>
        <w:rPr>
          <w:rFonts w:hint="eastAsia"/>
        </w:rPr>
      </w:pPr>
      <w:r>
        <w:rPr>
          <w:rFonts w:hint="eastAsia"/>
        </w:rPr>
        <w:t>利用建立的模型和确定的参数，进行岩土体稳定性的计算和分析，评估其失稳的可能性和后果。</w:t>
      </w:r>
    </w:p>
    <w:p w14:paraId="4634270F">
      <w:pPr>
        <w:pStyle w:val="223"/>
        <w:spacing w:line="360" w:lineRule="auto"/>
        <w:ind w:left="420" w:hanging="420" w:hangingChars="200"/>
        <w:rPr>
          <w:rFonts w:hint="eastAsia" w:ascii="黑体" w:hAnsi="黑体" w:eastAsia="黑体"/>
        </w:rPr>
      </w:pPr>
      <w:r>
        <w:rPr>
          <w:rFonts w:hint="eastAsia" w:ascii="黑体" w:hAnsi="黑体" w:eastAsia="黑体"/>
        </w:rPr>
        <w:t>评价报告编制</w:t>
      </w:r>
    </w:p>
    <w:p w14:paraId="2A55BF0B">
      <w:pPr>
        <w:pStyle w:val="65"/>
        <w:bidi w:val="0"/>
        <w:ind w:left="0" w:leftChars="0" w:firstLine="0" w:firstLineChars="0"/>
        <w:rPr>
          <w:rFonts w:hint="eastAsia"/>
        </w:rPr>
      </w:pPr>
      <w:r>
        <w:rPr>
          <w:rFonts w:hint="eastAsia"/>
        </w:rPr>
        <w:t>报告内容要求</w:t>
      </w:r>
    </w:p>
    <w:p w14:paraId="0751746C">
      <w:pPr>
        <w:pStyle w:val="56"/>
        <w:spacing w:line="360" w:lineRule="auto"/>
        <w:ind w:firstLine="420"/>
        <w:rPr>
          <w:rFonts w:hint="eastAsia"/>
        </w:rPr>
      </w:pPr>
      <w:r>
        <w:rPr>
          <w:rFonts w:hint="eastAsia"/>
        </w:rPr>
        <w:t>包括工程概况、勘察方法、岩土体性质测试结果、稳定性评价方法与结果、风险等级划分（高/中/低）、应急预案建议；附图需包含地质剖面图（比例尺1:1000~1:2000）、监测点布置图等。</w:t>
      </w:r>
    </w:p>
    <w:p w14:paraId="120C9C38">
      <w:pPr>
        <w:pStyle w:val="65"/>
        <w:bidi w:val="0"/>
        <w:ind w:left="0" w:leftChars="0" w:firstLine="0" w:firstLineChars="0"/>
        <w:rPr>
          <w:rFonts w:hint="eastAsia"/>
        </w:rPr>
      </w:pPr>
      <w:r>
        <w:rPr>
          <w:rFonts w:hint="eastAsia"/>
        </w:rPr>
        <w:t>报告格式规范</w:t>
      </w:r>
    </w:p>
    <w:p w14:paraId="0C759715">
      <w:pPr>
        <w:pStyle w:val="56"/>
        <w:spacing w:line="360" w:lineRule="auto"/>
        <w:ind w:firstLine="420"/>
        <w:rPr>
          <w:rFonts w:hint="eastAsia"/>
        </w:rPr>
      </w:pPr>
      <w:r>
        <w:rPr>
          <w:rFonts w:hint="eastAsia"/>
        </w:rPr>
        <w:t>评价报告应按照规定的格式进行编制，确保报告内容清晰、条理分明、数据准确。</w:t>
      </w:r>
    </w:p>
    <w:p w14:paraId="54959F58">
      <w:pPr>
        <w:pStyle w:val="65"/>
        <w:bidi w:val="0"/>
        <w:ind w:left="0" w:leftChars="0" w:firstLine="0" w:firstLineChars="0"/>
        <w:rPr>
          <w:rFonts w:hint="eastAsia"/>
        </w:rPr>
      </w:pPr>
      <w:r>
        <w:rPr>
          <w:rFonts w:hint="eastAsia"/>
        </w:rPr>
        <w:t>报告审核与批准</w:t>
      </w:r>
    </w:p>
    <w:p w14:paraId="4F64CCF7">
      <w:pPr>
        <w:pStyle w:val="56"/>
        <w:spacing w:line="360" w:lineRule="auto"/>
        <w:ind w:firstLine="420"/>
        <w:rPr>
          <w:rFonts w:hint="eastAsia"/>
        </w:rPr>
      </w:pPr>
      <w:r>
        <w:rPr>
          <w:rFonts w:hint="eastAsia"/>
        </w:rPr>
        <w:t>评价报告编制完成后，应进行内部审核和外部专家评审，确保报告的质量和可靠性。经批准后，方可提交给建设单位或相关部门使用。</w:t>
      </w:r>
    </w:p>
    <w:p w14:paraId="63E2C416">
      <w:pPr>
        <w:pStyle w:val="104"/>
        <w:spacing w:before="240" w:after="240" w:line="360" w:lineRule="auto"/>
        <w:rPr>
          <w:rFonts w:hint="eastAsia"/>
          <w:lang w:val="en-US" w:eastAsia="zh-CN"/>
        </w:rPr>
      </w:pPr>
      <w:bookmarkStart w:id="57" w:name="_Toc6661"/>
      <w:r>
        <w:rPr>
          <w:rFonts w:hint="eastAsia"/>
          <w:lang w:val="en-US" w:eastAsia="zh-CN"/>
        </w:rPr>
        <w:t>质量控制与保证措施</w:t>
      </w:r>
      <w:bookmarkEnd w:id="57"/>
    </w:p>
    <w:p w14:paraId="0DD7534C">
      <w:pPr>
        <w:pStyle w:val="223"/>
        <w:spacing w:line="360" w:lineRule="auto"/>
        <w:ind w:left="420" w:hanging="420" w:hangingChars="200"/>
        <w:rPr>
          <w:rFonts w:hint="eastAsia" w:ascii="黑体" w:hAnsi="黑体" w:eastAsia="黑体"/>
        </w:rPr>
      </w:pPr>
      <w:r>
        <w:rPr>
          <w:rFonts w:hint="eastAsia" w:ascii="黑体" w:hAnsi="黑体" w:eastAsia="黑体"/>
        </w:rPr>
        <w:t>全过程质量控制</w:t>
      </w:r>
    </w:p>
    <w:p w14:paraId="394DC1C4">
      <w:pPr>
        <w:pStyle w:val="56"/>
        <w:spacing w:line="360" w:lineRule="auto"/>
        <w:ind w:firstLine="420"/>
        <w:rPr>
          <w:rFonts w:hint="eastAsia"/>
        </w:rPr>
      </w:pPr>
      <w:r>
        <w:rPr>
          <w:rFonts w:hint="eastAsia"/>
        </w:rPr>
        <w:t>实施从勘察准备到评价报告编制的全过程质量控制，确保每个环节都符合相关标准和规范的要求。</w:t>
      </w:r>
    </w:p>
    <w:p w14:paraId="7F35AB73">
      <w:pPr>
        <w:pStyle w:val="223"/>
        <w:spacing w:line="360" w:lineRule="auto"/>
        <w:ind w:left="420" w:hanging="420" w:hangingChars="200"/>
        <w:rPr>
          <w:rFonts w:hint="eastAsia" w:ascii="黑体" w:hAnsi="黑体" w:eastAsia="黑体"/>
        </w:rPr>
      </w:pPr>
      <w:r>
        <w:rPr>
          <w:rFonts w:hint="eastAsia" w:ascii="黑体" w:hAnsi="黑体" w:eastAsia="黑体"/>
        </w:rPr>
        <w:t>定期校准与检查</w:t>
      </w:r>
    </w:p>
    <w:p w14:paraId="3483BAEC">
      <w:pPr>
        <w:pStyle w:val="56"/>
        <w:spacing w:line="360" w:lineRule="auto"/>
        <w:ind w:firstLine="420"/>
        <w:rPr>
          <w:rFonts w:hint="eastAsia"/>
        </w:rPr>
      </w:pPr>
      <w:r>
        <w:rPr>
          <w:rFonts w:hint="eastAsia"/>
        </w:rPr>
        <w:t>对勘察和测试设备进行定期校准和检查，确保其精度和可靠性。</w:t>
      </w:r>
    </w:p>
    <w:p w14:paraId="085492D2">
      <w:pPr>
        <w:pStyle w:val="223"/>
        <w:spacing w:line="360" w:lineRule="auto"/>
        <w:ind w:left="420" w:hanging="420" w:hangingChars="200"/>
        <w:rPr>
          <w:rFonts w:hint="eastAsia" w:ascii="黑体" w:hAnsi="黑体" w:eastAsia="黑体"/>
        </w:rPr>
      </w:pPr>
      <w:r>
        <w:rPr>
          <w:rFonts w:hint="eastAsia" w:ascii="黑体" w:hAnsi="黑体" w:eastAsia="黑体"/>
        </w:rPr>
        <w:t>人员培训与考核</w:t>
      </w:r>
    </w:p>
    <w:p w14:paraId="01CEFD54">
      <w:pPr>
        <w:pStyle w:val="56"/>
        <w:spacing w:line="360" w:lineRule="auto"/>
        <w:ind w:firstLine="420"/>
        <w:rPr>
          <w:rFonts w:hint="eastAsia"/>
        </w:rPr>
      </w:pPr>
      <w:r>
        <w:rPr>
          <w:rFonts w:hint="eastAsia"/>
        </w:rPr>
        <w:t>对参与勘察和评价工作的人员进行定期培训和考核，提高其专业水平和操作技能。</w:t>
      </w:r>
    </w:p>
    <w:p w14:paraId="732A0358">
      <w:pPr>
        <w:pStyle w:val="104"/>
        <w:spacing w:before="240" w:after="240" w:line="360" w:lineRule="auto"/>
        <w:rPr>
          <w:rFonts w:hint="eastAsia"/>
          <w:lang w:val="en-US" w:eastAsia="zh-CN"/>
        </w:rPr>
      </w:pPr>
      <w:bookmarkStart w:id="58" w:name="_Toc18509"/>
      <w:r>
        <w:rPr>
          <w:rFonts w:hint="eastAsia"/>
          <w:lang w:val="en-US" w:eastAsia="zh-CN"/>
        </w:rPr>
        <w:t>安全性与合规性要求</w:t>
      </w:r>
      <w:bookmarkEnd w:id="58"/>
    </w:p>
    <w:p w14:paraId="77CB2A96">
      <w:pPr>
        <w:pStyle w:val="223"/>
        <w:spacing w:line="360" w:lineRule="auto"/>
        <w:ind w:left="420" w:hanging="420" w:hangingChars="200"/>
        <w:rPr>
          <w:rFonts w:hint="eastAsia" w:ascii="黑体" w:hAnsi="黑体" w:eastAsia="黑体"/>
        </w:rPr>
      </w:pPr>
      <w:r>
        <w:rPr>
          <w:rFonts w:hint="eastAsia" w:ascii="黑体" w:hAnsi="黑体" w:eastAsia="黑体"/>
        </w:rPr>
        <w:t>数据安全</w:t>
      </w:r>
    </w:p>
    <w:p w14:paraId="0F30D007">
      <w:pPr>
        <w:pStyle w:val="56"/>
        <w:spacing w:line="360" w:lineRule="auto"/>
        <w:ind w:firstLine="420"/>
        <w:rPr>
          <w:rFonts w:hint="eastAsia"/>
        </w:rPr>
      </w:pPr>
      <w:r>
        <w:rPr>
          <w:rFonts w:hint="eastAsia"/>
        </w:rPr>
        <w:t>采取必要的技术措施，确保勘察和评价过程中获取的数据在采集、传输、存储、处理过程中的安全性。对敏感数据进行加密处理，防止数据泄露。</w:t>
      </w:r>
    </w:p>
    <w:p w14:paraId="242FE7E2">
      <w:pPr>
        <w:pStyle w:val="223"/>
        <w:spacing w:line="360" w:lineRule="auto"/>
        <w:ind w:left="420" w:hanging="420" w:hangingChars="200"/>
        <w:rPr>
          <w:rFonts w:hint="eastAsia" w:ascii="黑体" w:hAnsi="黑体" w:eastAsia="黑体"/>
        </w:rPr>
      </w:pPr>
      <w:r>
        <w:rPr>
          <w:rFonts w:hint="eastAsia" w:ascii="黑体" w:hAnsi="黑体" w:eastAsia="黑体"/>
        </w:rPr>
        <w:t>系统安全</w:t>
      </w:r>
    </w:p>
    <w:p w14:paraId="56F2C813">
      <w:pPr>
        <w:pStyle w:val="56"/>
        <w:spacing w:line="360" w:lineRule="auto"/>
        <w:ind w:firstLine="420"/>
        <w:rPr>
          <w:rFonts w:hint="eastAsia"/>
        </w:rPr>
      </w:pPr>
      <w:r>
        <w:rPr>
          <w:rFonts w:hint="eastAsia"/>
        </w:rPr>
        <w:t>建立系统安全管理制度，定期对系统进行安全检查和评估。采取防火墙、入侵检测等安全措施，防止网络攻击和非法入侵。</w:t>
      </w:r>
    </w:p>
    <w:p w14:paraId="1DC9863C">
      <w:pPr>
        <w:pStyle w:val="223"/>
        <w:spacing w:line="360" w:lineRule="auto"/>
        <w:ind w:left="420" w:hanging="420" w:hangingChars="200"/>
        <w:rPr>
          <w:rFonts w:hint="eastAsia" w:ascii="黑体" w:hAnsi="黑体" w:eastAsia="黑体"/>
        </w:rPr>
      </w:pPr>
      <w:r>
        <w:rPr>
          <w:rFonts w:hint="eastAsia" w:ascii="黑体" w:hAnsi="黑体" w:eastAsia="黑体"/>
        </w:rPr>
        <w:t>合规性</w:t>
      </w:r>
    </w:p>
    <w:p w14:paraId="250CA1D3">
      <w:pPr>
        <w:pStyle w:val="56"/>
        <w:spacing w:line="360" w:lineRule="auto"/>
        <w:ind w:firstLine="420"/>
        <w:rPr>
          <w:rFonts w:hint="eastAsia"/>
        </w:rPr>
      </w:pPr>
      <w:r>
        <w:rPr>
          <w:rFonts w:hint="eastAsia"/>
        </w:rPr>
        <w:t>遵守国家相关法律法规及标准要求，确保勘察和评价工作的合规性。定期接受相关部门的监督检查，及时整改存在的问题。</w:t>
      </w:r>
    </w:p>
    <w:p w14:paraId="6EFE94F6">
      <w:pPr>
        <w:pStyle w:val="104"/>
        <w:spacing w:before="240" w:after="240" w:line="360" w:lineRule="auto"/>
        <w:rPr>
          <w:rFonts w:hint="eastAsia"/>
          <w:lang w:val="en-US" w:eastAsia="zh-CN"/>
        </w:rPr>
      </w:pPr>
      <w:bookmarkStart w:id="59" w:name="_Toc13321"/>
      <w:r>
        <w:rPr>
          <w:rFonts w:hint="eastAsia"/>
          <w:lang w:val="en-US" w:eastAsia="zh-CN"/>
        </w:rPr>
        <w:t>记录与档案管理</w:t>
      </w:r>
      <w:bookmarkEnd w:id="59"/>
    </w:p>
    <w:p w14:paraId="24074FB9">
      <w:pPr>
        <w:pStyle w:val="223"/>
        <w:spacing w:line="360" w:lineRule="auto"/>
        <w:ind w:left="420" w:hanging="420" w:hangingChars="200"/>
        <w:rPr>
          <w:rFonts w:hint="eastAsia" w:ascii="黑体" w:hAnsi="黑体" w:eastAsia="黑体"/>
        </w:rPr>
      </w:pPr>
      <w:r>
        <w:rPr>
          <w:rFonts w:hint="eastAsia" w:ascii="黑体" w:hAnsi="黑体" w:eastAsia="黑体"/>
        </w:rPr>
        <w:t>运行记录</w:t>
      </w:r>
    </w:p>
    <w:p w14:paraId="628A1893">
      <w:pPr>
        <w:pStyle w:val="56"/>
        <w:spacing w:line="360" w:lineRule="auto"/>
        <w:ind w:firstLine="420"/>
        <w:rPr>
          <w:rFonts w:hint="eastAsia"/>
        </w:rPr>
      </w:pPr>
      <w:r>
        <w:rPr>
          <w:rFonts w:hint="eastAsia"/>
        </w:rPr>
        <w:t>建立详细的运行记录制度，记录勘察和评价过程中的设备运行状态、测试数据、故障处理等信息。运行记录应真实、完整、可追溯。</w:t>
      </w:r>
    </w:p>
    <w:p w14:paraId="5EC81BE1">
      <w:pPr>
        <w:pStyle w:val="223"/>
        <w:spacing w:line="360" w:lineRule="auto"/>
        <w:ind w:left="420" w:hanging="420" w:hangingChars="200"/>
        <w:rPr>
          <w:rFonts w:hint="eastAsia" w:ascii="黑体" w:hAnsi="黑体" w:eastAsia="黑体"/>
        </w:rPr>
      </w:pPr>
      <w:r>
        <w:rPr>
          <w:rFonts w:hint="eastAsia" w:ascii="黑体" w:hAnsi="黑体" w:eastAsia="黑体"/>
        </w:rPr>
        <w:t>档案管理</w:t>
      </w:r>
    </w:p>
    <w:p w14:paraId="2627DC9A">
      <w:pPr>
        <w:pStyle w:val="56"/>
        <w:spacing w:line="360" w:lineRule="auto"/>
        <w:ind w:firstLine="420"/>
        <w:rPr>
          <w:rFonts w:hint="eastAsia"/>
        </w:rPr>
      </w:pPr>
      <w:r>
        <w:rPr>
          <w:rFonts w:hint="eastAsia"/>
        </w:rPr>
        <w:t>对勘察和评价过程中的文件资料进行整理归档，包括勘察方案、测试数据、评价报告等。档案管理应规范、有序，便于查询和使用。</w:t>
      </w:r>
      <w:bookmarkEnd w:id="2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1"/>
    </w:pPr>
    <w:r>
      <w:fldChar w:fldCharType="begin"/>
    </w:r>
    <w:r>
      <w:instrText xml:space="preserve"> STYLEREF  标准文件_文件编号  \* MERGEFORMAT </w:instrText>
    </w:r>
    <w:r>
      <w:fldChar w:fldCharType="separate"/>
    </w:r>
    <w:r>
      <w:t>T/XZBX 0115—2025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0115—2025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1"/>
    </w:pPr>
    <w:r>
      <w:fldChar w:fldCharType="begin"/>
    </w:r>
    <w:r>
      <w:instrText xml:space="preserve"> STYLEREF  标准文件_文件编号  \* MERGEFORMAT </w:instrText>
    </w:r>
    <w:r>
      <w:fldChar w:fldCharType="separate"/>
    </w:r>
    <w:r>
      <w:t>T/XZBX 0115—2025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0115—2025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1"/>
    </w:pPr>
    <w:r>
      <w:fldChar w:fldCharType="begin"/>
    </w:r>
    <w:r>
      <w:instrText xml:space="preserve"> STYLEREF  标准文件_文件编号  \* MERGEFORMAT </w:instrText>
    </w:r>
    <w:r>
      <w:fldChar w:fldCharType="separate"/>
    </w:r>
    <w:r>
      <w:t>T/XZBX 0115—2025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0115—2025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1"/>
    </w:pPr>
    <w:r>
      <w:fldChar w:fldCharType="begin"/>
    </w:r>
    <w:r>
      <w:instrText xml:space="preserve"> STYLEREF  标准文件_文件编号  \* MERGEFORMAT </w:instrText>
    </w:r>
    <w:r>
      <w:fldChar w:fldCharType="separate"/>
    </w:r>
    <w:r>
      <w:t>T/XZBX 0115—2025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0115—2025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4C133B2"/>
    <w:rsid w:val="06450013"/>
    <w:rsid w:val="083D5267"/>
    <w:rsid w:val="11A5092B"/>
    <w:rsid w:val="12BB7BD4"/>
    <w:rsid w:val="13225964"/>
    <w:rsid w:val="14B52807"/>
    <w:rsid w:val="176C54EA"/>
    <w:rsid w:val="18115FA7"/>
    <w:rsid w:val="18C67773"/>
    <w:rsid w:val="1F554A44"/>
    <w:rsid w:val="1FF24E4E"/>
    <w:rsid w:val="2C7B4F1A"/>
    <w:rsid w:val="2FBF58A6"/>
    <w:rsid w:val="2FC71A29"/>
    <w:rsid w:val="30234671"/>
    <w:rsid w:val="33F61CAC"/>
    <w:rsid w:val="34CD1F56"/>
    <w:rsid w:val="36462E68"/>
    <w:rsid w:val="39AD1CD6"/>
    <w:rsid w:val="443D5731"/>
    <w:rsid w:val="46DF70EC"/>
    <w:rsid w:val="48972517"/>
    <w:rsid w:val="51962A9D"/>
    <w:rsid w:val="5B1A134B"/>
    <w:rsid w:val="5BA81D4B"/>
    <w:rsid w:val="61DE0274"/>
    <w:rsid w:val="64562060"/>
    <w:rsid w:val="66E77BCB"/>
    <w:rsid w:val="6CE55009"/>
    <w:rsid w:val="72653996"/>
    <w:rsid w:val="76E6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
      <w:docPartPr>
        <w:name w:val="DF10AEF82D6D4F4F9C769483D536A917"/>
        <w:style w:val=""/>
        <w:category>
          <w:name w:val="常规"/>
          <w:gallery w:val="placeholder"/>
        </w:category>
        <w:types>
          <w:type w:val="bbPlcHdr"/>
        </w:types>
        <w:behaviors>
          <w:behavior w:val="content"/>
        </w:behaviors>
        <w:description w:val=""/>
        <w:guid w:val="{EF118F11-4375-4914-9198-CCF1D3CB6386}"/>
      </w:docPartPr>
      <w:docPartBody>
        <w:p w14:paraId="38A4D5B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2774</Words>
  <Characters>3006</Characters>
  <Lines>48</Lines>
  <Paragraphs>13</Paragraphs>
  <TotalTime>5</TotalTime>
  <ScaleCrop>false</ScaleCrop>
  <LinksUpToDate>false</LinksUpToDate>
  <CharactersWithSpaces>3073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2025-10-29T07:00:16Z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