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0E299F">
      <w:pPr>
        <w:ind w:firstLine="1316" w:firstLineChars="298"/>
        <w:rPr>
          <w:rFonts w:eastAsia="黑体"/>
          <w:b/>
          <w:bCs/>
          <w:sz w:val="44"/>
          <w:szCs w:val="44"/>
        </w:rPr>
      </w:pPr>
    </w:p>
    <w:p w14:paraId="370BA578">
      <w:pPr>
        <w:ind w:firstLine="1316" w:firstLineChars="298"/>
        <w:rPr>
          <w:rFonts w:eastAsia="黑体"/>
          <w:b/>
          <w:bCs/>
          <w:sz w:val="44"/>
          <w:szCs w:val="44"/>
        </w:rPr>
      </w:pPr>
    </w:p>
    <w:p w14:paraId="04601A58">
      <w:pPr>
        <w:ind w:firstLine="1316" w:firstLineChars="298"/>
        <w:rPr>
          <w:rFonts w:eastAsia="黑体"/>
          <w:b/>
          <w:bCs/>
          <w:sz w:val="44"/>
          <w:szCs w:val="44"/>
        </w:rPr>
      </w:pPr>
    </w:p>
    <w:p w14:paraId="0A29673E">
      <w:pPr>
        <w:ind w:firstLine="1316" w:firstLineChars="298"/>
        <w:rPr>
          <w:rFonts w:eastAsia="黑体"/>
          <w:b/>
          <w:bCs/>
          <w:sz w:val="44"/>
          <w:szCs w:val="44"/>
        </w:rPr>
      </w:pPr>
    </w:p>
    <w:p w14:paraId="1CB1780C">
      <w:pPr>
        <w:ind w:firstLine="1316" w:firstLineChars="298"/>
        <w:rPr>
          <w:rFonts w:eastAsia="黑体"/>
          <w:b/>
          <w:bCs/>
          <w:sz w:val="44"/>
          <w:szCs w:val="44"/>
        </w:rPr>
      </w:pPr>
    </w:p>
    <w:p w14:paraId="504210C0">
      <w:pPr>
        <w:ind w:firstLine="1316" w:firstLineChars="298"/>
        <w:rPr>
          <w:rFonts w:eastAsia="黑体"/>
          <w:b/>
          <w:bCs/>
          <w:sz w:val="44"/>
          <w:szCs w:val="44"/>
        </w:rPr>
      </w:pPr>
    </w:p>
    <w:p w14:paraId="1942A654">
      <w:pPr>
        <w:jc w:val="center"/>
        <w:rPr>
          <w:rFonts w:hint="eastAsia" w:eastAsia="黑体"/>
          <w:b/>
          <w:bCs/>
          <w:sz w:val="44"/>
          <w:szCs w:val="44"/>
        </w:rPr>
      </w:pPr>
      <w:r>
        <w:rPr>
          <w:rFonts w:hint="eastAsia" w:eastAsia="黑体"/>
          <w:b/>
          <w:bCs/>
          <w:sz w:val="44"/>
          <w:szCs w:val="44"/>
        </w:rPr>
        <w:t>石油产品质量检测移动实验室</w:t>
      </w:r>
    </w:p>
    <w:p w14:paraId="06907142">
      <w:pPr>
        <w:jc w:val="center"/>
        <w:rPr>
          <w:rFonts w:eastAsia="黑体"/>
          <w:b/>
          <w:bCs/>
          <w:sz w:val="44"/>
          <w:szCs w:val="44"/>
        </w:rPr>
      </w:pPr>
      <w:r>
        <w:rPr>
          <w:rFonts w:hint="eastAsia" w:eastAsia="黑体"/>
          <w:b/>
          <w:bCs/>
          <w:sz w:val="44"/>
          <w:szCs w:val="44"/>
        </w:rPr>
        <w:t>通用技术要求</w:t>
      </w:r>
    </w:p>
    <w:p w14:paraId="4FC872B2">
      <w:pPr>
        <w:jc w:val="center"/>
        <w:rPr>
          <w:rFonts w:eastAsia="黑体"/>
          <w:b/>
          <w:bCs/>
          <w:sz w:val="44"/>
          <w:szCs w:val="44"/>
        </w:rPr>
      </w:pPr>
    </w:p>
    <w:p w14:paraId="3D6B6A26">
      <w:pPr>
        <w:jc w:val="center"/>
        <w:rPr>
          <w:rFonts w:eastAsia="黑体"/>
          <w:b/>
          <w:bCs/>
          <w:sz w:val="44"/>
          <w:szCs w:val="44"/>
        </w:rPr>
      </w:pPr>
      <w:r>
        <w:rPr>
          <w:rFonts w:eastAsia="黑体"/>
          <w:b/>
          <w:bCs/>
          <w:sz w:val="44"/>
          <w:szCs w:val="44"/>
        </w:rPr>
        <w:t>编 制 说 明</w:t>
      </w:r>
    </w:p>
    <w:p w14:paraId="7F2064D1">
      <w:pPr>
        <w:spacing w:after="100" w:afterAutospacing="1"/>
        <w:jc w:val="center"/>
        <w:rPr>
          <w:sz w:val="32"/>
          <w:szCs w:val="32"/>
        </w:rPr>
      </w:pPr>
    </w:p>
    <w:p w14:paraId="64A7F591">
      <w:pPr>
        <w:ind w:firstLine="2421" w:firstLineChars="548"/>
        <w:rPr>
          <w:rFonts w:eastAsia="黑体"/>
          <w:b/>
          <w:bCs/>
          <w:sz w:val="44"/>
          <w:szCs w:val="44"/>
        </w:rPr>
      </w:pPr>
    </w:p>
    <w:p w14:paraId="1F153E60">
      <w:pPr>
        <w:ind w:firstLine="2101" w:firstLineChars="700"/>
        <w:rPr>
          <w:b/>
          <w:bCs/>
          <w:sz w:val="30"/>
        </w:rPr>
      </w:pPr>
    </w:p>
    <w:p w14:paraId="3D9BBC1A">
      <w:pPr>
        <w:ind w:firstLine="2101" w:firstLineChars="700"/>
        <w:rPr>
          <w:b/>
          <w:bCs/>
          <w:sz w:val="30"/>
        </w:rPr>
      </w:pPr>
    </w:p>
    <w:p w14:paraId="1B5EDC6B">
      <w:pPr>
        <w:ind w:firstLine="2101" w:firstLineChars="700"/>
        <w:rPr>
          <w:b/>
          <w:bCs/>
          <w:sz w:val="30"/>
        </w:rPr>
      </w:pPr>
    </w:p>
    <w:p w14:paraId="714CCAF3">
      <w:pPr>
        <w:ind w:firstLine="2101" w:firstLineChars="700"/>
        <w:rPr>
          <w:b/>
          <w:bCs/>
          <w:sz w:val="30"/>
        </w:rPr>
      </w:pPr>
    </w:p>
    <w:p w14:paraId="7A588CEB">
      <w:pPr>
        <w:ind w:firstLine="2101" w:firstLineChars="700"/>
        <w:rPr>
          <w:b/>
          <w:bCs/>
          <w:sz w:val="30"/>
        </w:rPr>
      </w:pPr>
    </w:p>
    <w:p w14:paraId="22569069">
      <w:pPr>
        <w:rPr>
          <w:rFonts w:eastAsia="黑体"/>
          <w:sz w:val="32"/>
          <w:szCs w:val="32"/>
        </w:rPr>
      </w:pPr>
    </w:p>
    <w:p w14:paraId="0D596375">
      <w:pPr>
        <w:rPr>
          <w:rFonts w:eastAsia="黑体"/>
          <w:sz w:val="32"/>
          <w:szCs w:val="32"/>
        </w:rPr>
      </w:pPr>
    </w:p>
    <w:p w14:paraId="0E729F0E">
      <w:pPr>
        <w:rPr>
          <w:rFonts w:eastAsia="黑体"/>
          <w:sz w:val="32"/>
          <w:szCs w:val="32"/>
        </w:rPr>
      </w:pPr>
    </w:p>
    <w:p w14:paraId="37996D3E">
      <w:pPr>
        <w:jc w:val="center"/>
        <w:rPr>
          <w:rFonts w:hint="default" w:eastAsia="微软雅黑"/>
          <w:sz w:val="32"/>
          <w:szCs w:val="32"/>
          <w:lang w:val="en-US" w:eastAsia="zh-CN"/>
        </w:rPr>
      </w:pPr>
      <w:r>
        <w:rPr>
          <w:rFonts w:hint="eastAsia"/>
          <w:sz w:val="32"/>
          <w:szCs w:val="32"/>
          <w:lang w:val="en-US" w:eastAsia="zh-CN"/>
        </w:rPr>
        <w:t>中石油豫博安全环保技术研究（河南）有限公司</w:t>
      </w:r>
    </w:p>
    <w:p w14:paraId="75A54206">
      <w:pPr>
        <w:ind w:left="-4410" w:leftChars="-2100" w:firstLine="980" w:firstLineChars="350"/>
        <w:jc w:val="center"/>
        <w:rPr>
          <w:rFonts w:eastAsia="黑体"/>
        </w:rPr>
      </w:pPr>
      <w:r>
        <w:rPr>
          <w:sz w:val="28"/>
          <w:szCs w:val="28"/>
        </w:rPr>
        <w:t xml:space="preserve">                 </w:t>
      </w:r>
      <w:r>
        <w:rPr>
          <w:rFonts w:eastAsia="黑体"/>
          <w:sz w:val="28"/>
          <w:szCs w:val="28"/>
        </w:rPr>
        <w:t xml:space="preserve">         </w:t>
      </w:r>
      <w:r>
        <w:rPr>
          <w:rFonts w:hint="eastAsia" w:eastAsia="黑体"/>
          <w:sz w:val="28"/>
          <w:szCs w:val="28"/>
        </w:rPr>
        <w:t>202</w:t>
      </w:r>
      <w:r>
        <w:rPr>
          <w:rFonts w:hint="eastAsia" w:eastAsia="黑体"/>
          <w:sz w:val="28"/>
          <w:szCs w:val="28"/>
          <w:lang w:val="en-US" w:eastAsia="zh-CN"/>
        </w:rPr>
        <w:t>5</w:t>
      </w:r>
      <w:r>
        <w:rPr>
          <w:rFonts w:eastAsia="黑体"/>
          <w:sz w:val="28"/>
          <w:szCs w:val="28"/>
        </w:rPr>
        <w:t>年</w:t>
      </w:r>
      <w:r>
        <w:rPr>
          <w:rFonts w:hint="eastAsia" w:eastAsia="黑体"/>
          <w:sz w:val="28"/>
          <w:szCs w:val="28"/>
          <w:lang w:val="en-US" w:eastAsia="zh-CN"/>
        </w:rPr>
        <w:t>10</w:t>
      </w:r>
      <w:r>
        <w:rPr>
          <w:rFonts w:eastAsia="黑体"/>
          <w:sz w:val="28"/>
          <w:szCs w:val="28"/>
        </w:rPr>
        <w:t>月</w:t>
      </w:r>
    </w:p>
    <w:p w14:paraId="5AD3E1E6">
      <w:pPr>
        <w:pStyle w:val="18"/>
        <w:spacing w:before="100" w:beforeAutospacing="1" w:after="100" w:afterAutospacing="1" w:line="360" w:lineRule="auto"/>
        <w:ind w:firstLine="0" w:firstLineChars="0"/>
        <w:rPr>
          <w:rFonts w:eastAsia="黑体"/>
          <w:sz w:val="24"/>
          <w:szCs w:val="24"/>
        </w:rPr>
      </w:pPr>
      <w:r>
        <w:rPr>
          <w:rFonts w:eastAsia="黑体"/>
          <w:sz w:val="24"/>
          <w:szCs w:val="24"/>
        </w:rPr>
        <w:t>一 任务来源及起草工作的简要过程</w:t>
      </w:r>
    </w:p>
    <w:p w14:paraId="4BDF4BAC">
      <w:pPr>
        <w:spacing w:before="100" w:beforeAutospacing="1" w:after="100" w:afterAutospacing="1" w:line="360" w:lineRule="auto"/>
        <w:rPr>
          <w:rFonts w:eastAsia="黑体"/>
          <w:sz w:val="24"/>
          <w:szCs w:val="24"/>
        </w:rPr>
      </w:pPr>
      <w:r>
        <w:rPr>
          <w:rFonts w:eastAsia="黑体"/>
          <w:sz w:val="24"/>
          <w:szCs w:val="24"/>
        </w:rPr>
        <w:t>1  任务来源</w:t>
      </w:r>
    </w:p>
    <w:p w14:paraId="685190B3">
      <w:pPr>
        <w:pStyle w:val="18"/>
        <w:spacing w:line="360" w:lineRule="auto"/>
        <w:ind w:firstLine="480"/>
        <w:rPr>
          <w:sz w:val="24"/>
          <w:szCs w:val="24"/>
        </w:rPr>
      </w:pPr>
      <w:r>
        <w:rPr>
          <w:rFonts w:hint="eastAsia"/>
          <w:sz w:val="24"/>
          <w:szCs w:val="24"/>
        </w:rPr>
        <w:t>根据《河南省计量协会团体标准化管理办法》,经河南省计量协会团体标准化专业委员会专家组严格审查</w:t>
      </w:r>
      <w:r>
        <w:rPr>
          <w:rFonts w:hint="eastAsia"/>
          <w:sz w:val="24"/>
          <w:szCs w:val="24"/>
          <w:lang w:val="en-US" w:eastAsia="zh-CN"/>
        </w:rPr>
        <w:t>批注制定本标准</w:t>
      </w:r>
      <w:r>
        <w:rPr>
          <w:sz w:val="24"/>
          <w:szCs w:val="24"/>
        </w:rPr>
        <w:t>，计划编号：“</w:t>
      </w:r>
      <w:r>
        <w:rPr>
          <w:rFonts w:hint="eastAsia"/>
          <w:sz w:val="24"/>
          <w:szCs w:val="24"/>
        </w:rPr>
        <w:t>T/HNJX 0017-2024</w:t>
      </w:r>
      <w:r>
        <w:rPr>
          <w:sz w:val="24"/>
          <w:szCs w:val="24"/>
        </w:rPr>
        <w:t>”，由</w:t>
      </w:r>
      <w:r>
        <w:rPr>
          <w:rFonts w:hint="eastAsia"/>
          <w:sz w:val="24"/>
          <w:szCs w:val="24"/>
          <w:lang w:eastAsia="zh-CN"/>
        </w:rPr>
        <w:t>河南中油豫博检测技术有限公司</w:t>
      </w:r>
      <w:r>
        <w:rPr>
          <w:sz w:val="24"/>
          <w:szCs w:val="24"/>
        </w:rPr>
        <w:t>协同东北销售分公司、西北销售分公司以及</w:t>
      </w:r>
      <w:r>
        <w:rPr>
          <w:rFonts w:hint="eastAsia"/>
          <w:sz w:val="24"/>
          <w:szCs w:val="24"/>
        </w:rPr>
        <w:t>广东销售分公司</w:t>
      </w:r>
      <w:r>
        <w:rPr>
          <w:sz w:val="24"/>
          <w:szCs w:val="24"/>
        </w:rPr>
        <w:t>共同起草制定</w:t>
      </w:r>
      <w:bookmarkStart w:id="0" w:name="OLE_LINK6"/>
      <w:r>
        <w:rPr>
          <w:sz w:val="24"/>
          <w:szCs w:val="24"/>
        </w:rPr>
        <w:t>《</w:t>
      </w:r>
      <w:r>
        <w:rPr>
          <w:rFonts w:hint="eastAsia"/>
          <w:bCs/>
          <w:sz w:val="24"/>
          <w:szCs w:val="24"/>
          <w:lang w:eastAsia="zh-CN"/>
        </w:rPr>
        <w:t>石油产品质量检测移动实验室通用技术要求</w:t>
      </w:r>
      <w:r>
        <w:rPr>
          <w:sz w:val="24"/>
          <w:szCs w:val="24"/>
        </w:rPr>
        <w:t>》</w:t>
      </w:r>
      <w:bookmarkEnd w:id="0"/>
      <w:r>
        <w:rPr>
          <w:rFonts w:hint="eastAsia"/>
          <w:sz w:val="24"/>
          <w:szCs w:val="24"/>
          <w:lang w:eastAsia="zh-CN"/>
        </w:rPr>
        <w:t>团体标准</w:t>
      </w:r>
      <w:r>
        <w:rPr>
          <w:sz w:val="24"/>
          <w:szCs w:val="24"/>
        </w:rPr>
        <w:t>。</w:t>
      </w:r>
    </w:p>
    <w:p w14:paraId="52EF0AC1">
      <w:pPr>
        <w:spacing w:before="100" w:beforeAutospacing="1" w:after="100" w:afterAutospacing="1" w:line="360" w:lineRule="auto"/>
        <w:rPr>
          <w:rFonts w:eastAsia="黑体"/>
          <w:sz w:val="24"/>
          <w:szCs w:val="24"/>
        </w:rPr>
      </w:pPr>
      <w:r>
        <w:rPr>
          <w:rFonts w:eastAsia="黑体"/>
          <w:sz w:val="24"/>
          <w:szCs w:val="24"/>
        </w:rPr>
        <w:t>2  编制的目的和意义</w:t>
      </w:r>
    </w:p>
    <w:p w14:paraId="7F502752">
      <w:pPr>
        <w:spacing w:line="460" w:lineRule="atLeast"/>
        <w:ind w:firstLine="480" w:firstLineChars="200"/>
        <w:rPr>
          <w:rFonts w:hint="eastAsia"/>
          <w:sz w:val="24"/>
          <w:lang w:val="en-US" w:eastAsia="zh-CN"/>
        </w:rPr>
      </w:pPr>
      <w:r>
        <w:rPr>
          <w:rFonts w:hint="eastAsia"/>
          <w:sz w:val="24"/>
          <w:lang w:val="en-US" w:eastAsia="zh-CN"/>
        </w:rPr>
        <w:t>移动实验室是满足实验室环境要求，以检测车为载体，配备仪器设备和相关技术人员的检验检测平台，是固定实验室的延伸和有益补充。</w:t>
      </w:r>
    </w:p>
    <w:p w14:paraId="07037493">
      <w:pPr>
        <w:spacing w:line="460" w:lineRule="atLeast"/>
        <w:ind w:firstLine="480" w:firstLineChars="200"/>
        <w:rPr>
          <w:rFonts w:hint="eastAsia"/>
          <w:sz w:val="24"/>
          <w:lang w:val="en-US" w:eastAsia="zh-CN"/>
        </w:rPr>
      </w:pPr>
      <w:r>
        <w:rPr>
          <w:rFonts w:hint="eastAsia"/>
          <w:sz w:val="24"/>
          <w:lang w:val="en-US" w:eastAsia="zh-CN"/>
        </w:rPr>
        <w:t>在成品油质量检测领域，受加油站分布区域广，油品周转速率快、运输安全条件高（样品的运输涉及危险化学品运输）及实验室检测用时长等因素制约，存在检测结果滞后于销售的现象，给质量管控带来极大困扰。随着新能源、高铁等新兴力量的发展使成品油市场不断萎缩，企业为节约成本对实验室投入逐渐减少，依靠增设实验室来提高质控力度，无论是经济性还是成效性都难以令人满意。此外，随着全国环保管控越发严格，油品不断升级给环境保护提供有利支撑，由于常规实验设备对检验环境要求高，不能满足在国道、省界等地临时设卡检测的需求，无法为政府检查提供技术手段。使用快速检测方法代替常规方法可以很好的弥补上述缺点。利用快速检测方法建立移动检测实验室为油品管控提供技术支持。</w:t>
      </w:r>
    </w:p>
    <w:p w14:paraId="6112F670">
      <w:pPr>
        <w:spacing w:line="460" w:lineRule="atLeast"/>
        <w:ind w:firstLine="480" w:firstLineChars="200"/>
        <w:rPr>
          <w:rFonts w:hint="eastAsia"/>
          <w:sz w:val="24"/>
          <w:lang w:val="en-US" w:eastAsia="zh-CN"/>
        </w:rPr>
      </w:pPr>
      <w:r>
        <w:rPr>
          <w:rFonts w:hint="eastAsia"/>
          <w:sz w:val="24"/>
          <w:lang w:val="en-US" w:eastAsia="zh-CN"/>
        </w:rPr>
        <w:t>目前现有的移动检测实验室因缺少设备配置规划以及相关方法的比对研究，在误差范围（与常规方法比）、校正办法以及工作状态评价等方面存在严重短板，使用快检法出具的数据难以保证准确性。同时，因检测方法的不确定性，移动实验室在设备选型皆是各自为战，没有一套完整、成熟的标准可议，移动实验室的标准化设计和降低配置费用更是无从谈起。</w:t>
      </w:r>
    </w:p>
    <w:p w14:paraId="16D8EFC1">
      <w:pPr>
        <w:spacing w:line="460" w:lineRule="atLeast"/>
        <w:ind w:firstLine="480" w:firstLineChars="200"/>
        <w:rPr>
          <w:sz w:val="24"/>
        </w:rPr>
      </w:pPr>
      <w:r>
        <w:rPr>
          <w:rFonts w:hint="eastAsia"/>
          <w:sz w:val="24"/>
          <w:lang w:val="en-US" w:eastAsia="zh-CN"/>
        </w:rPr>
        <w:t>因此开展成品油移动检测实验室标准化研究工作，将具有非常重要的意义</w:t>
      </w:r>
      <w:r>
        <w:rPr>
          <w:sz w:val="24"/>
        </w:rPr>
        <w:t>。</w:t>
      </w:r>
    </w:p>
    <w:p w14:paraId="4C0425AA">
      <w:pPr>
        <w:spacing w:before="100" w:beforeAutospacing="1" w:after="100" w:afterAutospacing="1" w:line="360" w:lineRule="auto"/>
        <w:rPr>
          <w:rFonts w:hint="eastAsia" w:eastAsia="黑体"/>
          <w:sz w:val="24"/>
          <w:szCs w:val="24"/>
          <w:lang w:eastAsia="zh-CN"/>
        </w:rPr>
      </w:pPr>
      <w:r>
        <w:rPr>
          <w:rFonts w:eastAsia="黑体"/>
          <w:sz w:val="24"/>
          <w:szCs w:val="24"/>
        </w:rPr>
        <w:t>3  标准起草工作的简要过程</w:t>
      </w:r>
      <w:r>
        <w:rPr>
          <w:rFonts w:hint="eastAsia" w:eastAsia="黑体"/>
          <w:sz w:val="24"/>
          <w:szCs w:val="24"/>
          <w:lang w:eastAsia="zh-CN"/>
        </w:rPr>
        <w:t>（</w:t>
      </w:r>
      <w:r>
        <w:rPr>
          <w:rFonts w:hint="eastAsia" w:eastAsia="黑体"/>
          <w:sz w:val="24"/>
          <w:szCs w:val="24"/>
          <w:lang w:val="en-US" w:eastAsia="zh-CN"/>
        </w:rPr>
        <w:t>豫博</w:t>
      </w:r>
      <w:r>
        <w:rPr>
          <w:rFonts w:hint="eastAsia" w:eastAsia="黑体"/>
          <w:sz w:val="24"/>
          <w:szCs w:val="24"/>
          <w:lang w:eastAsia="zh-CN"/>
        </w:rPr>
        <w:t>）</w:t>
      </w:r>
    </w:p>
    <w:p w14:paraId="2C56D8AB">
      <w:pPr>
        <w:spacing w:line="360" w:lineRule="auto"/>
        <w:ind w:firstLine="480" w:firstLineChars="200"/>
        <w:rPr>
          <w:rFonts w:hint="eastAsia" w:ascii="宋体" w:hAnsi="宋体"/>
          <w:sz w:val="24"/>
          <w:lang w:val="en-US" w:eastAsia="zh-CN"/>
        </w:rPr>
      </w:pPr>
      <w:r>
        <w:rPr>
          <w:sz w:val="24"/>
          <w:szCs w:val="24"/>
        </w:rPr>
        <w:t>该项目于20</w:t>
      </w:r>
      <w:r>
        <w:rPr>
          <w:rFonts w:hint="eastAsia"/>
          <w:sz w:val="24"/>
          <w:szCs w:val="24"/>
          <w:lang w:val="en-US" w:eastAsia="zh-CN"/>
        </w:rPr>
        <w:t>24</w:t>
      </w:r>
      <w:r>
        <w:rPr>
          <w:sz w:val="24"/>
          <w:szCs w:val="24"/>
        </w:rPr>
        <w:t>年</w:t>
      </w:r>
      <w:r>
        <w:rPr>
          <w:rFonts w:hint="eastAsia"/>
          <w:sz w:val="24"/>
          <w:szCs w:val="24"/>
          <w:lang w:val="en-US" w:eastAsia="zh-CN"/>
        </w:rPr>
        <w:t>3</w:t>
      </w:r>
      <w:r>
        <w:rPr>
          <w:sz w:val="24"/>
          <w:szCs w:val="24"/>
        </w:rPr>
        <w:t>月立项，标准制定任务下达后，由</w:t>
      </w:r>
      <w:r>
        <w:rPr>
          <w:rFonts w:hint="eastAsia"/>
          <w:sz w:val="24"/>
          <w:szCs w:val="24"/>
        </w:rPr>
        <w:t>河南中油豫博检测技术有限公司</w:t>
      </w:r>
      <w:r>
        <w:rPr>
          <w:sz w:val="24"/>
          <w:szCs w:val="24"/>
        </w:rPr>
        <w:t>技术牵头，分别与、协作开展。</w:t>
      </w:r>
      <w:r>
        <w:rPr>
          <w:rFonts w:hint="eastAsia" w:ascii="宋体" w:hAnsi="宋体"/>
          <w:sz w:val="24"/>
        </w:rPr>
        <w:t>起草工作组人员名单</w:t>
      </w:r>
      <w:r>
        <w:rPr>
          <w:rFonts w:hint="eastAsia" w:ascii="宋体" w:hAnsi="宋体"/>
          <w:sz w:val="24"/>
          <w:lang w:val="en-US" w:eastAsia="zh-CN"/>
        </w:rPr>
        <w:t>如下：</w:t>
      </w:r>
    </w:p>
    <w:p w14:paraId="4489BECC">
      <w:pPr>
        <w:spacing w:line="360" w:lineRule="auto"/>
        <w:ind w:firstLine="480" w:firstLineChars="200"/>
        <w:rPr>
          <w:rFonts w:hint="eastAsia"/>
          <w:sz w:val="24"/>
          <w:szCs w:val="24"/>
          <w:lang w:val="en-US" w:eastAsia="zh-CN"/>
        </w:rPr>
      </w:pPr>
      <w:r>
        <w:rPr>
          <w:rFonts w:hint="eastAsia"/>
          <w:sz w:val="24"/>
          <w:szCs w:val="24"/>
          <w:lang w:val="en-US" w:eastAsia="zh-CN"/>
        </w:rPr>
        <w:t>中石油豫博安全环保技术研究（河南）有限公司：赵海洋、乔琨朔、；</w:t>
      </w:r>
    </w:p>
    <w:p w14:paraId="742711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lang w:val="en-US" w:eastAsia="zh-CN"/>
        </w:rPr>
      </w:pPr>
      <w:r>
        <w:rPr>
          <w:rFonts w:hint="eastAsia" w:ascii="宋体" w:hAnsi="宋体"/>
          <w:sz w:val="24"/>
          <w:lang w:val="en-US" w:eastAsia="zh-CN"/>
        </w:rPr>
        <w:t>中国石油天然气股份有限公司河南销售分公司：叶林生、刘行辉；</w:t>
      </w:r>
    </w:p>
    <w:p w14:paraId="2FF2D0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lang w:val="en-US" w:eastAsia="zh-CN"/>
        </w:rPr>
      </w:pPr>
      <w:r>
        <w:rPr>
          <w:rFonts w:hint="eastAsia" w:ascii="宋体" w:hAnsi="宋体"/>
          <w:sz w:val="24"/>
          <w:lang w:val="en-US" w:eastAsia="zh-CN"/>
        </w:rPr>
        <w:t>河南省产品质量检验技术研究院：耿再新、孟娟；</w:t>
      </w:r>
    </w:p>
    <w:p w14:paraId="6D8C9D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sz w:val="24"/>
          <w:szCs w:val="24"/>
        </w:rPr>
        <w:t>中国石油天然气股份有限公司</w:t>
      </w:r>
      <w:r>
        <w:rPr>
          <w:rFonts w:hint="eastAsia"/>
          <w:sz w:val="24"/>
          <w:szCs w:val="24"/>
          <w:lang w:val="en-US" w:eastAsia="zh-CN"/>
        </w:rPr>
        <w:t>东北</w:t>
      </w:r>
      <w:r>
        <w:rPr>
          <w:sz w:val="24"/>
          <w:szCs w:val="24"/>
        </w:rPr>
        <w:t>销售分公司</w:t>
      </w:r>
      <w:r>
        <w:rPr>
          <w:rFonts w:hint="eastAsia"/>
          <w:sz w:val="24"/>
          <w:szCs w:val="24"/>
          <w:lang w:eastAsia="zh-CN"/>
        </w:rPr>
        <w:t>：樊鸣；</w:t>
      </w:r>
    </w:p>
    <w:p w14:paraId="6A2368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sz w:val="24"/>
          <w:szCs w:val="24"/>
        </w:rPr>
        <w:t>中国石油天然气股份有限公司</w:t>
      </w:r>
      <w:r>
        <w:rPr>
          <w:rFonts w:hint="eastAsia"/>
          <w:sz w:val="24"/>
          <w:szCs w:val="24"/>
          <w:lang w:val="en-US" w:eastAsia="zh-CN"/>
        </w:rPr>
        <w:t>西北</w:t>
      </w:r>
      <w:r>
        <w:rPr>
          <w:sz w:val="24"/>
          <w:szCs w:val="24"/>
        </w:rPr>
        <w:t>销售分公司</w:t>
      </w:r>
      <w:r>
        <w:rPr>
          <w:rFonts w:hint="eastAsia"/>
          <w:sz w:val="24"/>
          <w:szCs w:val="24"/>
          <w:lang w:eastAsia="zh-CN"/>
        </w:rPr>
        <w:t>：赵东升；</w:t>
      </w:r>
    </w:p>
    <w:p w14:paraId="5849F9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sz w:val="24"/>
          <w:szCs w:val="24"/>
        </w:rPr>
        <w:t>中国石油天然气股份有限公司</w:t>
      </w:r>
      <w:r>
        <w:rPr>
          <w:rFonts w:hint="eastAsia"/>
          <w:sz w:val="24"/>
          <w:szCs w:val="24"/>
          <w:lang w:val="en-US" w:eastAsia="zh-CN"/>
        </w:rPr>
        <w:t>广东</w:t>
      </w:r>
      <w:r>
        <w:rPr>
          <w:sz w:val="24"/>
          <w:szCs w:val="24"/>
        </w:rPr>
        <w:t>销售分公司</w:t>
      </w:r>
      <w:r>
        <w:rPr>
          <w:rFonts w:hint="eastAsia"/>
          <w:sz w:val="24"/>
          <w:szCs w:val="24"/>
          <w:lang w:eastAsia="zh-CN"/>
        </w:rPr>
        <w:t>：谭鸿儒；</w:t>
      </w:r>
    </w:p>
    <w:p w14:paraId="21A76D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sz w:val="24"/>
          <w:szCs w:val="24"/>
        </w:rPr>
        <w:t>中国石油天然气股份有限公司</w:t>
      </w:r>
      <w:r>
        <w:rPr>
          <w:rFonts w:hint="eastAsia"/>
          <w:sz w:val="24"/>
          <w:szCs w:val="24"/>
        </w:rPr>
        <w:t>河北</w:t>
      </w:r>
      <w:r>
        <w:rPr>
          <w:sz w:val="24"/>
          <w:szCs w:val="24"/>
        </w:rPr>
        <w:t>销售分公司</w:t>
      </w:r>
      <w:r>
        <w:rPr>
          <w:rFonts w:hint="eastAsia"/>
          <w:sz w:val="24"/>
          <w:szCs w:val="24"/>
          <w:lang w:eastAsia="zh-CN"/>
        </w:rPr>
        <w:t>：何婧；</w:t>
      </w:r>
    </w:p>
    <w:p w14:paraId="6BE340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sz w:val="24"/>
          <w:szCs w:val="24"/>
        </w:rPr>
        <w:t>中国石油天然气股份有限公司</w:t>
      </w:r>
      <w:r>
        <w:rPr>
          <w:rFonts w:hint="eastAsia"/>
          <w:sz w:val="24"/>
          <w:szCs w:val="24"/>
          <w:lang w:val="en-US" w:eastAsia="zh-CN"/>
        </w:rPr>
        <w:t>上海</w:t>
      </w:r>
      <w:r>
        <w:rPr>
          <w:sz w:val="24"/>
          <w:szCs w:val="24"/>
        </w:rPr>
        <w:t>销售分公司</w:t>
      </w:r>
      <w:r>
        <w:rPr>
          <w:rFonts w:hint="eastAsia"/>
          <w:sz w:val="24"/>
          <w:szCs w:val="24"/>
          <w:lang w:eastAsia="zh-CN"/>
        </w:rPr>
        <w:t>：董庚申；</w:t>
      </w:r>
    </w:p>
    <w:p w14:paraId="09E024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lang w:val="en-US" w:eastAsia="zh-CN"/>
        </w:rPr>
      </w:pPr>
      <w:r>
        <w:rPr>
          <w:sz w:val="24"/>
          <w:szCs w:val="24"/>
        </w:rPr>
        <w:t>中国石油天然气股份有限公司</w:t>
      </w:r>
      <w:r>
        <w:rPr>
          <w:rFonts w:hint="eastAsia"/>
          <w:sz w:val="24"/>
          <w:szCs w:val="24"/>
          <w:lang w:val="en-US" w:eastAsia="zh-CN"/>
        </w:rPr>
        <w:t>重庆</w:t>
      </w:r>
      <w:r>
        <w:rPr>
          <w:sz w:val="24"/>
          <w:szCs w:val="24"/>
        </w:rPr>
        <w:t>销售分公司</w:t>
      </w:r>
      <w:r>
        <w:rPr>
          <w:rFonts w:hint="eastAsia"/>
          <w:sz w:val="24"/>
          <w:szCs w:val="24"/>
          <w:lang w:eastAsia="zh-CN"/>
        </w:rPr>
        <w:t>：薛德利、庞佼后</w:t>
      </w:r>
      <w:r>
        <w:rPr>
          <w:rFonts w:hint="eastAsia" w:ascii="宋体" w:hAnsi="宋体"/>
          <w:sz w:val="24"/>
          <w:lang w:val="en-US" w:eastAsia="zh-CN"/>
        </w:rPr>
        <w:t>。</w:t>
      </w:r>
    </w:p>
    <w:p w14:paraId="4CB3A699">
      <w:pPr>
        <w:spacing w:line="360" w:lineRule="auto"/>
        <w:ind w:firstLine="480" w:firstLineChars="200"/>
        <w:rPr>
          <w:b/>
          <w:bCs/>
          <w:sz w:val="24"/>
          <w:szCs w:val="24"/>
        </w:rPr>
      </w:pPr>
      <w:r>
        <w:rPr>
          <w:sz w:val="24"/>
          <w:szCs w:val="24"/>
        </w:rPr>
        <w:t>20</w:t>
      </w:r>
      <w:r>
        <w:rPr>
          <w:rFonts w:hint="eastAsia"/>
          <w:sz w:val="24"/>
          <w:szCs w:val="24"/>
        </w:rPr>
        <w:t>2</w:t>
      </w:r>
      <w:r>
        <w:rPr>
          <w:rFonts w:hint="eastAsia"/>
          <w:sz w:val="24"/>
          <w:szCs w:val="24"/>
          <w:lang w:val="en-US" w:eastAsia="zh-CN"/>
        </w:rPr>
        <w:t>4</w:t>
      </w:r>
      <w:r>
        <w:rPr>
          <w:sz w:val="24"/>
          <w:szCs w:val="24"/>
        </w:rPr>
        <w:t>年</w:t>
      </w:r>
      <w:r>
        <w:rPr>
          <w:rFonts w:hint="eastAsia"/>
          <w:sz w:val="24"/>
          <w:szCs w:val="24"/>
          <w:lang w:val="en-US" w:eastAsia="zh-CN"/>
        </w:rPr>
        <w:t>3</w:t>
      </w:r>
      <w:r>
        <w:rPr>
          <w:sz w:val="24"/>
          <w:szCs w:val="24"/>
        </w:rPr>
        <w:t>月，</w:t>
      </w:r>
      <w:r>
        <w:rPr>
          <w:rFonts w:hint="eastAsia"/>
          <w:sz w:val="24"/>
          <w:szCs w:val="24"/>
        </w:rPr>
        <w:t>河南省计量协会</w:t>
      </w:r>
      <w:r>
        <w:rPr>
          <w:sz w:val="24"/>
          <w:szCs w:val="24"/>
        </w:rPr>
        <w:t>下达20</w:t>
      </w:r>
      <w:r>
        <w:rPr>
          <w:rFonts w:hint="eastAsia"/>
          <w:sz w:val="24"/>
          <w:szCs w:val="24"/>
        </w:rPr>
        <w:t>2</w:t>
      </w:r>
      <w:r>
        <w:rPr>
          <w:rFonts w:hint="eastAsia"/>
          <w:sz w:val="24"/>
          <w:szCs w:val="24"/>
          <w:lang w:val="en-US" w:eastAsia="zh-CN"/>
        </w:rPr>
        <w:t>4</w:t>
      </w:r>
      <w:r>
        <w:rPr>
          <w:sz w:val="24"/>
          <w:szCs w:val="24"/>
        </w:rPr>
        <w:t>年</w:t>
      </w:r>
      <w:r>
        <w:rPr>
          <w:rFonts w:hint="eastAsia"/>
          <w:sz w:val="24"/>
          <w:szCs w:val="24"/>
          <w:lang w:eastAsia="zh-CN"/>
        </w:rPr>
        <w:t>团体标准</w:t>
      </w:r>
      <w:r>
        <w:rPr>
          <w:sz w:val="24"/>
          <w:szCs w:val="24"/>
        </w:rPr>
        <w:t>制修订计划，开始启动</w:t>
      </w:r>
      <w:r>
        <w:rPr>
          <w:rFonts w:hint="eastAsia"/>
          <w:sz w:val="24"/>
          <w:szCs w:val="24"/>
          <w:lang w:eastAsia="zh-CN"/>
        </w:rPr>
        <w:t>团体标准</w:t>
      </w:r>
      <w:r>
        <w:rPr>
          <w:sz w:val="24"/>
          <w:szCs w:val="24"/>
        </w:rPr>
        <w:t>《</w:t>
      </w:r>
      <w:r>
        <w:rPr>
          <w:rFonts w:hint="eastAsia"/>
          <w:bCs/>
          <w:sz w:val="24"/>
          <w:szCs w:val="24"/>
          <w:lang w:eastAsia="zh-CN"/>
        </w:rPr>
        <w:t>石油产品质量检测移动实验室通用技术要求</w:t>
      </w:r>
      <w:r>
        <w:rPr>
          <w:sz w:val="24"/>
          <w:szCs w:val="24"/>
        </w:rPr>
        <w:t>》的制定工作。</w:t>
      </w:r>
    </w:p>
    <w:p w14:paraId="14AC823C">
      <w:pPr>
        <w:spacing w:line="360" w:lineRule="auto"/>
        <w:ind w:firstLine="480" w:firstLineChars="200"/>
        <w:rPr>
          <w:sz w:val="24"/>
          <w:szCs w:val="24"/>
        </w:rPr>
      </w:pPr>
      <w:r>
        <w:rPr>
          <w:sz w:val="24"/>
          <w:szCs w:val="24"/>
        </w:rPr>
        <w:t>20</w:t>
      </w:r>
      <w:r>
        <w:rPr>
          <w:rFonts w:hint="eastAsia"/>
          <w:sz w:val="24"/>
          <w:szCs w:val="24"/>
        </w:rPr>
        <w:t>2</w:t>
      </w:r>
      <w:r>
        <w:rPr>
          <w:rFonts w:hint="eastAsia"/>
          <w:sz w:val="24"/>
          <w:szCs w:val="24"/>
          <w:lang w:val="en-US" w:eastAsia="zh-CN"/>
        </w:rPr>
        <w:t>4</w:t>
      </w:r>
      <w:r>
        <w:rPr>
          <w:sz w:val="24"/>
          <w:szCs w:val="24"/>
        </w:rPr>
        <w:t>年4月，在</w:t>
      </w:r>
      <w:r>
        <w:rPr>
          <w:rFonts w:hint="eastAsia"/>
          <w:sz w:val="24"/>
          <w:szCs w:val="24"/>
        </w:rPr>
        <w:t>河南中油豫博检测技术有限公司</w:t>
      </w:r>
      <w:r>
        <w:rPr>
          <w:sz w:val="24"/>
          <w:szCs w:val="24"/>
        </w:rPr>
        <w:t>组织下，成立编制小组。</w:t>
      </w:r>
    </w:p>
    <w:p w14:paraId="7F5F6F93">
      <w:pPr>
        <w:spacing w:line="360" w:lineRule="auto"/>
        <w:ind w:firstLine="480" w:firstLineChars="200"/>
        <w:rPr>
          <w:sz w:val="24"/>
          <w:szCs w:val="24"/>
        </w:rPr>
      </w:pPr>
      <w:r>
        <w:rPr>
          <w:sz w:val="24"/>
          <w:szCs w:val="24"/>
        </w:rPr>
        <w:t>20</w:t>
      </w:r>
      <w:r>
        <w:rPr>
          <w:rFonts w:hint="eastAsia"/>
          <w:sz w:val="24"/>
          <w:szCs w:val="24"/>
        </w:rPr>
        <w:t>2</w:t>
      </w:r>
      <w:r>
        <w:rPr>
          <w:rFonts w:hint="eastAsia"/>
          <w:sz w:val="24"/>
          <w:szCs w:val="24"/>
          <w:lang w:val="en-US" w:eastAsia="zh-CN"/>
        </w:rPr>
        <w:t>4</w:t>
      </w:r>
      <w:r>
        <w:rPr>
          <w:sz w:val="24"/>
          <w:szCs w:val="24"/>
        </w:rPr>
        <w:t>年4月，完成相关文献调研和实验室准备工作，并根据调研结果进行探索性试验，确立实验方案。</w:t>
      </w:r>
    </w:p>
    <w:p w14:paraId="230A3DDC">
      <w:pPr>
        <w:spacing w:line="360" w:lineRule="auto"/>
        <w:ind w:firstLine="480" w:firstLineChars="200"/>
        <w:rPr>
          <w:sz w:val="24"/>
          <w:szCs w:val="24"/>
        </w:rPr>
      </w:pPr>
      <w:r>
        <w:rPr>
          <w:sz w:val="24"/>
          <w:szCs w:val="24"/>
        </w:rPr>
        <w:t>20</w:t>
      </w:r>
      <w:r>
        <w:rPr>
          <w:rFonts w:hint="eastAsia"/>
          <w:sz w:val="24"/>
          <w:szCs w:val="24"/>
        </w:rPr>
        <w:t>2</w:t>
      </w:r>
      <w:r>
        <w:rPr>
          <w:rFonts w:hint="eastAsia"/>
          <w:sz w:val="24"/>
          <w:szCs w:val="24"/>
          <w:lang w:val="en-US" w:eastAsia="zh-CN"/>
        </w:rPr>
        <w:t>4</w:t>
      </w:r>
      <w:r>
        <w:rPr>
          <w:sz w:val="24"/>
          <w:szCs w:val="24"/>
        </w:rPr>
        <w:t>年4月～20</w:t>
      </w:r>
      <w:r>
        <w:rPr>
          <w:rFonts w:hint="eastAsia"/>
          <w:sz w:val="24"/>
          <w:szCs w:val="24"/>
        </w:rPr>
        <w:t>2</w:t>
      </w:r>
      <w:r>
        <w:rPr>
          <w:rFonts w:hint="eastAsia"/>
          <w:sz w:val="24"/>
          <w:szCs w:val="24"/>
          <w:lang w:val="en-US" w:eastAsia="zh-CN"/>
        </w:rPr>
        <w:t>4</w:t>
      </w:r>
      <w:r>
        <w:rPr>
          <w:sz w:val="24"/>
          <w:szCs w:val="24"/>
        </w:rPr>
        <w:t>年</w:t>
      </w:r>
      <w:r>
        <w:rPr>
          <w:rFonts w:hint="eastAsia"/>
          <w:sz w:val="24"/>
          <w:szCs w:val="24"/>
          <w:lang w:val="en-US" w:eastAsia="zh-CN"/>
        </w:rPr>
        <w:t xml:space="preserve"> 11</w:t>
      </w:r>
      <w:r>
        <w:rPr>
          <w:sz w:val="24"/>
          <w:szCs w:val="24"/>
        </w:rPr>
        <w:t>月，开展实验室研究，相继完成</w:t>
      </w:r>
      <w:r>
        <w:rPr>
          <w:rFonts w:hint="eastAsia"/>
          <w:sz w:val="24"/>
          <w:szCs w:val="24"/>
        </w:rPr>
        <w:t>样品</w:t>
      </w:r>
      <w:r>
        <w:rPr>
          <w:sz w:val="24"/>
          <w:szCs w:val="24"/>
        </w:rPr>
        <w:t>前处理、</w:t>
      </w:r>
      <w:r>
        <w:rPr>
          <w:rFonts w:hint="eastAsia"/>
          <w:sz w:val="24"/>
          <w:szCs w:val="24"/>
        </w:rPr>
        <w:t>萃取</w:t>
      </w:r>
      <w:r>
        <w:rPr>
          <w:sz w:val="24"/>
          <w:szCs w:val="24"/>
        </w:rPr>
        <w:t>条件优化、标准曲线建立、</w:t>
      </w:r>
      <w:r>
        <w:rPr>
          <w:rFonts w:hint="eastAsia"/>
          <w:sz w:val="24"/>
          <w:szCs w:val="24"/>
        </w:rPr>
        <w:t>抗干扰、</w:t>
      </w:r>
      <w:r>
        <w:rPr>
          <w:sz w:val="24"/>
          <w:szCs w:val="24"/>
        </w:rPr>
        <w:t>精密度计算等实验。</w:t>
      </w:r>
    </w:p>
    <w:p w14:paraId="7A3076E5">
      <w:pPr>
        <w:spacing w:line="360" w:lineRule="auto"/>
        <w:ind w:firstLine="480" w:firstLineChars="200"/>
        <w:rPr>
          <w:sz w:val="24"/>
          <w:szCs w:val="24"/>
        </w:rPr>
      </w:pPr>
      <w:r>
        <w:rPr>
          <w:sz w:val="24"/>
          <w:szCs w:val="24"/>
        </w:rPr>
        <w:t>20</w:t>
      </w:r>
      <w:r>
        <w:rPr>
          <w:rFonts w:hint="eastAsia"/>
          <w:sz w:val="24"/>
          <w:szCs w:val="24"/>
        </w:rPr>
        <w:t>2</w:t>
      </w:r>
      <w:r>
        <w:rPr>
          <w:rFonts w:hint="eastAsia"/>
          <w:sz w:val="24"/>
          <w:szCs w:val="24"/>
          <w:lang w:val="en-US" w:eastAsia="zh-CN"/>
        </w:rPr>
        <w:t>4</w:t>
      </w:r>
      <w:r>
        <w:rPr>
          <w:sz w:val="24"/>
          <w:szCs w:val="24"/>
        </w:rPr>
        <w:t>年</w:t>
      </w:r>
      <w:r>
        <w:rPr>
          <w:rFonts w:hint="eastAsia"/>
          <w:sz w:val="24"/>
          <w:szCs w:val="24"/>
          <w:lang w:val="en-US" w:eastAsia="zh-CN"/>
        </w:rPr>
        <w:t xml:space="preserve">12 </w:t>
      </w:r>
      <w:r>
        <w:rPr>
          <w:sz w:val="24"/>
          <w:szCs w:val="24"/>
        </w:rPr>
        <w:t>月</w:t>
      </w:r>
      <w:r>
        <w:rPr>
          <w:rFonts w:hint="eastAsia"/>
          <w:sz w:val="24"/>
          <w:szCs w:val="24"/>
          <w:lang w:val="en-US" w:eastAsia="zh-CN"/>
        </w:rPr>
        <w:t xml:space="preserve"> 10</w:t>
      </w:r>
      <w:r>
        <w:rPr>
          <w:rFonts w:hint="eastAsia"/>
          <w:sz w:val="24"/>
          <w:szCs w:val="24"/>
        </w:rPr>
        <w:t>日</w:t>
      </w:r>
      <w:r>
        <w:rPr>
          <w:sz w:val="24"/>
          <w:szCs w:val="24"/>
        </w:rPr>
        <w:t>，</w:t>
      </w:r>
      <w:r>
        <w:rPr>
          <w:rFonts w:hint="eastAsia"/>
          <w:sz w:val="24"/>
          <w:szCs w:val="24"/>
        </w:rPr>
        <w:t>完成</w:t>
      </w:r>
      <w:r>
        <w:rPr>
          <w:sz w:val="24"/>
          <w:szCs w:val="24"/>
        </w:rPr>
        <w:t>标准文本和编制说明</w:t>
      </w:r>
      <w:r>
        <w:rPr>
          <w:rFonts w:hint="eastAsia"/>
          <w:sz w:val="24"/>
          <w:szCs w:val="24"/>
        </w:rPr>
        <w:t>初稿编写</w:t>
      </w:r>
      <w:r>
        <w:rPr>
          <w:sz w:val="24"/>
          <w:szCs w:val="24"/>
        </w:rPr>
        <w:t>。</w:t>
      </w:r>
    </w:p>
    <w:p w14:paraId="761C0038">
      <w:pPr>
        <w:tabs>
          <w:tab w:val="left" w:pos="3120"/>
        </w:tabs>
        <w:spacing w:line="360" w:lineRule="auto"/>
        <w:ind w:firstLine="480" w:firstLineChars="200"/>
        <w:rPr>
          <w:rFonts w:hint="eastAsia"/>
          <w:sz w:val="24"/>
          <w:szCs w:val="24"/>
        </w:rPr>
      </w:pPr>
      <w:r>
        <w:rPr>
          <w:sz w:val="24"/>
          <w:szCs w:val="24"/>
        </w:rPr>
        <w:t>20</w:t>
      </w:r>
      <w:r>
        <w:rPr>
          <w:rFonts w:hint="eastAsia"/>
          <w:sz w:val="24"/>
          <w:szCs w:val="24"/>
        </w:rPr>
        <w:t>2</w:t>
      </w:r>
      <w:r>
        <w:rPr>
          <w:rFonts w:hint="eastAsia"/>
          <w:sz w:val="24"/>
          <w:szCs w:val="24"/>
          <w:lang w:val="en-US" w:eastAsia="zh-CN"/>
        </w:rPr>
        <w:t>4</w:t>
      </w:r>
      <w:r>
        <w:rPr>
          <w:sz w:val="24"/>
          <w:szCs w:val="24"/>
        </w:rPr>
        <w:t>年</w:t>
      </w:r>
      <w:r>
        <w:rPr>
          <w:rFonts w:hint="eastAsia"/>
          <w:sz w:val="24"/>
          <w:szCs w:val="24"/>
          <w:lang w:val="en-US" w:eastAsia="zh-CN"/>
        </w:rPr>
        <w:t xml:space="preserve"> </w:t>
      </w:r>
      <w:r>
        <w:rPr>
          <w:sz w:val="24"/>
          <w:szCs w:val="24"/>
        </w:rPr>
        <w:t>月</w:t>
      </w:r>
      <w:r>
        <w:rPr>
          <w:rFonts w:hint="eastAsia"/>
          <w:sz w:val="24"/>
          <w:szCs w:val="24"/>
          <w:lang w:val="en-US" w:eastAsia="zh-CN"/>
        </w:rPr>
        <w:t xml:space="preserve"> 日</w:t>
      </w:r>
      <w:r>
        <w:rPr>
          <w:sz w:val="24"/>
          <w:szCs w:val="24"/>
        </w:rPr>
        <w:t>，</w:t>
      </w:r>
      <w:r>
        <w:rPr>
          <w:rFonts w:hint="eastAsia"/>
          <w:sz w:val="24"/>
          <w:szCs w:val="24"/>
        </w:rPr>
        <w:t>发送《征求意见稿》的单位数：个</w:t>
      </w:r>
      <w:r>
        <w:rPr>
          <w:rFonts w:hint="eastAsia"/>
          <w:sz w:val="24"/>
          <w:szCs w:val="24"/>
          <w:lang w:eastAsia="zh-CN"/>
        </w:rPr>
        <w:t>，</w:t>
      </w:r>
      <w:r>
        <w:rPr>
          <w:rFonts w:hint="eastAsia"/>
          <w:sz w:val="24"/>
          <w:szCs w:val="24"/>
        </w:rPr>
        <w:t>收到《征求意见稿》后回函的单位数：</w:t>
      </w:r>
      <w:r>
        <w:rPr>
          <w:rFonts w:hint="eastAsia"/>
          <w:sz w:val="24"/>
          <w:szCs w:val="24"/>
          <w:lang w:val="en-US" w:eastAsia="zh-CN"/>
        </w:rPr>
        <w:t xml:space="preserve"> </w:t>
      </w:r>
      <w:r>
        <w:rPr>
          <w:rFonts w:hint="eastAsia"/>
          <w:sz w:val="24"/>
          <w:szCs w:val="24"/>
        </w:rPr>
        <w:t>个</w:t>
      </w:r>
      <w:r>
        <w:rPr>
          <w:rFonts w:hint="eastAsia"/>
          <w:sz w:val="24"/>
          <w:szCs w:val="24"/>
          <w:lang w:eastAsia="zh-CN"/>
        </w:rPr>
        <w:t>，</w:t>
      </w:r>
      <w:r>
        <w:rPr>
          <w:rFonts w:hint="eastAsia"/>
          <w:sz w:val="24"/>
          <w:szCs w:val="24"/>
        </w:rPr>
        <w:t>收到《征求意见稿》回函并有建议或意见的单位数：</w:t>
      </w:r>
      <w:r>
        <w:rPr>
          <w:rFonts w:hint="eastAsia"/>
          <w:sz w:val="24"/>
          <w:szCs w:val="24"/>
          <w:lang w:val="en-US" w:eastAsia="zh-CN"/>
        </w:rPr>
        <w:t xml:space="preserve"> 个</w:t>
      </w:r>
      <w:r>
        <w:rPr>
          <w:rFonts w:hint="eastAsia"/>
          <w:sz w:val="24"/>
          <w:szCs w:val="24"/>
        </w:rPr>
        <w:t xml:space="preserve"> </w:t>
      </w:r>
      <w:r>
        <w:rPr>
          <w:rFonts w:hint="eastAsia"/>
          <w:sz w:val="24"/>
          <w:szCs w:val="24"/>
          <w:lang w:eastAsia="zh-CN"/>
        </w:rPr>
        <w:t>，</w:t>
      </w:r>
      <w:r>
        <w:rPr>
          <w:rFonts w:hint="eastAsia"/>
          <w:sz w:val="24"/>
          <w:szCs w:val="24"/>
        </w:rPr>
        <w:t>没有回函的单位数：</w:t>
      </w:r>
      <w:r>
        <w:rPr>
          <w:rFonts w:hint="eastAsia"/>
          <w:sz w:val="24"/>
          <w:szCs w:val="24"/>
          <w:lang w:val="en-US" w:eastAsia="zh-CN"/>
        </w:rPr>
        <w:t xml:space="preserve"> </w:t>
      </w:r>
      <w:r>
        <w:rPr>
          <w:rFonts w:hint="eastAsia"/>
          <w:sz w:val="24"/>
          <w:szCs w:val="24"/>
        </w:rPr>
        <w:t>个。</w:t>
      </w:r>
    </w:p>
    <w:p w14:paraId="45679F22">
      <w:pPr>
        <w:spacing w:before="100" w:beforeAutospacing="1" w:after="100" w:afterAutospacing="1" w:line="360" w:lineRule="auto"/>
        <w:rPr>
          <w:rFonts w:eastAsia="黑体"/>
          <w:sz w:val="24"/>
          <w:szCs w:val="24"/>
        </w:rPr>
      </w:pPr>
      <w:bookmarkStart w:id="1" w:name="_GoBack"/>
      <w:bookmarkEnd w:id="1"/>
      <w:r>
        <w:rPr>
          <w:rFonts w:eastAsia="黑体"/>
          <w:sz w:val="24"/>
          <w:szCs w:val="24"/>
        </w:rPr>
        <w:t>二 确定标准主要内容的依据</w:t>
      </w:r>
    </w:p>
    <w:p w14:paraId="31750EE1">
      <w:pPr>
        <w:spacing w:after="100" w:afterAutospacing="1" w:line="360" w:lineRule="auto"/>
        <w:rPr>
          <w:rFonts w:eastAsia="黑体"/>
          <w:sz w:val="24"/>
          <w:szCs w:val="24"/>
        </w:rPr>
      </w:pPr>
      <w:r>
        <w:rPr>
          <w:rFonts w:eastAsia="黑体"/>
          <w:sz w:val="24"/>
          <w:szCs w:val="24"/>
        </w:rPr>
        <w:t>1</w:t>
      </w:r>
      <w:r>
        <w:t xml:space="preserve">  </w:t>
      </w:r>
      <w:r>
        <w:rPr>
          <w:rFonts w:eastAsia="黑体"/>
          <w:sz w:val="24"/>
          <w:szCs w:val="24"/>
        </w:rPr>
        <w:t xml:space="preserve">标准制定原则 </w:t>
      </w:r>
    </w:p>
    <w:p w14:paraId="5FF23444">
      <w:pPr>
        <w:spacing w:line="360" w:lineRule="auto"/>
        <w:ind w:firstLine="480" w:firstLineChars="200"/>
        <w:jc w:val="left"/>
        <w:rPr>
          <w:sz w:val="24"/>
          <w:szCs w:val="24"/>
        </w:rPr>
      </w:pPr>
      <w:r>
        <w:rPr>
          <w:sz w:val="24"/>
          <w:szCs w:val="24"/>
        </w:rPr>
        <w:t>在编制过程中，确保标准的技术内容具有较好的适用性、合理性及可操作性作为本标准编制的主要原则。</w:t>
      </w:r>
    </w:p>
    <w:p w14:paraId="7293A330">
      <w:pPr>
        <w:spacing w:before="100" w:beforeAutospacing="1" w:after="100" w:afterAutospacing="1" w:line="360" w:lineRule="auto"/>
        <w:rPr>
          <w:rFonts w:hint="eastAsia" w:eastAsia="黑体"/>
          <w:sz w:val="24"/>
          <w:szCs w:val="24"/>
          <w:lang w:eastAsia="zh-CN"/>
        </w:rPr>
      </w:pPr>
      <w:r>
        <w:rPr>
          <w:rFonts w:eastAsia="黑体"/>
          <w:sz w:val="24"/>
          <w:szCs w:val="24"/>
        </w:rPr>
        <w:t>2</w:t>
      </w:r>
      <w:r>
        <w:t xml:space="preserve">  </w:t>
      </w:r>
      <w:r>
        <w:rPr>
          <w:rFonts w:hint="eastAsia" w:eastAsia="黑体"/>
          <w:sz w:val="24"/>
          <w:szCs w:val="24"/>
          <w:lang w:val="en-US" w:eastAsia="zh-CN"/>
        </w:rPr>
        <w:t>示范车辆设计</w:t>
      </w:r>
    </w:p>
    <w:p w14:paraId="386BE252">
      <w:pPr>
        <w:spacing w:line="360" w:lineRule="auto"/>
        <w:ind w:firstLine="480" w:firstLineChars="200"/>
        <w:jc w:val="left"/>
        <w:rPr>
          <w:rFonts w:hint="default"/>
          <w:sz w:val="24"/>
          <w:szCs w:val="24"/>
          <w:lang w:val="en-US" w:eastAsia="zh-CN"/>
        </w:rPr>
      </w:pPr>
      <w:r>
        <w:rPr>
          <w:rFonts w:hint="eastAsia"/>
          <w:sz w:val="24"/>
          <w:szCs w:val="24"/>
          <w:lang w:val="en-US" w:eastAsia="zh-CN"/>
        </w:rPr>
        <w:t>起草工作组设计并制造了一辆自行式移动实验室示范样车以用于相关指标的验证。</w:t>
      </w:r>
    </w:p>
    <w:p w14:paraId="3F1DE84F">
      <w:pPr>
        <w:spacing w:line="360" w:lineRule="auto"/>
        <w:rPr>
          <w:sz w:val="24"/>
          <w:szCs w:val="24"/>
        </w:rPr>
      </w:pPr>
      <w:r>
        <w:rPr>
          <w:rFonts w:eastAsia="黑体"/>
          <w:sz w:val="24"/>
          <w:szCs w:val="24"/>
        </w:rPr>
        <w:t>2.1</w:t>
      </w:r>
      <w:r>
        <w:t xml:space="preserve"> </w:t>
      </w:r>
      <w:r>
        <w:rPr>
          <w:rFonts w:hint="eastAsia" w:eastAsia="黑体"/>
          <w:sz w:val="24"/>
          <w:szCs w:val="24"/>
        </w:rPr>
        <w:t>拟搭载仪器设备</w:t>
      </w:r>
    </w:p>
    <w:p w14:paraId="21B894DF">
      <w:pPr>
        <w:spacing w:line="360" w:lineRule="auto"/>
        <w:ind w:firstLine="480" w:firstLineChars="200"/>
        <w:jc w:val="left"/>
        <w:rPr>
          <w:rFonts w:hint="default"/>
          <w:sz w:val="24"/>
          <w:szCs w:val="24"/>
          <w:lang w:val="en-US" w:eastAsia="zh-CN"/>
        </w:rPr>
      </w:pPr>
      <w:r>
        <w:rPr>
          <w:rFonts w:hint="eastAsia"/>
          <w:sz w:val="24"/>
          <w:szCs w:val="24"/>
          <w:lang w:val="en-US" w:eastAsia="zh-CN"/>
        </w:rPr>
        <w:t>考虑到自行式移动实验室的搭载能力，起草工作组明确自行式移动实验室以快速检测为主辅助小型常规检测仪器的总体原则。</w:t>
      </w:r>
    </w:p>
    <w:p w14:paraId="3739902B">
      <w:pPr>
        <w:spacing w:line="360" w:lineRule="auto"/>
        <w:ind w:firstLine="480" w:firstLineChars="200"/>
        <w:jc w:val="left"/>
        <w:rPr>
          <w:rFonts w:hint="eastAsia"/>
          <w:sz w:val="24"/>
          <w:szCs w:val="24"/>
        </w:rPr>
      </w:pPr>
      <w:r>
        <w:rPr>
          <w:rFonts w:hint="eastAsia"/>
          <w:sz w:val="24"/>
          <w:szCs w:val="24"/>
          <w:lang w:val="en-US" w:eastAsia="zh-CN"/>
        </w:rPr>
        <w:t>针对拟计划开展的检测项目及相关设备（自行式移动实验室）</w:t>
      </w:r>
      <w:r>
        <w:rPr>
          <w:rFonts w:hint="eastAsia"/>
          <w:sz w:val="24"/>
          <w:szCs w:val="24"/>
        </w:rPr>
        <w:t>起草工作组</w:t>
      </w:r>
      <w:r>
        <w:rPr>
          <w:rFonts w:hint="eastAsia"/>
          <w:sz w:val="24"/>
          <w:szCs w:val="24"/>
          <w:lang w:val="en-US" w:eastAsia="zh-CN"/>
        </w:rPr>
        <w:t>向各参与单位开展了征求意见，根据意见反馈，检查项目应覆盖Q/SY1790《销售企业成品油质量管理规范》中出入库油品质量检测的要求</w:t>
      </w:r>
      <w:r>
        <w:rPr>
          <w:rFonts w:hint="eastAsia"/>
          <w:sz w:val="24"/>
          <w:szCs w:val="24"/>
          <w:highlight w:val="none"/>
          <w:lang w:val="en-US" w:eastAsia="zh-CN"/>
        </w:rPr>
        <w:t>符合《车用柴油快速筛查技术规范》《车用汽油快速筛查技术规范》等地方标准，</w:t>
      </w:r>
      <w:r>
        <w:rPr>
          <w:rFonts w:hint="eastAsia"/>
          <w:sz w:val="24"/>
          <w:szCs w:val="24"/>
          <w:lang w:val="en-US" w:eastAsia="zh-CN"/>
        </w:rPr>
        <w:t>拟搭载的设备详情见表一</w:t>
      </w:r>
      <w:r>
        <w:rPr>
          <w:rFonts w:hint="eastAsia"/>
          <w:sz w:val="24"/>
          <w:szCs w:val="24"/>
        </w:rPr>
        <w:t>。</w:t>
      </w:r>
    </w:p>
    <w:p w14:paraId="30C6896C">
      <w:pPr>
        <w:spacing w:line="360" w:lineRule="auto"/>
        <w:jc w:val="center"/>
        <w:rPr>
          <w:rFonts w:hint="eastAsia"/>
          <w:sz w:val="24"/>
          <w:szCs w:val="24"/>
          <w:lang w:val="en-US" w:eastAsia="zh-CN"/>
        </w:rPr>
      </w:pPr>
      <w:r>
        <w:rPr>
          <w:rFonts w:hint="eastAsia"/>
          <w:sz w:val="24"/>
          <w:szCs w:val="24"/>
          <w:lang w:val="en-US" w:eastAsia="zh-CN"/>
        </w:rPr>
        <w:t>表一 拟计划搭载仪器设备</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1"/>
        <w:gridCol w:w="2765"/>
        <w:gridCol w:w="2024"/>
        <w:gridCol w:w="1077"/>
        <w:gridCol w:w="1932"/>
      </w:tblGrid>
      <w:tr w14:paraId="36E8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23" w:type="pct"/>
            <w:tcBorders>
              <w:top w:val="single" w:color="auto" w:sz="4" w:space="0"/>
              <w:left w:val="single" w:color="auto" w:sz="4" w:space="0"/>
              <w:bottom w:val="single" w:color="auto" w:sz="4" w:space="0"/>
              <w:right w:val="single" w:color="auto" w:sz="4" w:space="0"/>
            </w:tcBorders>
            <w:shd w:val="clear" w:color="auto" w:fill="auto"/>
            <w:vAlign w:val="top"/>
          </w:tcPr>
          <w:p w14:paraId="0A94703B">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eastAsia" w:ascii="宋体" w:hAnsi="宋体" w:eastAsia="宋体" w:cs="宋体"/>
                <w:kern w:val="2"/>
                <w:sz w:val="20"/>
                <w:szCs w:val="20"/>
                <w:lang w:val="en-US" w:eastAsia="zh-CN" w:bidi="ar"/>
              </w:rPr>
              <w:t>序号</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top"/>
          </w:tcPr>
          <w:p w14:paraId="46AC061E">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检测项目</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top"/>
          </w:tcPr>
          <w:p w14:paraId="46F86E1B">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仪器设备</w:t>
            </w:r>
          </w:p>
        </w:tc>
        <w:tc>
          <w:tcPr>
            <w:tcW w:w="632" w:type="pct"/>
            <w:tcBorders>
              <w:top w:val="single" w:color="auto" w:sz="4" w:space="0"/>
              <w:left w:val="single" w:color="auto" w:sz="4" w:space="0"/>
              <w:bottom w:val="single" w:color="auto" w:sz="4" w:space="0"/>
              <w:right w:val="single" w:color="auto" w:sz="4" w:space="0"/>
            </w:tcBorders>
            <w:shd w:val="clear" w:color="auto" w:fill="auto"/>
            <w:vAlign w:val="top"/>
          </w:tcPr>
          <w:p w14:paraId="78700F3D">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eastAsia" w:ascii="宋体" w:hAnsi="宋体" w:eastAsia="宋体" w:cs="宋体"/>
                <w:kern w:val="2"/>
                <w:sz w:val="20"/>
                <w:szCs w:val="20"/>
                <w:lang w:val="en-US" w:eastAsia="zh-CN" w:bidi="ar"/>
              </w:rPr>
              <w:t>数量</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top"/>
          </w:tcPr>
          <w:p w14:paraId="1726F761">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备注</w:t>
            </w:r>
          </w:p>
        </w:tc>
      </w:tr>
      <w:tr w14:paraId="2713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tcBorders>
              <w:top w:val="single" w:color="auto" w:sz="4" w:space="0"/>
              <w:left w:val="single" w:color="auto" w:sz="4" w:space="0"/>
              <w:bottom w:val="single" w:color="auto" w:sz="4" w:space="0"/>
              <w:right w:val="single" w:color="auto" w:sz="4" w:space="0"/>
            </w:tcBorders>
            <w:shd w:val="clear" w:color="auto" w:fill="auto"/>
            <w:vAlign w:val="top"/>
          </w:tcPr>
          <w:p w14:paraId="6AD77B0F">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default" w:ascii="Calibri" w:hAnsi="Calibri" w:eastAsia="宋体" w:cs="Calibri"/>
                <w:kern w:val="2"/>
                <w:sz w:val="20"/>
                <w:szCs w:val="20"/>
                <w:lang w:val="en-US" w:eastAsia="zh-CN" w:bidi="ar"/>
              </w:rPr>
              <w:t>1</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top"/>
          </w:tcPr>
          <w:p w14:paraId="7F0CFBD8">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氧含量、烯烃、芳烃、馏程</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top"/>
          </w:tcPr>
          <w:p w14:paraId="7C721834">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中红外</w:t>
            </w:r>
          </w:p>
        </w:tc>
        <w:tc>
          <w:tcPr>
            <w:tcW w:w="632" w:type="pct"/>
            <w:tcBorders>
              <w:top w:val="single" w:color="auto" w:sz="4" w:space="0"/>
              <w:left w:val="single" w:color="auto" w:sz="4" w:space="0"/>
              <w:bottom w:val="single" w:color="auto" w:sz="4" w:space="0"/>
              <w:right w:val="single" w:color="auto" w:sz="4" w:space="0"/>
            </w:tcBorders>
            <w:shd w:val="clear" w:color="auto" w:fill="auto"/>
            <w:vAlign w:val="top"/>
          </w:tcPr>
          <w:p w14:paraId="0DFED6C0">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default" w:ascii="Calibri" w:hAnsi="Calibri" w:eastAsia="宋体" w:cs="Calibri"/>
                <w:kern w:val="2"/>
                <w:sz w:val="20"/>
                <w:szCs w:val="20"/>
                <w:lang w:val="en-US" w:eastAsia="zh-CN" w:bidi="ar"/>
              </w:rPr>
              <w:t>1</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top"/>
          </w:tcPr>
          <w:p w14:paraId="435DFBDB">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p>
        </w:tc>
      </w:tr>
      <w:tr w14:paraId="431D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tcBorders>
              <w:top w:val="single" w:color="auto" w:sz="4" w:space="0"/>
              <w:left w:val="single" w:color="auto" w:sz="4" w:space="0"/>
              <w:bottom w:val="single" w:color="auto" w:sz="4" w:space="0"/>
              <w:right w:val="single" w:color="auto" w:sz="4" w:space="0"/>
            </w:tcBorders>
            <w:shd w:val="clear" w:color="auto" w:fill="auto"/>
            <w:vAlign w:val="top"/>
          </w:tcPr>
          <w:p w14:paraId="57C619FE">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default" w:ascii="Calibri" w:hAnsi="Calibri" w:eastAsia="宋体" w:cs="Calibri"/>
                <w:kern w:val="2"/>
                <w:sz w:val="20"/>
                <w:szCs w:val="20"/>
                <w:lang w:val="en-US" w:eastAsia="zh-CN" w:bidi="ar"/>
              </w:rPr>
              <w:t>2</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top"/>
          </w:tcPr>
          <w:p w14:paraId="7BAAC211">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硫含量、氯含量、硅含量</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top"/>
          </w:tcPr>
          <w:p w14:paraId="2BE59BBF">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default" w:ascii="Calibri" w:hAnsi="Calibri" w:eastAsia="宋体" w:cs="Calibri"/>
                <w:kern w:val="2"/>
                <w:sz w:val="20"/>
                <w:szCs w:val="20"/>
                <w:lang w:val="en-US" w:eastAsia="zh-CN" w:bidi="ar"/>
              </w:rPr>
              <w:t>X</w:t>
            </w:r>
            <w:r>
              <w:rPr>
                <w:rFonts w:hint="eastAsia" w:ascii="宋体" w:hAnsi="宋体" w:eastAsia="宋体" w:cs="宋体"/>
                <w:kern w:val="2"/>
                <w:sz w:val="20"/>
                <w:szCs w:val="20"/>
                <w:lang w:val="en-US" w:eastAsia="zh-CN" w:bidi="ar"/>
              </w:rPr>
              <w:t>单波长</w:t>
            </w:r>
          </w:p>
        </w:tc>
        <w:tc>
          <w:tcPr>
            <w:tcW w:w="632" w:type="pct"/>
            <w:tcBorders>
              <w:top w:val="single" w:color="auto" w:sz="4" w:space="0"/>
              <w:left w:val="single" w:color="auto" w:sz="4" w:space="0"/>
              <w:bottom w:val="single" w:color="auto" w:sz="4" w:space="0"/>
              <w:right w:val="single" w:color="auto" w:sz="4" w:space="0"/>
            </w:tcBorders>
            <w:shd w:val="clear" w:color="auto" w:fill="auto"/>
            <w:vAlign w:val="top"/>
          </w:tcPr>
          <w:p w14:paraId="19D17B17">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default" w:ascii="Calibri" w:hAnsi="Calibri" w:eastAsia="宋体" w:cs="Calibri"/>
                <w:kern w:val="2"/>
                <w:sz w:val="20"/>
                <w:szCs w:val="20"/>
                <w:lang w:val="en-US" w:eastAsia="zh-CN" w:bidi="ar"/>
              </w:rPr>
              <w:t>1</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top"/>
          </w:tcPr>
          <w:p w14:paraId="3D1BF2E9">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配套氢气发生器</w:t>
            </w:r>
          </w:p>
        </w:tc>
      </w:tr>
      <w:tr w14:paraId="5707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23" w:type="pct"/>
            <w:tcBorders>
              <w:top w:val="single" w:color="auto" w:sz="4" w:space="0"/>
              <w:left w:val="single" w:color="auto" w:sz="4" w:space="0"/>
              <w:bottom w:val="single" w:color="auto" w:sz="4" w:space="0"/>
              <w:right w:val="single" w:color="auto" w:sz="4" w:space="0"/>
            </w:tcBorders>
            <w:shd w:val="clear" w:color="auto" w:fill="auto"/>
            <w:vAlign w:val="top"/>
          </w:tcPr>
          <w:p w14:paraId="041DA701">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default" w:ascii="Calibri" w:hAnsi="Calibri" w:eastAsia="宋体" w:cs="Calibri"/>
                <w:kern w:val="2"/>
                <w:sz w:val="20"/>
                <w:szCs w:val="20"/>
                <w:lang w:val="en-US" w:eastAsia="zh-CN" w:bidi="ar"/>
              </w:rPr>
              <w:t>3</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top"/>
          </w:tcPr>
          <w:p w14:paraId="2F2A5E1D">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闪点</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top"/>
          </w:tcPr>
          <w:p w14:paraId="66745C24">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自动闭口闪点</w:t>
            </w:r>
          </w:p>
        </w:tc>
        <w:tc>
          <w:tcPr>
            <w:tcW w:w="632" w:type="pct"/>
            <w:tcBorders>
              <w:top w:val="single" w:color="auto" w:sz="4" w:space="0"/>
              <w:left w:val="single" w:color="auto" w:sz="4" w:space="0"/>
              <w:bottom w:val="single" w:color="auto" w:sz="4" w:space="0"/>
              <w:right w:val="single" w:color="auto" w:sz="4" w:space="0"/>
            </w:tcBorders>
            <w:shd w:val="clear" w:color="auto" w:fill="auto"/>
            <w:vAlign w:val="top"/>
          </w:tcPr>
          <w:p w14:paraId="6678EAE0">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default" w:ascii="Calibri" w:hAnsi="Calibri" w:eastAsia="宋体" w:cs="Calibri"/>
                <w:kern w:val="2"/>
                <w:sz w:val="20"/>
                <w:szCs w:val="20"/>
                <w:lang w:val="en-US" w:eastAsia="zh-CN" w:bidi="ar"/>
              </w:rPr>
              <w:t>1</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top"/>
          </w:tcPr>
          <w:p w14:paraId="74840554">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配套甲烷气瓶</w:t>
            </w:r>
          </w:p>
        </w:tc>
      </w:tr>
      <w:tr w14:paraId="3A98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tcBorders>
              <w:top w:val="single" w:color="auto" w:sz="4" w:space="0"/>
              <w:left w:val="single" w:color="auto" w:sz="4" w:space="0"/>
              <w:bottom w:val="single" w:color="auto" w:sz="4" w:space="0"/>
              <w:right w:val="single" w:color="auto" w:sz="4" w:space="0"/>
            </w:tcBorders>
            <w:shd w:val="clear" w:color="auto" w:fill="auto"/>
            <w:vAlign w:val="top"/>
          </w:tcPr>
          <w:p w14:paraId="286B9B88">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default" w:ascii="Calibri" w:hAnsi="Calibri" w:eastAsia="宋体" w:cs="Calibri"/>
                <w:kern w:val="2"/>
                <w:sz w:val="20"/>
                <w:szCs w:val="20"/>
                <w:lang w:val="en-US" w:eastAsia="zh-CN" w:bidi="ar"/>
              </w:rPr>
              <w:t>4</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top"/>
          </w:tcPr>
          <w:p w14:paraId="47DF6F78">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冷滤点</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top"/>
          </w:tcPr>
          <w:p w14:paraId="5C719E78">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冷滤点测定仪</w:t>
            </w:r>
          </w:p>
        </w:tc>
        <w:tc>
          <w:tcPr>
            <w:tcW w:w="632" w:type="pct"/>
            <w:tcBorders>
              <w:top w:val="single" w:color="auto" w:sz="4" w:space="0"/>
              <w:left w:val="single" w:color="auto" w:sz="4" w:space="0"/>
              <w:bottom w:val="single" w:color="auto" w:sz="4" w:space="0"/>
              <w:right w:val="single" w:color="auto" w:sz="4" w:space="0"/>
            </w:tcBorders>
            <w:shd w:val="clear" w:color="auto" w:fill="auto"/>
            <w:vAlign w:val="top"/>
          </w:tcPr>
          <w:p w14:paraId="7CDA66C0">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default" w:ascii="Calibri" w:hAnsi="Calibri" w:eastAsia="宋体" w:cs="Calibri"/>
                <w:kern w:val="2"/>
                <w:sz w:val="20"/>
                <w:szCs w:val="20"/>
                <w:lang w:val="en-US" w:eastAsia="zh-CN" w:bidi="ar"/>
              </w:rPr>
              <w:t>1</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top"/>
          </w:tcPr>
          <w:p w14:paraId="6B81753D">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p>
        </w:tc>
      </w:tr>
      <w:tr w14:paraId="6F67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14:paraId="77F9ECA4">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default" w:ascii="Calibri" w:hAnsi="Calibri" w:eastAsia="宋体" w:cs="Calibri"/>
                <w:kern w:val="2"/>
                <w:sz w:val="20"/>
                <w:szCs w:val="20"/>
                <w:lang w:val="en-US" w:eastAsia="zh-CN" w:bidi="ar"/>
              </w:rPr>
              <w:t>5</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14:paraId="048368D8">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eastAsia" w:ascii="宋体" w:hAnsi="宋体" w:eastAsia="宋体" w:cs="宋体"/>
                <w:kern w:val="2"/>
                <w:sz w:val="20"/>
                <w:szCs w:val="20"/>
                <w:lang w:val="en-US" w:eastAsia="zh-CN" w:bidi="ar"/>
              </w:rPr>
              <w:t>微量水</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top"/>
          </w:tcPr>
          <w:p w14:paraId="18D3DE1E">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kern w:val="2"/>
                <w:sz w:val="20"/>
                <w:szCs w:val="20"/>
              </w:rPr>
            </w:pPr>
            <w:r>
              <w:rPr>
                <w:rFonts w:hint="eastAsia" w:ascii="宋体" w:hAnsi="宋体" w:eastAsia="宋体" w:cs="宋体"/>
                <w:kern w:val="2"/>
                <w:sz w:val="20"/>
                <w:szCs w:val="20"/>
                <w:lang w:val="en-US" w:eastAsia="zh-CN" w:bidi="ar"/>
              </w:rPr>
              <w:t>库伦微量水分测定仪</w:t>
            </w:r>
          </w:p>
        </w:tc>
        <w:tc>
          <w:tcPr>
            <w:tcW w:w="632" w:type="pct"/>
            <w:tcBorders>
              <w:top w:val="single" w:color="auto" w:sz="4" w:space="0"/>
              <w:left w:val="single" w:color="auto" w:sz="4" w:space="0"/>
              <w:bottom w:val="single" w:color="auto" w:sz="4" w:space="0"/>
              <w:right w:val="single" w:color="auto" w:sz="4" w:space="0"/>
            </w:tcBorders>
            <w:shd w:val="clear" w:color="auto" w:fill="auto"/>
            <w:vAlign w:val="top"/>
          </w:tcPr>
          <w:p w14:paraId="66F75D07">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r>
              <w:rPr>
                <w:rFonts w:hint="default" w:ascii="Calibri" w:hAnsi="Calibri" w:eastAsia="宋体" w:cs="Calibri"/>
                <w:kern w:val="2"/>
                <w:sz w:val="20"/>
                <w:szCs w:val="20"/>
                <w:lang w:val="en-US" w:eastAsia="zh-CN" w:bidi="ar"/>
              </w:rPr>
              <w:t>1</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top"/>
          </w:tcPr>
          <w:p w14:paraId="0F12185F">
            <w:pPr>
              <w:keepNext w:val="0"/>
              <w:keepLines w:val="0"/>
              <w:widowControl w:val="0"/>
              <w:suppressLineNumbers w:val="0"/>
              <w:spacing w:before="0" w:beforeAutospacing="0" w:after="0" w:afterAutospacing="0" w:line="360" w:lineRule="auto"/>
              <w:ind w:left="0" w:right="0"/>
              <w:jc w:val="center"/>
              <w:rPr>
                <w:rFonts w:hint="eastAsia" w:ascii="Calibri" w:hAnsi="Calibri" w:eastAsia="宋体" w:cs="Times New Roman"/>
                <w:kern w:val="2"/>
                <w:sz w:val="20"/>
                <w:szCs w:val="20"/>
              </w:rPr>
            </w:pPr>
          </w:p>
        </w:tc>
      </w:tr>
    </w:tbl>
    <w:p w14:paraId="13E537C6">
      <w:pPr>
        <w:spacing w:line="360" w:lineRule="auto"/>
        <w:rPr>
          <w:rFonts w:hint="eastAsia" w:eastAsia="黑体"/>
          <w:sz w:val="24"/>
          <w:szCs w:val="24"/>
        </w:rPr>
      </w:pPr>
    </w:p>
    <w:p w14:paraId="5222B957">
      <w:pPr>
        <w:spacing w:line="360" w:lineRule="auto"/>
        <w:rPr>
          <w:rFonts w:hint="eastAsia" w:eastAsia="黑体"/>
          <w:sz w:val="24"/>
          <w:szCs w:val="24"/>
          <w:lang w:val="en-US" w:eastAsia="zh-CN"/>
        </w:rPr>
      </w:pPr>
      <w:r>
        <w:rPr>
          <w:rFonts w:hint="eastAsia" w:eastAsia="黑体"/>
          <w:sz w:val="24"/>
          <w:szCs w:val="24"/>
        </w:rPr>
        <w:t>2.</w:t>
      </w:r>
      <w:r>
        <w:rPr>
          <w:rFonts w:hint="eastAsia" w:eastAsia="黑体"/>
          <w:sz w:val="24"/>
          <w:szCs w:val="24"/>
          <w:lang w:val="en-US" w:eastAsia="zh-CN"/>
        </w:rPr>
        <w:t>2</w:t>
      </w:r>
      <w:r>
        <w:rPr>
          <w:rFonts w:hint="eastAsia" w:eastAsia="黑体"/>
          <w:sz w:val="24"/>
          <w:szCs w:val="24"/>
        </w:rPr>
        <w:t xml:space="preserve"> </w:t>
      </w:r>
      <w:r>
        <w:rPr>
          <w:rFonts w:hint="eastAsia" w:eastAsia="黑体"/>
          <w:sz w:val="24"/>
          <w:szCs w:val="24"/>
          <w:lang w:val="en-US" w:eastAsia="zh-CN"/>
        </w:rPr>
        <w:t>车辆布局</w:t>
      </w:r>
    </w:p>
    <w:p w14:paraId="1FBC993A">
      <w:pPr>
        <w:spacing w:line="360" w:lineRule="auto"/>
        <w:ind w:firstLine="480" w:firstLineChars="200"/>
        <w:jc w:val="left"/>
        <w:rPr>
          <w:rFonts w:hint="eastAsia"/>
          <w:sz w:val="24"/>
          <w:szCs w:val="24"/>
          <w:lang w:val="en-US" w:eastAsia="zh-CN"/>
        </w:rPr>
      </w:pPr>
      <w:r>
        <w:rPr>
          <w:rFonts w:hint="eastAsia"/>
          <w:sz w:val="24"/>
          <w:szCs w:val="24"/>
          <w:lang w:val="en-US" w:eastAsia="zh-CN"/>
        </w:rPr>
        <w:t>车辆整体布局分为驾驶区、检测区、设备区。布局示意图见图一。</w:t>
      </w:r>
    </w:p>
    <w:p w14:paraId="1D967E14">
      <w:pPr>
        <w:keepNext w:val="0"/>
        <w:keepLines w:val="0"/>
        <w:widowControl w:val="0"/>
        <w:suppressLineNumbers w:val="0"/>
        <w:autoSpaceDE w:val="0"/>
        <w:autoSpaceDN/>
        <w:spacing w:before="0" w:beforeAutospacing="0" w:after="0" w:afterAutospacing="0" w:line="360" w:lineRule="auto"/>
        <w:ind w:left="0" w:leftChars="0" w:right="0"/>
        <w:jc w:val="center"/>
        <w:rPr>
          <w:rFonts w:hint="eastAsia" w:ascii="Calibri" w:hAnsi="Calibri" w:eastAsia="宋体" w:cs="Times New Roman"/>
          <w:kern w:val="2"/>
          <w:position w:val="-87"/>
          <w:sz w:val="21"/>
          <w:szCs w:val="21"/>
        </w:rPr>
      </w:pPr>
      <w:r>
        <w:rPr>
          <w:rFonts w:hint="default" w:ascii="Calibri" w:hAnsi="Calibri" w:eastAsia="宋体" w:cs="Times New Roman"/>
          <w:kern w:val="2"/>
          <w:sz w:val="21"/>
          <w:szCs w:val="21"/>
          <w:lang w:val="en-US" w:eastAsia="zh-CN" w:bidi="ar"/>
        </w:rPr>
        <w:drawing>
          <wp:inline distT="0" distB="0" distL="114300" distR="114300">
            <wp:extent cx="3181350" cy="1771650"/>
            <wp:effectExtent l="0" t="0" r="3810" b="11430"/>
            <wp:docPr id="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6"/>
                    <pic:cNvPicPr>
                      <a:picLocks noChangeAspect="1"/>
                    </pic:cNvPicPr>
                  </pic:nvPicPr>
                  <pic:blipFill>
                    <a:blip r:embed="rId6"/>
                    <a:stretch>
                      <a:fillRect/>
                    </a:stretch>
                  </pic:blipFill>
                  <pic:spPr>
                    <a:xfrm>
                      <a:off x="0" y="0"/>
                      <a:ext cx="3181350" cy="1771650"/>
                    </a:xfrm>
                    <a:prstGeom prst="rect">
                      <a:avLst/>
                    </a:prstGeom>
                    <a:noFill/>
                    <a:ln w="9525">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2943225" cy="1600200"/>
            <wp:effectExtent l="0" t="0" r="13335" b="0"/>
            <wp:docPr id="4"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57"/>
                    <pic:cNvPicPr>
                      <a:picLocks noChangeAspect="1"/>
                    </pic:cNvPicPr>
                  </pic:nvPicPr>
                  <pic:blipFill>
                    <a:blip r:embed="rId7"/>
                    <a:stretch>
                      <a:fillRect/>
                    </a:stretch>
                  </pic:blipFill>
                  <pic:spPr>
                    <a:xfrm>
                      <a:off x="0" y="0"/>
                      <a:ext cx="2943225" cy="1600200"/>
                    </a:xfrm>
                    <a:prstGeom prst="rect">
                      <a:avLst/>
                    </a:prstGeom>
                    <a:noFill/>
                    <a:ln w="9525">
                      <a:noFill/>
                    </a:ln>
                  </pic:spPr>
                </pic:pic>
              </a:graphicData>
            </a:graphic>
          </wp:inline>
        </w:drawing>
      </w:r>
      <w:r>
        <w:rPr>
          <w:rFonts w:hint="eastAsia" w:ascii="Calibri" w:hAnsi="Calibri" w:eastAsia="宋体" w:cs="Times New Roman"/>
          <w:kern w:val="2"/>
          <w:position w:val="-87"/>
          <w:sz w:val="21"/>
          <w:szCs w:val="21"/>
          <w:lang w:val="en-US" w:eastAsia="zh-CN" w:bidi="ar"/>
        </w:rPr>
        <w:t xml:space="preserve"> </w:t>
      </w:r>
    </w:p>
    <w:p w14:paraId="26B0B70A">
      <w:pPr>
        <w:keepNext w:val="0"/>
        <w:keepLines w:val="0"/>
        <w:widowControl w:val="0"/>
        <w:suppressLineNumbers w:val="0"/>
        <w:autoSpaceDE w:val="0"/>
        <w:autoSpaceDN/>
        <w:spacing w:before="0" w:beforeAutospacing="0" w:after="0" w:afterAutospacing="0" w:line="360" w:lineRule="auto"/>
        <w:ind w:left="0" w:leftChars="0" w:right="0"/>
        <w:jc w:val="center"/>
        <w:rPr>
          <w:rFonts w:hint="eastAsia" w:ascii="宋体" w:hAnsi="宋体" w:eastAsia="宋体" w:cs="宋体"/>
          <w:kern w:val="2"/>
          <w:sz w:val="24"/>
          <w:szCs w:val="24"/>
        </w:rPr>
      </w:pPr>
      <w:r>
        <w:rPr>
          <w:rFonts w:hint="default" w:ascii="Calibri" w:hAnsi="Calibri" w:eastAsia="宋体" w:cs="Times New Roman"/>
          <w:kern w:val="2"/>
          <w:sz w:val="21"/>
          <w:szCs w:val="21"/>
          <w:lang w:val="en-US" w:eastAsia="zh-CN" w:bidi="ar"/>
        </w:rPr>
        <w:drawing>
          <wp:inline distT="0" distB="0" distL="114300" distR="114300">
            <wp:extent cx="2971800" cy="1762125"/>
            <wp:effectExtent l="0" t="0" r="0" b="5715"/>
            <wp:docPr id="2"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58"/>
                    <pic:cNvPicPr>
                      <a:picLocks noChangeAspect="1"/>
                    </pic:cNvPicPr>
                  </pic:nvPicPr>
                  <pic:blipFill>
                    <a:blip r:embed="rId8"/>
                    <a:stretch>
                      <a:fillRect/>
                    </a:stretch>
                  </pic:blipFill>
                  <pic:spPr>
                    <a:xfrm>
                      <a:off x="0" y="0"/>
                      <a:ext cx="2971800" cy="1762125"/>
                    </a:xfrm>
                    <a:prstGeom prst="rect">
                      <a:avLst/>
                    </a:prstGeom>
                    <a:noFill/>
                    <a:ln w="9525">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3162300" cy="1752600"/>
            <wp:effectExtent l="0" t="0" r="7620" b="0"/>
            <wp:docPr id="5" name="图片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59"/>
                    <pic:cNvPicPr>
                      <a:picLocks noChangeAspect="1"/>
                    </pic:cNvPicPr>
                  </pic:nvPicPr>
                  <pic:blipFill>
                    <a:blip r:embed="rId9"/>
                    <a:stretch>
                      <a:fillRect/>
                    </a:stretch>
                  </pic:blipFill>
                  <pic:spPr>
                    <a:xfrm>
                      <a:off x="0" y="0"/>
                      <a:ext cx="3162300" cy="1752600"/>
                    </a:xfrm>
                    <a:prstGeom prst="rect">
                      <a:avLst/>
                    </a:prstGeom>
                    <a:noFill/>
                    <a:ln w="9525">
                      <a:noFill/>
                    </a:ln>
                  </pic:spPr>
                </pic:pic>
              </a:graphicData>
            </a:graphic>
          </wp:inline>
        </w:drawing>
      </w:r>
      <w:r>
        <w:rPr>
          <w:rFonts w:hint="eastAsia" w:ascii="宋体" w:hAnsi="宋体" w:eastAsia="宋体" w:cs="宋体"/>
          <w:kern w:val="2"/>
          <w:sz w:val="24"/>
          <w:szCs w:val="24"/>
          <w:lang w:val="en-US" w:eastAsia="zh-CN" w:bidi="ar"/>
        </w:rPr>
        <w:t xml:space="preserve"> </w:t>
      </w:r>
    </w:p>
    <w:p w14:paraId="66FCA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lang w:val="en-US" w:eastAsia="zh-CN"/>
        </w:rPr>
      </w:pPr>
      <w:r>
        <w:rPr>
          <w:rFonts w:hint="eastAsia"/>
          <w:lang w:val="en-US" w:eastAsia="zh-CN"/>
        </w:rPr>
        <w:t>图一 布局示意图</w:t>
      </w:r>
    </w:p>
    <w:p w14:paraId="017D9695">
      <w:pPr>
        <w:spacing w:line="360" w:lineRule="auto"/>
        <w:ind w:firstLine="480" w:firstLineChars="200"/>
        <w:jc w:val="left"/>
        <w:rPr>
          <w:rFonts w:hint="eastAsia"/>
          <w:sz w:val="24"/>
          <w:szCs w:val="24"/>
          <w:lang w:val="en-US" w:eastAsia="zh-CN"/>
        </w:rPr>
      </w:pPr>
      <w:r>
        <w:rPr>
          <w:rFonts w:hint="eastAsia"/>
          <w:sz w:val="24"/>
          <w:szCs w:val="24"/>
          <w:lang w:val="en-US" w:eastAsia="zh-CN"/>
        </w:rPr>
        <w:t>检测区主要用于放置检测用仪器及辅助设备，检测区平面使用空间不低于2.5㎡，工作台面宽度不低于500mm。</w:t>
      </w:r>
    </w:p>
    <w:p w14:paraId="75D3AD2F">
      <w:pPr>
        <w:spacing w:line="360" w:lineRule="auto"/>
        <w:ind w:firstLine="480" w:firstLineChars="200"/>
        <w:jc w:val="left"/>
        <w:rPr>
          <w:rFonts w:hint="eastAsia"/>
          <w:sz w:val="24"/>
          <w:szCs w:val="24"/>
          <w:lang w:val="en-US" w:eastAsia="zh-CN"/>
        </w:rPr>
      </w:pPr>
      <w:r>
        <w:rPr>
          <w:rFonts w:hint="eastAsia"/>
          <w:sz w:val="24"/>
          <w:szCs w:val="24"/>
          <w:lang w:val="en-US" w:eastAsia="zh-CN"/>
        </w:rPr>
        <w:t>设备区主要用放置100L标准金属量器、气瓶以及样品，设备区平面使用空间不低于1.3㎡，长度不低于800mm。</w:t>
      </w:r>
    </w:p>
    <w:p w14:paraId="09A2BCBF">
      <w:pPr>
        <w:spacing w:line="360" w:lineRule="auto"/>
        <w:ind w:firstLine="480" w:firstLineChars="200"/>
        <w:jc w:val="left"/>
        <w:rPr>
          <w:rFonts w:hint="eastAsia"/>
          <w:sz w:val="24"/>
          <w:szCs w:val="24"/>
          <w:lang w:val="en-US" w:eastAsia="zh-CN"/>
        </w:rPr>
      </w:pPr>
      <w:r>
        <w:rPr>
          <w:rFonts w:hint="eastAsia"/>
          <w:sz w:val="24"/>
          <w:szCs w:val="24"/>
          <w:lang w:val="en-US" w:eastAsia="zh-CN"/>
        </w:rPr>
        <w:t>设置2个气瓶架，气瓶架可垂直放置8 L气瓶。设置1个样品架，样品架可存放1L/4L白口铁样品桶。设置1个管架，可存放100L标准金属量器配套卸油管。</w:t>
      </w:r>
    </w:p>
    <w:p w14:paraId="3821561C">
      <w:pPr>
        <w:spacing w:line="360" w:lineRule="auto"/>
        <w:rPr>
          <w:rFonts w:hint="eastAsia" w:eastAsia="黑体"/>
          <w:sz w:val="24"/>
          <w:szCs w:val="24"/>
        </w:rPr>
      </w:pPr>
      <w:r>
        <w:rPr>
          <w:rFonts w:hint="eastAsia" w:eastAsia="黑体"/>
          <w:sz w:val="24"/>
          <w:szCs w:val="24"/>
          <w:lang w:val="en-US" w:eastAsia="zh-CN"/>
        </w:rPr>
        <w:t>2.3 隔断要求</w:t>
      </w:r>
    </w:p>
    <w:p w14:paraId="33EA909F">
      <w:pPr>
        <w:spacing w:line="360" w:lineRule="auto"/>
        <w:ind w:firstLine="480" w:firstLineChars="200"/>
        <w:jc w:val="left"/>
        <w:rPr>
          <w:rFonts w:hint="eastAsia"/>
          <w:sz w:val="24"/>
          <w:szCs w:val="24"/>
          <w:lang w:val="en-US" w:eastAsia="zh-CN"/>
        </w:rPr>
      </w:pPr>
      <w:r>
        <w:rPr>
          <w:rFonts w:hint="eastAsia"/>
          <w:sz w:val="24"/>
          <w:szCs w:val="24"/>
          <w:lang w:val="en-US" w:eastAsia="zh-CN"/>
        </w:rPr>
        <w:t>前隔断(驾驶区与检测区的隔断)，使用铝型材框架结构，铝板蒙皮，两面外包皮质内饰材料，带推拉窗，推拉窗密封性满足无油气串通的要求。后隔断(检测区与设备区的隔断)，使用铝型材框架结构，铝板蒙皮，两面外包皮质内饰材料，不带推拉窗。隔断应将各区域完全密闭隔离，无油气串通通道。</w:t>
      </w:r>
    </w:p>
    <w:p w14:paraId="5581E256">
      <w:pPr>
        <w:spacing w:line="360" w:lineRule="auto"/>
        <w:rPr>
          <w:rFonts w:hint="eastAsia" w:eastAsia="黑体"/>
          <w:sz w:val="24"/>
          <w:szCs w:val="24"/>
          <w:lang w:val="en-US" w:eastAsia="zh-CN"/>
        </w:rPr>
      </w:pPr>
      <w:r>
        <w:rPr>
          <w:rFonts w:hint="eastAsia" w:eastAsia="黑体"/>
          <w:sz w:val="24"/>
          <w:szCs w:val="24"/>
          <w:lang w:val="en-US" w:eastAsia="zh-CN"/>
        </w:rPr>
        <w:t>2.4 车辆改装</w:t>
      </w:r>
    </w:p>
    <w:p w14:paraId="5E0B6F8F">
      <w:pPr>
        <w:spacing w:line="360" w:lineRule="auto"/>
        <w:ind w:firstLine="480" w:firstLineChars="200"/>
        <w:jc w:val="left"/>
        <w:rPr>
          <w:rFonts w:hint="default"/>
          <w:sz w:val="24"/>
          <w:szCs w:val="24"/>
          <w:lang w:val="en-US" w:eastAsia="zh-CN"/>
        </w:rPr>
      </w:pPr>
      <w:r>
        <w:rPr>
          <w:rFonts w:hint="eastAsia"/>
          <w:sz w:val="24"/>
          <w:szCs w:val="24"/>
          <w:lang w:val="en-US" w:eastAsia="zh-CN"/>
        </w:rPr>
        <w:t>车辆由廊坊京联汽车改装有限公司依据专项作业车标准改装，改装详情见下表。</w:t>
      </w:r>
    </w:p>
    <w:p w14:paraId="06339182">
      <w:pPr>
        <w:spacing w:line="360" w:lineRule="auto"/>
        <w:jc w:val="center"/>
        <w:rPr>
          <w:rFonts w:hint="default"/>
          <w:sz w:val="24"/>
          <w:szCs w:val="24"/>
          <w:lang w:val="en-US" w:eastAsia="zh-CN"/>
        </w:rPr>
      </w:pPr>
      <w:r>
        <w:rPr>
          <w:rFonts w:hint="eastAsia"/>
          <w:sz w:val="24"/>
          <w:szCs w:val="24"/>
          <w:lang w:val="en-US" w:eastAsia="zh-CN"/>
        </w:rPr>
        <w:t>表二 改装详情</w:t>
      </w: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2139"/>
        <w:gridCol w:w="4535"/>
        <w:gridCol w:w="616"/>
        <w:gridCol w:w="616"/>
      </w:tblGrid>
      <w:tr w14:paraId="730C8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B2BA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序号</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A01169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项目名称</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F4F2EE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项目说明</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A635C1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数量</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692DCB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单位</w:t>
            </w:r>
          </w:p>
        </w:tc>
      </w:tr>
      <w:tr w14:paraId="578ED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53A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31A6633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车辆底盘</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60C7919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蓝牌、汽油、国VI、自动挡客车车型</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29CE8F6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12094B0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辆</w:t>
            </w:r>
          </w:p>
        </w:tc>
      </w:tr>
      <w:tr w14:paraId="3C7D1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5" w:hRule="atLeast"/>
          <w:jc w:val="center"/>
        </w:trPr>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14:paraId="768E9CB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2</w:t>
            </w:r>
          </w:p>
        </w:tc>
        <w:tc>
          <w:tcPr>
            <w:tcW w:w="0" w:type="auto"/>
            <w:vMerge w:val="restart"/>
            <w:tcBorders>
              <w:top w:val="nil"/>
              <w:left w:val="nil"/>
              <w:bottom w:val="single" w:color="000000" w:sz="4" w:space="0"/>
              <w:right w:val="single" w:color="000000" w:sz="4" w:space="0"/>
            </w:tcBorders>
            <w:shd w:val="clear" w:color="auto" w:fill="auto"/>
            <w:noWrap/>
            <w:vAlign w:val="center"/>
          </w:tcPr>
          <w:p w14:paraId="2F858EF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前隔断</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781EF3A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驾驶区与检测工作区隔离，为铝型材框架结构，铝板蒙皮，外包皮质内饰材料</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08CB231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3B575D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55669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398BA22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noWrap/>
            <w:vAlign w:val="center"/>
          </w:tcPr>
          <w:p w14:paraId="10F6014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vAlign w:val="center"/>
          </w:tcPr>
          <w:p w14:paraId="3A6D687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隔断推拉窗</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7CD2CF2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2816DEE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个</w:t>
            </w:r>
          </w:p>
        </w:tc>
      </w:tr>
      <w:tr w14:paraId="135D6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6"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3D6FB69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D013B1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后隔断</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43E0F19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检测工作区与设备区隔离，为铝型材框架结构，设备区隔断一侧铝板蒙皮，检测工作区一侧铝板蒙皮，外包皮质内饰材料</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6F3B1B2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518DEF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5ADC2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213810A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restart"/>
            <w:tcBorders>
              <w:top w:val="nil"/>
              <w:left w:val="nil"/>
              <w:bottom w:val="single" w:color="000000" w:sz="4" w:space="0"/>
              <w:right w:val="single" w:color="000000" w:sz="4" w:space="0"/>
            </w:tcBorders>
            <w:shd w:val="clear" w:color="auto" w:fill="auto"/>
            <w:noWrap/>
            <w:vAlign w:val="center"/>
          </w:tcPr>
          <w:p w14:paraId="741E115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实验台</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677BFAD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内部钢结构喷塑，台柜柜门配锁定机构，合适空间预留抽屉，灰白色理化板材料</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223C888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0A2B662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658AA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66F5B65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noWrap/>
            <w:vAlign w:val="center"/>
          </w:tcPr>
          <w:p w14:paraId="372900D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5D7C53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减震器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7C88F6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8</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34AA2D8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22B2C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279F1AC4">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BB1E7A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样品架</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A38BB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铝合金型材快装架</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58FB2A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75BDFC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1BF36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209DBAD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restart"/>
            <w:tcBorders>
              <w:top w:val="nil"/>
              <w:left w:val="nil"/>
              <w:bottom w:val="single" w:color="000000" w:sz="4" w:space="0"/>
              <w:right w:val="single" w:color="000000" w:sz="4" w:space="0"/>
            </w:tcBorders>
            <w:shd w:val="clear" w:color="auto" w:fill="auto"/>
            <w:noWrap/>
            <w:vAlign w:val="center"/>
          </w:tcPr>
          <w:p w14:paraId="1062579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地板总成</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30755B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检测工作区地板耐酸碱，防腐蚀</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C4EC38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B157A7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77BF9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6A21D3A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noWrap/>
            <w:vAlign w:val="center"/>
          </w:tcPr>
          <w:p w14:paraId="4726DF5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2283C2A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设备区地板及窗户窗户下侧面铺设花纹铝板</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3B175B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2DD2C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640C9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5A53B40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restart"/>
            <w:tcBorders>
              <w:top w:val="nil"/>
              <w:left w:val="nil"/>
              <w:bottom w:val="single" w:color="000000" w:sz="4" w:space="0"/>
              <w:right w:val="single" w:color="000000" w:sz="4" w:space="0"/>
            </w:tcBorders>
            <w:shd w:val="clear" w:color="auto" w:fill="auto"/>
            <w:noWrap/>
            <w:vAlign w:val="center"/>
          </w:tcPr>
          <w:p w14:paraId="45B6F15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制冷及暖风系统</w:t>
            </w:r>
          </w:p>
        </w:tc>
        <w:tc>
          <w:tcPr>
            <w:tcW w:w="0" w:type="auto"/>
            <w:vMerge w:val="restart"/>
            <w:tcBorders>
              <w:top w:val="nil"/>
              <w:left w:val="nil"/>
              <w:bottom w:val="single" w:color="000000" w:sz="4" w:space="0"/>
              <w:right w:val="single" w:color="000000" w:sz="4" w:space="0"/>
            </w:tcBorders>
            <w:shd w:val="clear" w:color="auto" w:fill="auto"/>
            <w:vAlign w:val="center"/>
          </w:tcPr>
          <w:p w14:paraId="241D50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引入原车空调制冷及暖风系统，满足车辆检测工作区温度要求</w:t>
            </w:r>
          </w:p>
        </w:tc>
        <w:tc>
          <w:tcPr>
            <w:tcW w:w="0" w:type="auto"/>
            <w:vMerge w:val="restart"/>
            <w:tcBorders>
              <w:top w:val="nil"/>
              <w:left w:val="nil"/>
              <w:bottom w:val="single" w:color="000000" w:sz="4" w:space="0"/>
              <w:right w:val="single" w:color="000000" w:sz="4" w:space="0"/>
            </w:tcBorders>
            <w:shd w:val="clear" w:color="auto" w:fill="auto"/>
            <w:vAlign w:val="center"/>
          </w:tcPr>
          <w:p w14:paraId="33B8BF5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vMerge w:val="restart"/>
            <w:tcBorders>
              <w:top w:val="nil"/>
              <w:left w:val="nil"/>
              <w:bottom w:val="single" w:color="000000" w:sz="4" w:space="0"/>
              <w:right w:val="single" w:color="000000" w:sz="4" w:space="0"/>
            </w:tcBorders>
            <w:shd w:val="clear" w:color="auto" w:fill="auto"/>
            <w:vAlign w:val="center"/>
          </w:tcPr>
          <w:p w14:paraId="10E7A90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7EB02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29C50AD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noWrap/>
            <w:vAlign w:val="center"/>
          </w:tcPr>
          <w:p w14:paraId="40FF8ED4">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vAlign w:val="center"/>
          </w:tcPr>
          <w:p w14:paraId="5A63DE3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vAlign w:val="center"/>
          </w:tcPr>
          <w:p w14:paraId="5C5DAD4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vAlign w:val="center"/>
          </w:tcPr>
          <w:p w14:paraId="6095803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r>
      <w:tr w14:paraId="5DB6C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114D8A1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031E7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车内照明灯</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6E1C80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防爆型照明灯</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93407D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5</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65BE08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个</w:t>
            </w:r>
          </w:p>
        </w:tc>
      </w:tr>
      <w:tr w14:paraId="04884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58147E6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vAlign w:val="center"/>
          </w:tcPr>
          <w:p w14:paraId="5394919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车载GPS导航倒车显示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2FBA3AD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车载GPS导航</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1FA199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53F7D2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7ECEC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3CAF9F5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870347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电缆轴</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CA864A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30米，3*2.5平方</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2CBEC3E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724313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53411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64F82C9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vAlign w:val="center"/>
          </w:tcPr>
          <w:p w14:paraId="1A99CAA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检测工作区电源端口</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62CE2F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检测工作区220V五孔电源插座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FA9B20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4</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E54371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07114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4C60812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vAlign w:val="center"/>
          </w:tcPr>
          <w:p w14:paraId="008BDC3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配电控制和电源开关总成</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4D09D2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电流、电压、空开、保险及电器元件等</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7F4A0C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8BEBF8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5ACD6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6DA721C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C9B10D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专用防雷/防漏电系统</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EE66D6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导静电拖带；防雷击触电，接地钢钎</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143D06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4F5D50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77CD5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525666E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59CA04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专用外接市电系统</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455C8A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外接220V电源防水电源接口</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F7E43E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491AE5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77904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23C90B1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restart"/>
            <w:tcBorders>
              <w:top w:val="nil"/>
              <w:left w:val="nil"/>
              <w:bottom w:val="single" w:color="000000" w:sz="4" w:space="0"/>
              <w:right w:val="single" w:color="000000" w:sz="4" w:space="0"/>
            </w:tcBorders>
            <w:shd w:val="clear" w:color="auto" w:fill="auto"/>
            <w:noWrap/>
            <w:vAlign w:val="center"/>
          </w:tcPr>
          <w:p w14:paraId="59DB392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车载电池、逆变器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E6697D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车载电池</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4DCC13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2404B42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块</w:t>
            </w:r>
          </w:p>
        </w:tc>
      </w:tr>
      <w:tr w14:paraId="22FEE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164FC6A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noWrap/>
            <w:vAlign w:val="center"/>
          </w:tcPr>
          <w:p w14:paraId="7C62F51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F573DA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逆变器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AD1C7E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A5A88C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台</w:t>
            </w:r>
          </w:p>
        </w:tc>
      </w:tr>
      <w:tr w14:paraId="5AB4B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25C5863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157E2D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直流、低压排风扇</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2F28DF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使气体尽快排出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49E01C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E2AB4F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台</w:t>
            </w:r>
          </w:p>
        </w:tc>
      </w:tr>
      <w:tr w14:paraId="359BB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4538745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12D8D4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车用灭火器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154608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8 KG</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2E5E0C0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3FF8BB3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个</w:t>
            </w:r>
          </w:p>
        </w:tc>
      </w:tr>
      <w:tr w14:paraId="1DC93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0EBC028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0F7A70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烟雾报警器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35A05A4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独立式</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7F1CF2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3B9FAF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个</w:t>
            </w:r>
          </w:p>
        </w:tc>
      </w:tr>
      <w:tr w14:paraId="160C8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10C1D61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36384FF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温度计/湿度计/时钟</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4DBDF4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电子式</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24C5F3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1DD9FE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个</w:t>
            </w:r>
          </w:p>
        </w:tc>
      </w:tr>
      <w:tr w14:paraId="232FE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4936EB0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3332F6B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外饰</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3B7073A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按使用要求制作外饰车贴（防雨、防晒）</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2956AA3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16D88BA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r w14:paraId="6F8A5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14:paraId="31104B2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kern w:val="2"/>
                <w:sz w:val="20"/>
                <w:szCs w:val="20"/>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26694E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其它辅料</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185281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各种五金电线等辅料</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908040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7DC14F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套</w:t>
            </w:r>
          </w:p>
        </w:tc>
      </w:tr>
    </w:tbl>
    <w:p w14:paraId="3AC0EAD2">
      <w:pPr>
        <w:spacing w:line="360" w:lineRule="auto"/>
        <w:ind w:firstLine="480" w:firstLineChars="200"/>
        <w:jc w:val="left"/>
        <w:rPr>
          <w:rFonts w:hint="eastAsia"/>
          <w:sz w:val="24"/>
          <w:szCs w:val="24"/>
          <w:lang w:val="en-US" w:eastAsia="zh-CN"/>
        </w:rPr>
      </w:pPr>
      <w:r>
        <w:rPr>
          <w:rFonts w:hint="eastAsia"/>
          <w:sz w:val="24"/>
          <w:szCs w:val="24"/>
          <w:lang w:val="en-US" w:eastAsia="zh-CN"/>
        </w:rPr>
        <w:t>示范车辆见下图。</w:t>
      </w:r>
    </w:p>
    <w:p w14:paraId="0B1B8FD3">
      <w:pPr>
        <w:spacing w:line="360" w:lineRule="auto"/>
        <w:jc w:val="center"/>
        <w:rPr>
          <w:rFonts w:hint="default"/>
          <w:sz w:val="24"/>
          <w:szCs w:val="24"/>
          <w:lang w:val="en-US" w:eastAsia="zh-CN"/>
        </w:rPr>
      </w:pPr>
      <w:r>
        <w:rPr>
          <w:rFonts w:hint="default"/>
          <w:sz w:val="24"/>
          <w:szCs w:val="24"/>
          <w:lang w:val="en-US" w:eastAsia="zh-CN"/>
        </w:rPr>
        <w:drawing>
          <wp:inline distT="0" distB="0" distL="114300" distR="114300">
            <wp:extent cx="4827905" cy="3620770"/>
            <wp:effectExtent l="0" t="0" r="3175" b="6350"/>
            <wp:docPr id="12" name="图片 12" descr="88715564733649931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871556473364993102(1)(1)"/>
                    <pic:cNvPicPr>
                      <a:picLocks noChangeAspect="1"/>
                    </pic:cNvPicPr>
                  </pic:nvPicPr>
                  <pic:blipFill>
                    <a:blip r:embed="rId10"/>
                    <a:stretch>
                      <a:fillRect/>
                    </a:stretch>
                  </pic:blipFill>
                  <pic:spPr>
                    <a:xfrm>
                      <a:off x="0" y="0"/>
                      <a:ext cx="4827905" cy="3620770"/>
                    </a:xfrm>
                    <a:prstGeom prst="rect">
                      <a:avLst/>
                    </a:prstGeom>
                  </pic:spPr>
                </pic:pic>
              </a:graphicData>
            </a:graphic>
          </wp:inline>
        </w:drawing>
      </w:r>
    </w:p>
    <w:p w14:paraId="6C47C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lang w:val="en-US" w:eastAsia="zh-CN"/>
        </w:rPr>
      </w:pPr>
      <w:r>
        <w:rPr>
          <w:rFonts w:hint="eastAsia"/>
          <w:lang w:val="en-US" w:eastAsia="zh-CN"/>
        </w:rPr>
        <w:t>图二 示范车辆</w:t>
      </w:r>
    </w:p>
    <w:p w14:paraId="1C395EFB">
      <w:p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3 示范车辆验证</w:t>
      </w:r>
    </w:p>
    <w:p w14:paraId="614C5C87">
      <w:pPr>
        <w:autoSpaceDE w:val="0"/>
        <w:autoSpaceDN w:val="0"/>
        <w:adjustRightInd w:val="0"/>
        <w:spacing w:line="360" w:lineRule="auto"/>
        <w:ind w:firstLine="480" w:firstLineChars="200"/>
        <w:jc w:val="left"/>
        <w:rPr>
          <w:rFonts w:hint="default"/>
          <w:sz w:val="24"/>
          <w:szCs w:val="24"/>
          <w:lang w:val="en-US" w:eastAsia="zh-CN"/>
        </w:rPr>
      </w:pPr>
      <w:r>
        <w:rPr>
          <w:rFonts w:hint="eastAsia"/>
          <w:sz w:val="24"/>
          <w:szCs w:val="24"/>
          <w:lang w:val="en-US" w:eastAsia="zh-CN"/>
        </w:rPr>
        <w:t>示范车辆由国家汽车质量检验检测中心（长春）依据GB 7258-2017《机动车运行安全技术条件》及第 1 号修改单、第 2 号修改单等标准进行出厂检验。</w:t>
      </w:r>
    </w:p>
    <w:p w14:paraId="416ACB89">
      <w:pPr>
        <w:autoSpaceDE w:val="0"/>
        <w:autoSpaceDN w:val="0"/>
        <w:adjustRightInd w:val="0"/>
        <w:spacing w:line="360" w:lineRule="auto"/>
        <w:ind w:firstLine="480" w:firstLineChars="200"/>
        <w:jc w:val="left"/>
        <w:rPr>
          <w:rFonts w:hint="eastAsia"/>
          <w:sz w:val="24"/>
          <w:szCs w:val="24"/>
          <w:lang w:val="en-US" w:eastAsia="zh-CN"/>
        </w:rPr>
      </w:pPr>
      <w:r>
        <w:rPr>
          <w:rFonts w:hint="eastAsia"/>
          <w:sz w:val="24"/>
          <w:szCs w:val="24"/>
          <w:lang w:val="en-US" w:eastAsia="zh-CN"/>
        </w:rPr>
        <w:t>由中石油豫博安全环保技术研究（河南）有限公司组织专业人员进行使用验证。车辆搭载仪器及检测项目详情见下表。</w:t>
      </w:r>
    </w:p>
    <w:p w14:paraId="27CD6CF8">
      <w:pPr>
        <w:autoSpaceDE w:val="0"/>
        <w:autoSpaceDN w:val="0"/>
        <w:adjustRightInd w:val="0"/>
        <w:spacing w:line="360" w:lineRule="auto"/>
        <w:jc w:val="center"/>
        <w:rPr>
          <w:rFonts w:hint="default"/>
          <w:sz w:val="24"/>
          <w:szCs w:val="24"/>
          <w:lang w:val="en-US" w:eastAsia="zh-CN"/>
        </w:rPr>
      </w:pPr>
      <w:r>
        <w:rPr>
          <w:rFonts w:hint="eastAsia"/>
          <w:sz w:val="24"/>
          <w:szCs w:val="24"/>
          <w:lang w:val="en-US" w:eastAsia="zh-CN"/>
        </w:rPr>
        <w:t>表三 车辆搭载仪器及检测项目详情</w:t>
      </w:r>
    </w:p>
    <w:tbl>
      <w:tblPr>
        <w:tblStyle w:val="15"/>
        <w:tblW w:w="82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23"/>
        <w:gridCol w:w="1387"/>
        <w:gridCol w:w="3015"/>
        <w:gridCol w:w="3115"/>
      </w:tblGrid>
      <w:tr w14:paraId="457E8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01E2DC4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序号</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60BCEE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油品类别</w:t>
            </w:r>
          </w:p>
        </w:tc>
        <w:tc>
          <w:tcPr>
            <w:tcW w:w="30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5DB05FB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检测项目</w:t>
            </w:r>
          </w:p>
        </w:tc>
        <w:tc>
          <w:tcPr>
            <w:tcW w:w="31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741CA54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设备名称</w:t>
            </w:r>
          </w:p>
        </w:tc>
      </w:tr>
      <w:tr w14:paraId="5776B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7FF7434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35DE81F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汽油</w:t>
            </w:r>
          </w:p>
        </w:tc>
        <w:tc>
          <w:tcPr>
            <w:tcW w:w="30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2381E7C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芳烃含量、烯烃含量、乙醇含量、苯含量、馏程</w:t>
            </w:r>
          </w:p>
        </w:tc>
        <w:tc>
          <w:tcPr>
            <w:tcW w:w="310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58F5C75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全自动油品快速综合分析仪、培安中红外、弹性密度计</w:t>
            </w:r>
          </w:p>
        </w:tc>
      </w:tr>
      <w:tr w14:paraId="6BE7F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03256A5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4ED236E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汽油/柴油</w:t>
            </w:r>
          </w:p>
        </w:tc>
        <w:tc>
          <w:tcPr>
            <w:tcW w:w="30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70F6FA1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密度</w:t>
            </w:r>
          </w:p>
        </w:tc>
        <w:tc>
          <w:tcPr>
            <w:tcW w:w="3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30A8FCE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p>
        </w:tc>
      </w:tr>
      <w:tr w14:paraId="1FFA3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520A490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4</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6226C45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汽油</w:t>
            </w:r>
          </w:p>
        </w:tc>
        <w:tc>
          <w:tcPr>
            <w:tcW w:w="30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1B8AA8E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水分（微量水）</w:t>
            </w:r>
          </w:p>
        </w:tc>
        <w:tc>
          <w:tcPr>
            <w:tcW w:w="31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603599E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卡尔费休微量水测定仪</w:t>
            </w:r>
          </w:p>
        </w:tc>
      </w:tr>
      <w:tr w14:paraId="72FC0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5C0C35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5</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1867F40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26838D7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硫醇（博士试验）</w:t>
            </w:r>
          </w:p>
        </w:tc>
        <w:tc>
          <w:tcPr>
            <w:tcW w:w="31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5E53631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试剂盒</w:t>
            </w:r>
          </w:p>
        </w:tc>
      </w:tr>
      <w:tr w14:paraId="2A1D8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3F225F6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6</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65FE553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汽油/柴油</w:t>
            </w:r>
          </w:p>
        </w:tc>
        <w:tc>
          <w:tcPr>
            <w:tcW w:w="30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56498CD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硫含量</w:t>
            </w:r>
          </w:p>
        </w:tc>
        <w:tc>
          <w:tcPr>
            <w:tcW w:w="31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76C542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单波长X射线光谱仪</w:t>
            </w:r>
          </w:p>
        </w:tc>
      </w:tr>
      <w:tr w14:paraId="0B28A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19C9822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7</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6B20232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0EC6F5F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机械杂质（目测）</w:t>
            </w:r>
          </w:p>
        </w:tc>
        <w:tc>
          <w:tcPr>
            <w:tcW w:w="31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4FF6259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w:t>
            </w:r>
          </w:p>
        </w:tc>
      </w:tr>
      <w:tr w14:paraId="38347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6327BD6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8</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7DEE4BC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柴油</w:t>
            </w:r>
          </w:p>
        </w:tc>
        <w:tc>
          <w:tcPr>
            <w:tcW w:w="30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5E30988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凝点、冷滤点、馏程</w:t>
            </w:r>
          </w:p>
        </w:tc>
        <w:tc>
          <w:tcPr>
            <w:tcW w:w="31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261646C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全自动油品快速综合分析仪、培安中红外</w:t>
            </w:r>
          </w:p>
        </w:tc>
      </w:tr>
      <w:tr w14:paraId="0B234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47FAF7E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9</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68C28E9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柴油</w:t>
            </w:r>
          </w:p>
        </w:tc>
        <w:tc>
          <w:tcPr>
            <w:tcW w:w="30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63AE69A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闪点</w:t>
            </w:r>
          </w:p>
        </w:tc>
        <w:tc>
          <w:tcPr>
            <w:tcW w:w="3100" w:type="dxa"/>
            <w:tcBorders>
              <w:top w:val="single" w:color="000000" w:sz="4" w:space="0"/>
              <w:left w:val="single" w:color="000000" w:sz="4" w:space="0"/>
              <w:bottom w:val="single" w:color="000000" w:sz="4" w:space="0"/>
              <w:right w:val="single" w:color="000000" w:sz="4" w:space="0"/>
            </w:tcBorders>
            <w:shd w:val="clear" w:color="auto" w:fill="auto"/>
            <w:tcMar>
              <w:top w:w="10" w:type="dxa"/>
              <w:left w:w="40" w:type="dxa"/>
              <w:bottom w:w="10" w:type="dxa"/>
              <w:right w:w="40" w:type="dxa"/>
            </w:tcMar>
            <w:vAlign w:val="center"/>
          </w:tcPr>
          <w:p w14:paraId="336DDED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连续杯法快速闪点仪</w:t>
            </w:r>
          </w:p>
        </w:tc>
      </w:tr>
    </w:tbl>
    <w:p w14:paraId="6145AED7">
      <w:pPr>
        <w:autoSpaceDE w:val="0"/>
        <w:autoSpaceDN w:val="0"/>
        <w:adjustRightInd w:val="0"/>
        <w:spacing w:line="360" w:lineRule="auto"/>
        <w:ind w:firstLine="480" w:firstLineChars="200"/>
        <w:jc w:val="left"/>
        <w:rPr>
          <w:rFonts w:hint="eastAsia"/>
          <w:sz w:val="24"/>
          <w:szCs w:val="24"/>
          <w:lang w:val="en-US" w:eastAsia="zh-CN"/>
        </w:rPr>
      </w:pPr>
      <w:r>
        <w:rPr>
          <w:rFonts w:hint="eastAsia"/>
          <w:sz w:val="24"/>
          <w:szCs w:val="24"/>
          <w:lang w:val="en-US" w:eastAsia="zh-CN"/>
        </w:rPr>
        <w:t>验证组采用双人模式，车辆分别沧州、潍坊、郑州、开封、泰州等地在进行了验证，现场照片见下图</w:t>
      </w:r>
    </w:p>
    <w:p w14:paraId="2378A338">
      <w:pPr>
        <w:autoSpaceDE w:val="0"/>
        <w:autoSpaceDN w:val="0"/>
        <w:adjustRightInd w:val="0"/>
        <w:spacing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4485640" cy="2677160"/>
            <wp:effectExtent l="0" t="0" r="10160" b="5080"/>
            <wp:docPr id="11" name="图片 11" descr="3fdbc3eb47583009201fc9aab0fa1c78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fdbc3eb47583009201fc9aab0fa1c78_compress"/>
                    <pic:cNvPicPr>
                      <a:picLocks noChangeAspect="1"/>
                    </pic:cNvPicPr>
                  </pic:nvPicPr>
                  <pic:blipFill>
                    <a:blip r:embed="rId11"/>
                    <a:srcRect b="20507"/>
                    <a:stretch>
                      <a:fillRect/>
                    </a:stretch>
                  </pic:blipFill>
                  <pic:spPr>
                    <a:xfrm>
                      <a:off x="0" y="0"/>
                      <a:ext cx="4485640" cy="2677160"/>
                    </a:xfrm>
                    <a:prstGeom prst="rect">
                      <a:avLst/>
                    </a:prstGeom>
                  </pic:spPr>
                </pic:pic>
              </a:graphicData>
            </a:graphic>
          </wp:inline>
        </w:drawing>
      </w:r>
    </w:p>
    <w:p w14:paraId="090BB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lang w:val="en-US" w:eastAsia="zh-CN"/>
        </w:rPr>
      </w:pPr>
      <w:r>
        <w:rPr>
          <w:rFonts w:hint="eastAsia"/>
          <w:lang w:val="en-US" w:eastAsia="zh-CN"/>
        </w:rPr>
        <w:t>图三 示范车辆验证现场</w:t>
      </w:r>
    </w:p>
    <w:p w14:paraId="1D7764BF">
      <w:pPr>
        <w:autoSpaceDE w:val="0"/>
        <w:autoSpaceDN w:val="0"/>
        <w:adjustRightInd w:val="0"/>
        <w:spacing w:line="360" w:lineRule="auto"/>
        <w:ind w:firstLine="480" w:firstLineChars="200"/>
        <w:jc w:val="both"/>
        <w:rPr>
          <w:rFonts w:hint="eastAsia"/>
          <w:sz w:val="24"/>
          <w:szCs w:val="24"/>
          <w:lang w:val="en-US" w:eastAsia="zh-CN"/>
        </w:rPr>
      </w:pPr>
      <w:r>
        <w:rPr>
          <w:rFonts w:hint="eastAsia"/>
          <w:sz w:val="24"/>
          <w:szCs w:val="24"/>
          <w:lang w:val="en-US" w:eastAsia="zh-CN"/>
        </w:rPr>
        <w:t>经验证，车辆在远距离行驶后，仪器设备稳定性满足检测要求，可在停车后立即开展检测。检查样品量峰值可达19批次/天，与传统相比较，使用移动实验室开展现场检测，在年费用总额仅增加12.3%的基础上即可实现检测效率提升1.6倍。</w:t>
      </w:r>
    </w:p>
    <w:p w14:paraId="60B8FA53">
      <w:pPr>
        <w:autoSpaceDE w:val="0"/>
        <w:autoSpaceDN w:val="0"/>
        <w:adjustRightInd w:val="0"/>
        <w:spacing w:line="360" w:lineRule="auto"/>
        <w:ind w:firstLine="480" w:firstLineChars="200"/>
        <w:jc w:val="both"/>
        <w:rPr>
          <w:rFonts w:hint="default"/>
          <w:sz w:val="24"/>
          <w:szCs w:val="24"/>
          <w:lang w:val="en-US" w:eastAsia="zh-CN"/>
        </w:rPr>
      </w:pPr>
    </w:p>
    <w:p w14:paraId="3DA17B1F">
      <w:pPr>
        <w:numPr>
          <w:ilvl w:val="0"/>
          <w:numId w:val="2"/>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技术要求（+附录A，上海）</w:t>
      </w:r>
    </w:p>
    <w:p w14:paraId="1C834CE0">
      <w:pPr>
        <w:autoSpaceDE w:val="0"/>
        <w:autoSpaceDN w:val="0"/>
        <w:adjustRightInd w:val="0"/>
        <w:spacing w:line="360" w:lineRule="auto"/>
        <w:ind w:firstLine="480" w:firstLineChars="200"/>
        <w:jc w:val="left"/>
        <w:rPr>
          <w:rFonts w:hint="eastAsia"/>
          <w:sz w:val="24"/>
          <w:szCs w:val="24"/>
        </w:rPr>
      </w:pPr>
      <w:r>
        <w:rPr>
          <w:rFonts w:hint="eastAsia"/>
          <w:sz w:val="24"/>
          <w:szCs w:val="24"/>
          <w:lang w:val="en-US" w:eastAsia="zh-CN"/>
        </w:rPr>
        <w:t>本标准从移动实验室实验舱通用要求、家具及内装饰、环境控制能力、设施要求、仪器平台、安全要求方面进行规定。</w:t>
      </w:r>
    </w:p>
    <w:p w14:paraId="6CDB8CD1">
      <w:pPr>
        <w:numPr>
          <w:ilvl w:val="0"/>
          <w:numId w:val="0"/>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4.1 通用要求</w:t>
      </w:r>
    </w:p>
    <w:p w14:paraId="3A70FCE4">
      <w:pPr>
        <w:spacing w:line="360" w:lineRule="auto"/>
        <w:jc w:val="center"/>
        <w:rPr>
          <w:rFonts w:hint="eastAsia"/>
          <w:sz w:val="24"/>
          <w:szCs w:val="24"/>
          <w:lang w:val="en-US" w:eastAsia="zh-CN"/>
        </w:rPr>
      </w:pPr>
      <w:r>
        <w:rPr>
          <w:rFonts w:hint="eastAsia"/>
          <w:sz w:val="24"/>
          <w:szCs w:val="24"/>
          <w:lang w:val="en-US" w:eastAsia="zh-CN"/>
        </w:rPr>
        <w:t>表四 主要尺寸验证</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1"/>
        <w:gridCol w:w="790"/>
        <w:gridCol w:w="1146"/>
        <w:gridCol w:w="993"/>
        <w:gridCol w:w="856"/>
        <w:gridCol w:w="856"/>
        <w:gridCol w:w="856"/>
        <w:gridCol w:w="856"/>
        <w:gridCol w:w="856"/>
        <w:gridCol w:w="859"/>
      </w:tblGrid>
      <w:tr w14:paraId="313F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F0E8A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序号</w:t>
            </w:r>
          </w:p>
        </w:tc>
        <w:tc>
          <w:tcPr>
            <w:tcW w:w="1137"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44448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检验项目</w:t>
            </w:r>
          </w:p>
        </w:tc>
        <w:tc>
          <w:tcPr>
            <w:tcW w:w="5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DC605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要求</w:t>
            </w:r>
          </w:p>
          <w:p w14:paraId="270CCF2D">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mm</w:t>
            </w:r>
            <w:r>
              <w:rPr>
                <w:rFonts w:hint="eastAsia" w:ascii="宋体" w:hAnsi="宋体" w:eastAsia="宋体" w:cs="宋体"/>
                <w:kern w:val="2"/>
                <w:sz w:val="18"/>
                <w:szCs w:val="18"/>
                <w:highlight w:val="none"/>
                <w:lang w:val="en-US" w:eastAsia="zh-CN" w:bidi="ar"/>
                <w:woUserID w:val="1"/>
              </w:rPr>
              <w:t>）</w:t>
            </w:r>
          </w:p>
        </w:tc>
        <w:tc>
          <w:tcPr>
            <w:tcW w:w="301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7EC33E5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企业名称</w:t>
            </w:r>
          </w:p>
        </w:tc>
      </w:tr>
      <w:tr w14:paraId="39D2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960703">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1137"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BB29E1">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5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5D6FFC">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6880F2E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河南</w:t>
            </w:r>
          </w:p>
          <w:p w14:paraId="728CC7A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1CDDBE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上海</w:t>
            </w:r>
          </w:p>
          <w:p w14:paraId="3079BE2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7EB4DAB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重庆</w:t>
            </w:r>
          </w:p>
          <w:p w14:paraId="570366A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099DA1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河北</w:t>
            </w:r>
          </w:p>
          <w:p w14:paraId="02B947B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EF51B6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浙江</w:t>
            </w:r>
          </w:p>
          <w:p w14:paraId="0735FC4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6A1B8712">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福建</w:t>
            </w:r>
          </w:p>
          <w:p w14:paraId="41251F3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销售</w:t>
            </w:r>
          </w:p>
        </w:tc>
      </w:tr>
      <w:tr w14:paraId="714E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5" w:type="pct"/>
            <w:vMerge w:val="restart"/>
            <w:tcBorders>
              <w:top w:val="nil"/>
              <w:left w:val="single" w:color="auto" w:sz="4" w:space="0"/>
              <w:bottom w:val="single" w:color="auto" w:sz="4" w:space="0"/>
              <w:right w:val="single" w:color="auto" w:sz="4" w:space="0"/>
            </w:tcBorders>
            <w:shd w:val="clear" w:color="auto" w:fill="auto"/>
            <w:vAlign w:val="center"/>
          </w:tcPr>
          <w:p w14:paraId="569532EF">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1</w:t>
            </w:r>
          </w:p>
        </w:tc>
        <w:tc>
          <w:tcPr>
            <w:tcW w:w="464" w:type="pct"/>
            <w:vMerge w:val="restart"/>
            <w:tcBorders>
              <w:top w:val="nil"/>
              <w:left w:val="single" w:color="auto" w:sz="4" w:space="0"/>
              <w:bottom w:val="single" w:color="auto" w:sz="4" w:space="0"/>
              <w:right w:val="single" w:color="auto" w:sz="4" w:space="0"/>
            </w:tcBorders>
            <w:shd w:val="clear" w:color="auto" w:fill="auto"/>
            <w:vAlign w:val="center"/>
          </w:tcPr>
          <w:p w14:paraId="3D13B47A">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实验台高（</w:t>
            </w:r>
            <w:r>
              <w:rPr>
                <w:rFonts w:hint="default" w:ascii="Calibri" w:hAnsi="Calibri" w:eastAsia="宋体" w:cs="Calibri"/>
                <w:kern w:val="2"/>
                <w:sz w:val="18"/>
                <w:szCs w:val="18"/>
                <w:highlight w:val="none"/>
                <w:lang w:val="en-US" w:eastAsia="zh-CN" w:bidi="ar"/>
                <w:woUserID w:val="1"/>
              </w:rPr>
              <w:t>h</w:t>
            </w:r>
            <w:r>
              <w:rPr>
                <w:rFonts w:hint="default" w:ascii="Calibri" w:hAnsi="Calibri" w:eastAsia="宋体" w:cs="Calibri"/>
                <w:kern w:val="2"/>
                <w:sz w:val="18"/>
                <w:szCs w:val="18"/>
                <w:highlight w:val="none"/>
                <w:vertAlign w:val="subscript"/>
                <w:lang w:val="en-US" w:eastAsia="zh-CN" w:bidi="ar"/>
                <w:woUserID w:val="1"/>
              </w:rPr>
              <w:t>1</w:t>
            </w:r>
            <w:r>
              <w:rPr>
                <w:rFonts w:hint="eastAsia" w:ascii="宋体" w:hAnsi="宋体" w:eastAsia="宋体" w:cs="宋体"/>
                <w:kern w:val="2"/>
                <w:sz w:val="18"/>
                <w:szCs w:val="18"/>
                <w:highlight w:val="none"/>
                <w:lang w:val="en-US" w:eastAsia="zh-CN" w:bidi="ar"/>
                <w:woUserID w:val="1"/>
              </w:rPr>
              <w:t>）</w:t>
            </w:r>
          </w:p>
        </w:tc>
        <w:tc>
          <w:tcPr>
            <w:tcW w:w="672" w:type="pct"/>
            <w:tcBorders>
              <w:top w:val="single" w:color="auto" w:sz="4" w:space="0"/>
              <w:left w:val="single" w:color="auto" w:sz="4" w:space="0"/>
              <w:bottom w:val="single" w:color="auto" w:sz="4" w:space="0"/>
              <w:right w:val="single" w:color="auto" w:sz="4" w:space="0"/>
            </w:tcBorders>
            <w:shd w:val="clear" w:color="auto" w:fill="auto"/>
            <w:vAlign w:val="center"/>
          </w:tcPr>
          <w:p w14:paraId="3AA0548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坐姿</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083542B3">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760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96863E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6FCDB65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FC4A7E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CD351F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ECE931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7C6A9E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28FA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Borders>
              <w:top w:val="nil"/>
              <w:left w:val="single" w:color="auto" w:sz="4" w:space="0"/>
              <w:bottom w:val="single" w:color="auto" w:sz="4" w:space="0"/>
              <w:right w:val="single" w:color="auto" w:sz="4" w:space="0"/>
            </w:tcBorders>
            <w:shd w:val="clear" w:color="auto" w:fill="auto"/>
            <w:vAlign w:val="center"/>
          </w:tcPr>
          <w:p w14:paraId="432F78F9">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464" w:type="pct"/>
            <w:vMerge w:val="continue"/>
            <w:tcBorders>
              <w:top w:val="nil"/>
              <w:left w:val="single" w:color="auto" w:sz="4" w:space="0"/>
              <w:bottom w:val="single" w:color="auto" w:sz="4" w:space="0"/>
              <w:right w:val="single" w:color="auto" w:sz="4" w:space="0"/>
            </w:tcBorders>
            <w:shd w:val="clear" w:color="auto" w:fill="auto"/>
            <w:vAlign w:val="center"/>
          </w:tcPr>
          <w:p w14:paraId="7C11075B">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672" w:type="pct"/>
            <w:tcBorders>
              <w:top w:val="single" w:color="auto" w:sz="4" w:space="0"/>
              <w:left w:val="single" w:color="auto" w:sz="4" w:space="0"/>
              <w:bottom w:val="single" w:color="auto" w:sz="4" w:space="0"/>
              <w:right w:val="single" w:color="auto" w:sz="4" w:space="0"/>
            </w:tcBorders>
            <w:shd w:val="clear" w:color="auto" w:fill="auto"/>
            <w:vAlign w:val="center"/>
          </w:tcPr>
          <w:p w14:paraId="76A55A7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立姿</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7CDD068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900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77060C8C">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64B0E1B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3A15B4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14A43F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95D188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ABF37CB">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0E0B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28557E66">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2</w:t>
            </w:r>
          </w:p>
        </w:tc>
        <w:tc>
          <w:tcPr>
            <w:tcW w:w="113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73516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实验台置物架高（</w:t>
            </w:r>
            <w:r>
              <w:rPr>
                <w:rFonts w:hint="default" w:ascii="Calibri" w:hAnsi="Calibri" w:eastAsia="宋体" w:cs="Calibri"/>
                <w:kern w:val="2"/>
                <w:sz w:val="18"/>
                <w:szCs w:val="18"/>
                <w:highlight w:val="none"/>
                <w:lang w:val="en-US" w:eastAsia="zh-CN" w:bidi="ar"/>
                <w:woUserID w:val="1"/>
              </w:rPr>
              <w:t>h</w:t>
            </w:r>
            <w:r>
              <w:rPr>
                <w:rFonts w:hint="default" w:ascii="Calibri" w:hAnsi="Calibri" w:eastAsia="宋体" w:cs="Calibri"/>
                <w:kern w:val="2"/>
                <w:sz w:val="18"/>
                <w:szCs w:val="18"/>
                <w:highlight w:val="none"/>
                <w:vertAlign w:val="subscript"/>
                <w:lang w:val="en-US" w:eastAsia="zh-CN" w:bidi="ar"/>
                <w:woUserID w:val="1"/>
              </w:rPr>
              <w:t>2</w:t>
            </w:r>
            <w:r>
              <w:rPr>
                <w:rFonts w:hint="eastAsia" w:ascii="宋体" w:hAnsi="宋体" w:eastAsia="宋体" w:cs="宋体"/>
                <w:kern w:val="2"/>
                <w:sz w:val="18"/>
                <w:szCs w:val="18"/>
                <w:highlight w:val="none"/>
                <w:lang w:val="en-US" w:eastAsia="zh-CN" w:bidi="ar"/>
                <w:woUserID w:val="1"/>
              </w:rPr>
              <w:t>）</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1DEBD1ED">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 xml:space="preserve">≤1 </w:t>
            </w:r>
            <w:r>
              <w:rPr>
                <w:rFonts w:hint="default" w:ascii="Calibri" w:hAnsi="Calibri" w:eastAsia="宋体" w:cs="Calibri"/>
                <w:kern w:val="2"/>
                <w:sz w:val="18"/>
                <w:szCs w:val="18"/>
                <w:highlight w:val="none"/>
                <w:lang w:val="en-US" w:eastAsia="zh-CN" w:bidi="ar"/>
                <w:woUserID w:val="1"/>
              </w:rPr>
              <w:t>750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8F7727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25EEF20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B05816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CAC34CD">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21A521B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3C501F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1715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57BD7187">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3</w:t>
            </w:r>
          </w:p>
        </w:tc>
        <w:tc>
          <w:tcPr>
            <w:tcW w:w="113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770DC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实验台面净深（</w:t>
            </w:r>
            <w:r>
              <w:rPr>
                <w:rFonts w:hint="default" w:ascii="Calibri" w:hAnsi="Calibri" w:eastAsia="宋体" w:cs="Calibri"/>
                <w:kern w:val="2"/>
                <w:sz w:val="18"/>
                <w:szCs w:val="18"/>
                <w:highlight w:val="none"/>
                <w:lang w:val="en-US" w:eastAsia="zh-CN" w:bidi="ar"/>
                <w:woUserID w:val="1"/>
              </w:rPr>
              <w:t>d</w:t>
            </w:r>
            <w:r>
              <w:rPr>
                <w:rFonts w:hint="default" w:ascii="Calibri" w:hAnsi="Calibri" w:eastAsia="宋体" w:cs="Calibri"/>
                <w:kern w:val="2"/>
                <w:sz w:val="18"/>
                <w:szCs w:val="18"/>
                <w:highlight w:val="none"/>
                <w:vertAlign w:val="subscript"/>
                <w:lang w:val="en-US" w:eastAsia="zh-CN" w:bidi="ar"/>
                <w:woUserID w:val="1"/>
              </w:rPr>
              <w:t>1</w:t>
            </w:r>
            <w:r>
              <w:rPr>
                <w:rFonts w:hint="eastAsia" w:ascii="宋体" w:hAnsi="宋体" w:eastAsia="宋体" w:cs="宋体"/>
                <w:kern w:val="2"/>
                <w:sz w:val="18"/>
                <w:szCs w:val="18"/>
                <w:highlight w:val="none"/>
                <w:lang w:val="en-US" w:eastAsia="zh-CN" w:bidi="ar"/>
                <w:woUserID w:val="1"/>
              </w:rPr>
              <w:t>）</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6587063F">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600</w:t>
            </w: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900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7C4DDFB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63E694D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983E13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38EB60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26CB76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5941A2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43E8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0FBB4481">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4</w:t>
            </w:r>
          </w:p>
        </w:tc>
        <w:tc>
          <w:tcPr>
            <w:tcW w:w="464" w:type="pct"/>
            <w:vMerge w:val="restart"/>
            <w:tcBorders>
              <w:top w:val="nil"/>
              <w:left w:val="single" w:color="auto" w:sz="4" w:space="0"/>
              <w:bottom w:val="single" w:color="auto" w:sz="4" w:space="0"/>
              <w:right w:val="single" w:color="auto" w:sz="4" w:space="0"/>
            </w:tcBorders>
            <w:shd w:val="clear" w:color="auto" w:fill="auto"/>
            <w:vAlign w:val="center"/>
          </w:tcPr>
          <w:p w14:paraId="70028D1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容腿</w:t>
            </w:r>
          </w:p>
          <w:p w14:paraId="1B57E60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空间</w:t>
            </w:r>
          </w:p>
        </w:tc>
        <w:tc>
          <w:tcPr>
            <w:tcW w:w="672" w:type="pct"/>
            <w:tcBorders>
              <w:top w:val="single" w:color="auto" w:sz="4" w:space="0"/>
              <w:left w:val="single" w:color="auto" w:sz="4" w:space="0"/>
              <w:bottom w:val="single" w:color="auto" w:sz="4" w:space="0"/>
              <w:right w:val="single" w:color="auto" w:sz="4" w:space="0"/>
            </w:tcBorders>
            <w:shd w:val="clear" w:color="auto" w:fill="auto"/>
            <w:vAlign w:val="center"/>
          </w:tcPr>
          <w:p w14:paraId="2ED4672D">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前净高（</w:t>
            </w:r>
            <w:r>
              <w:rPr>
                <w:rFonts w:hint="default" w:ascii="Calibri" w:hAnsi="Calibri" w:eastAsia="宋体" w:cs="Calibri"/>
                <w:kern w:val="2"/>
                <w:sz w:val="18"/>
                <w:szCs w:val="18"/>
                <w:highlight w:val="none"/>
                <w:lang w:val="en-US" w:eastAsia="zh-CN" w:bidi="ar"/>
                <w:woUserID w:val="1"/>
              </w:rPr>
              <w:t>h</w:t>
            </w:r>
            <w:r>
              <w:rPr>
                <w:rFonts w:hint="default" w:ascii="Calibri" w:hAnsi="Calibri" w:eastAsia="宋体" w:cs="Calibri"/>
                <w:kern w:val="2"/>
                <w:sz w:val="18"/>
                <w:szCs w:val="18"/>
                <w:highlight w:val="none"/>
                <w:vertAlign w:val="subscript"/>
                <w:lang w:val="en-US" w:eastAsia="zh-CN" w:bidi="ar"/>
                <w:woUserID w:val="1"/>
              </w:rPr>
              <w:t>3</w:t>
            </w:r>
            <w:r>
              <w:rPr>
                <w:rFonts w:hint="eastAsia" w:ascii="宋体" w:hAnsi="宋体" w:eastAsia="宋体" w:cs="宋体"/>
                <w:kern w:val="2"/>
                <w:sz w:val="18"/>
                <w:szCs w:val="18"/>
                <w:highlight w:val="none"/>
                <w:lang w:val="en-US" w:eastAsia="zh-CN" w:bidi="ar"/>
                <w:woUserID w:val="1"/>
              </w:rPr>
              <w:t>）</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6248C7F6">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580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A6DFED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2FEAF4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187764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48337B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2EBF614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48CF72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106C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7057ABC6">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5</w:t>
            </w:r>
          </w:p>
        </w:tc>
        <w:tc>
          <w:tcPr>
            <w:tcW w:w="464" w:type="pct"/>
            <w:vMerge w:val="continue"/>
            <w:tcBorders>
              <w:top w:val="nil"/>
              <w:left w:val="single" w:color="auto" w:sz="4" w:space="0"/>
              <w:bottom w:val="single" w:color="auto" w:sz="4" w:space="0"/>
              <w:right w:val="single" w:color="auto" w:sz="4" w:space="0"/>
            </w:tcBorders>
            <w:shd w:val="clear" w:color="auto" w:fill="auto"/>
            <w:vAlign w:val="center"/>
          </w:tcPr>
          <w:p w14:paraId="631F7024">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672" w:type="pct"/>
            <w:tcBorders>
              <w:top w:val="single" w:color="auto" w:sz="4" w:space="0"/>
              <w:left w:val="single" w:color="auto" w:sz="4" w:space="0"/>
              <w:bottom w:val="single" w:color="auto" w:sz="4" w:space="0"/>
              <w:right w:val="single" w:color="auto" w:sz="4" w:space="0"/>
            </w:tcBorders>
            <w:shd w:val="clear" w:color="auto" w:fill="auto"/>
            <w:vAlign w:val="center"/>
          </w:tcPr>
          <w:p w14:paraId="30675FA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后净高（</w:t>
            </w:r>
            <w:r>
              <w:rPr>
                <w:rFonts w:hint="default" w:ascii="Calibri" w:hAnsi="Calibri" w:eastAsia="宋体" w:cs="Calibri"/>
                <w:kern w:val="2"/>
                <w:sz w:val="18"/>
                <w:szCs w:val="18"/>
                <w:highlight w:val="none"/>
                <w:lang w:val="en-US" w:eastAsia="zh-CN" w:bidi="ar"/>
                <w:woUserID w:val="1"/>
              </w:rPr>
              <w:t>h</w:t>
            </w:r>
            <w:r>
              <w:rPr>
                <w:rFonts w:hint="default" w:ascii="Calibri" w:hAnsi="Calibri" w:eastAsia="宋体" w:cs="Calibri"/>
                <w:kern w:val="2"/>
                <w:sz w:val="18"/>
                <w:szCs w:val="18"/>
                <w:highlight w:val="none"/>
                <w:vertAlign w:val="subscript"/>
                <w:lang w:val="en-US" w:eastAsia="zh-CN" w:bidi="ar"/>
                <w:woUserID w:val="1"/>
              </w:rPr>
              <w:t>4</w:t>
            </w:r>
            <w:r>
              <w:rPr>
                <w:rFonts w:hint="eastAsia" w:ascii="宋体" w:hAnsi="宋体" w:eastAsia="宋体" w:cs="宋体"/>
                <w:kern w:val="2"/>
                <w:sz w:val="18"/>
                <w:szCs w:val="18"/>
                <w:highlight w:val="none"/>
                <w:lang w:val="en-US" w:eastAsia="zh-CN" w:bidi="ar"/>
                <w:woUserID w:val="1"/>
              </w:rPr>
              <w:t>）</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024013D8">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565</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F0DD530">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EF536A2">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7683EF1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54C2B7B">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67FAD0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631C7BF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5DD7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7305648B">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6</w:t>
            </w:r>
          </w:p>
        </w:tc>
        <w:tc>
          <w:tcPr>
            <w:tcW w:w="464" w:type="pct"/>
            <w:vMerge w:val="continue"/>
            <w:tcBorders>
              <w:top w:val="nil"/>
              <w:left w:val="single" w:color="auto" w:sz="4" w:space="0"/>
              <w:bottom w:val="single" w:color="auto" w:sz="4" w:space="0"/>
              <w:right w:val="single" w:color="auto" w:sz="4" w:space="0"/>
            </w:tcBorders>
            <w:shd w:val="clear" w:color="auto" w:fill="auto"/>
            <w:vAlign w:val="center"/>
          </w:tcPr>
          <w:p w14:paraId="1A6BD00F">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672" w:type="pct"/>
            <w:tcBorders>
              <w:top w:val="single" w:color="auto" w:sz="4" w:space="0"/>
              <w:left w:val="single" w:color="auto" w:sz="4" w:space="0"/>
              <w:bottom w:val="single" w:color="auto" w:sz="4" w:space="0"/>
              <w:right w:val="single" w:color="auto" w:sz="4" w:space="0"/>
            </w:tcBorders>
            <w:shd w:val="clear" w:color="auto" w:fill="auto"/>
            <w:vAlign w:val="center"/>
          </w:tcPr>
          <w:p w14:paraId="4AE8076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上净深（</w:t>
            </w:r>
            <w:r>
              <w:rPr>
                <w:rFonts w:hint="default" w:ascii="Calibri" w:hAnsi="Calibri" w:eastAsia="宋体" w:cs="Calibri"/>
                <w:kern w:val="2"/>
                <w:sz w:val="18"/>
                <w:szCs w:val="18"/>
                <w:highlight w:val="none"/>
                <w:lang w:val="en-US" w:eastAsia="zh-CN" w:bidi="ar"/>
                <w:woUserID w:val="1"/>
              </w:rPr>
              <w:t>d</w:t>
            </w:r>
            <w:r>
              <w:rPr>
                <w:rFonts w:hint="default" w:ascii="Calibri" w:hAnsi="Calibri" w:eastAsia="宋体" w:cs="Calibri"/>
                <w:kern w:val="2"/>
                <w:sz w:val="18"/>
                <w:szCs w:val="18"/>
                <w:highlight w:val="none"/>
                <w:vertAlign w:val="subscript"/>
                <w:lang w:val="en-US" w:eastAsia="zh-CN" w:bidi="ar"/>
                <w:woUserID w:val="1"/>
              </w:rPr>
              <w:t>2</w:t>
            </w:r>
            <w:r>
              <w:rPr>
                <w:rFonts w:hint="eastAsia" w:ascii="宋体" w:hAnsi="宋体" w:eastAsia="宋体" w:cs="宋体"/>
                <w:kern w:val="2"/>
                <w:sz w:val="18"/>
                <w:szCs w:val="18"/>
                <w:highlight w:val="none"/>
                <w:lang w:val="en-US" w:eastAsia="zh-CN" w:bidi="ar"/>
                <w:woUserID w:val="1"/>
              </w:rPr>
              <w:t>）</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05C4C7BB">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400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92C731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6CC680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2706AD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54925B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38661F0">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CFAEE7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2DC7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38B1CC9E">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7</w:t>
            </w:r>
          </w:p>
        </w:tc>
        <w:tc>
          <w:tcPr>
            <w:tcW w:w="464" w:type="pct"/>
            <w:vMerge w:val="continue"/>
            <w:tcBorders>
              <w:top w:val="nil"/>
              <w:left w:val="single" w:color="auto" w:sz="4" w:space="0"/>
              <w:bottom w:val="single" w:color="auto" w:sz="4" w:space="0"/>
              <w:right w:val="single" w:color="auto" w:sz="4" w:space="0"/>
            </w:tcBorders>
            <w:shd w:val="clear" w:color="auto" w:fill="auto"/>
            <w:vAlign w:val="center"/>
          </w:tcPr>
          <w:p w14:paraId="4DCE7A52">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672" w:type="pct"/>
            <w:tcBorders>
              <w:top w:val="single" w:color="auto" w:sz="4" w:space="0"/>
              <w:left w:val="single" w:color="auto" w:sz="4" w:space="0"/>
              <w:bottom w:val="single" w:color="auto" w:sz="4" w:space="0"/>
              <w:right w:val="single" w:color="auto" w:sz="4" w:space="0"/>
            </w:tcBorders>
            <w:shd w:val="clear" w:color="auto" w:fill="auto"/>
            <w:vAlign w:val="center"/>
          </w:tcPr>
          <w:p w14:paraId="12DB91E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下净深（</w:t>
            </w:r>
            <w:r>
              <w:rPr>
                <w:rFonts w:hint="default" w:ascii="Calibri" w:hAnsi="Calibri" w:eastAsia="宋体" w:cs="Calibri"/>
                <w:kern w:val="2"/>
                <w:sz w:val="18"/>
                <w:szCs w:val="18"/>
                <w:highlight w:val="none"/>
                <w:lang w:val="en-US" w:eastAsia="zh-CN" w:bidi="ar"/>
                <w:woUserID w:val="1"/>
              </w:rPr>
              <w:t>d</w:t>
            </w:r>
            <w:r>
              <w:rPr>
                <w:rFonts w:hint="default" w:ascii="Calibri" w:hAnsi="Calibri" w:eastAsia="宋体" w:cs="Calibri"/>
                <w:kern w:val="2"/>
                <w:sz w:val="18"/>
                <w:szCs w:val="18"/>
                <w:highlight w:val="none"/>
                <w:vertAlign w:val="subscript"/>
                <w:lang w:val="en-US" w:eastAsia="zh-CN" w:bidi="ar"/>
                <w:woUserID w:val="1"/>
              </w:rPr>
              <w:t>3</w:t>
            </w:r>
            <w:r>
              <w:rPr>
                <w:rFonts w:hint="eastAsia" w:ascii="宋体" w:hAnsi="宋体" w:eastAsia="宋体" w:cs="宋体"/>
                <w:kern w:val="2"/>
                <w:sz w:val="18"/>
                <w:szCs w:val="18"/>
                <w:highlight w:val="none"/>
                <w:lang w:val="en-US" w:eastAsia="zh-CN" w:bidi="ar"/>
                <w:woUserID w:val="1"/>
              </w:rPr>
              <w:t>）</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28594CD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500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688328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B634FF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D94B1C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3B8B189">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21F026A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7F727C5B">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2297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tcBorders>
              <w:top w:val="nil"/>
              <w:left w:val="single" w:color="auto" w:sz="4" w:space="0"/>
              <w:bottom w:val="single" w:color="auto" w:sz="4" w:space="0"/>
              <w:right w:val="single" w:color="auto" w:sz="4" w:space="0"/>
            </w:tcBorders>
            <w:shd w:val="clear" w:color="auto" w:fill="auto"/>
            <w:vAlign w:val="center"/>
          </w:tcPr>
          <w:p w14:paraId="118F5249">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8</w:t>
            </w:r>
          </w:p>
        </w:tc>
        <w:tc>
          <w:tcPr>
            <w:tcW w:w="1137" w:type="pct"/>
            <w:gridSpan w:val="2"/>
            <w:vMerge w:val="restart"/>
            <w:tcBorders>
              <w:top w:val="nil"/>
              <w:left w:val="single" w:color="auto" w:sz="4" w:space="0"/>
              <w:bottom w:val="single" w:color="auto" w:sz="4" w:space="0"/>
              <w:right w:val="single" w:color="auto" w:sz="4" w:space="0"/>
            </w:tcBorders>
            <w:shd w:val="clear" w:color="auto" w:fill="auto"/>
            <w:vAlign w:val="center"/>
          </w:tcPr>
          <w:p w14:paraId="356DB2FB">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容腿空间净宽（</w:t>
            </w:r>
            <w:r>
              <w:rPr>
                <w:rFonts w:hint="default" w:ascii="Calibri" w:hAnsi="Calibri" w:eastAsia="宋体" w:cs="Calibri"/>
                <w:kern w:val="2"/>
                <w:sz w:val="18"/>
                <w:szCs w:val="18"/>
                <w:highlight w:val="none"/>
                <w:lang w:val="en-US" w:eastAsia="zh-CN" w:bidi="ar"/>
                <w:woUserID w:val="1"/>
              </w:rPr>
              <w:t>w</w:t>
            </w:r>
            <w:r>
              <w:rPr>
                <w:rFonts w:hint="eastAsia" w:ascii="宋体" w:hAnsi="宋体" w:eastAsia="宋体" w:cs="宋体"/>
                <w:kern w:val="2"/>
                <w:sz w:val="18"/>
                <w:szCs w:val="18"/>
                <w:highlight w:val="none"/>
                <w:lang w:val="en-US" w:eastAsia="zh-CN" w:bidi="ar"/>
                <w:woUserID w:val="1"/>
              </w:rPr>
              <w:t>）</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2135006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520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47D600B">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A6A42A9">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7FC2C1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2BC529D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E26C69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B0826ED">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2EA6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Borders>
              <w:top w:val="nil"/>
              <w:left w:val="single" w:color="auto" w:sz="4" w:space="0"/>
              <w:bottom w:val="single" w:color="auto" w:sz="4" w:space="0"/>
              <w:right w:val="single" w:color="auto" w:sz="4" w:space="0"/>
            </w:tcBorders>
            <w:shd w:val="clear" w:color="auto" w:fill="auto"/>
            <w:vAlign w:val="center"/>
          </w:tcPr>
          <w:p w14:paraId="2D48B5DE">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1137" w:type="pct"/>
            <w:gridSpan w:val="2"/>
            <w:vMerge w:val="continue"/>
            <w:tcBorders>
              <w:top w:val="nil"/>
              <w:left w:val="single" w:color="auto" w:sz="4" w:space="0"/>
              <w:bottom w:val="single" w:color="auto" w:sz="4" w:space="0"/>
              <w:right w:val="single" w:color="auto" w:sz="4" w:space="0"/>
            </w:tcBorders>
            <w:shd w:val="clear" w:color="auto" w:fill="auto"/>
            <w:vAlign w:val="center"/>
          </w:tcPr>
          <w:p w14:paraId="6DD4C1A9">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5E2C3C6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790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B36401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7241E42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27152C4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FF17DC9">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2D19B49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95228E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312F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39D0E0AD">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9</w:t>
            </w:r>
          </w:p>
        </w:tc>
        <w:tc>
          <w:tcPr>
            <w:tcW w:w="113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65B1C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容膝空间净宽（</w:t>
            </w:r>
            <w:r>
              <w:rPr>
                <w:rFonts w:hint="default" w:ascii="Calibri" w:hAnsi="Calibri" w:eastAsia="宋体" w:cs="Calibri"/>
                <w:kern w:val="2"/>
                <w:sz w:val="18"/>
                <w:szCs w:val="18"/>
                <w:highlight w:val="none"/>
                <w:lang w:val="en-US" w:eastAsia="zh-CN" w:bidi="ar"/>
                <w:woUserID w:val="1"/>
              </w:rPr>
              <w:t>w</w:t>
            </w:r>
            <w:r>
              <w:rPr>
                <w:rFonts w:hint="eastAsia" w:ascii="宋体" w:hAnsi="宋体" w:eastAsia="宋体" w:cs="宋体"/>
                <w:kern w:val="2"/>
                <w:sz w:val="18"/>
                <w:szCs w:val="18"/>
                <w:highlight w:val="none"/>
                <w:lang w:val="en-US" w:eastAsia="zh-CN" w:bidi="ar"/>
                <w:woUserID w:val="1"/>
              </w:rPr>
              <w:t>）</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2541129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700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73E3B7E0">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ADDAD4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20C2D3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2FD1757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1A6009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012BA5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1BF4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05918800">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10</w:t>
            </w:r>
          </w:p>
        </w:tc>
        <w:tc>
          <w:tcPr>
            <w:tcW w:w="113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90D27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容膝空间净宽（</w:t>
            </w:r>
            <w:r>
              <w:rPr>
                <w:rFonts w:hint="default" w:ascii="Calibri" w:hAnsi="Calibri" w:eastAsia="宋体" w:cs="Calibri"/>
                <w:kern w:val="2"/>
                <w:sz w:val="18"/>
                <w:szCs w:val="18"/>
                <w:highlight w:val="none"/>
                <w:lang w:val="en-US" w:eastAsia="zh-CN" w:bidi="ar"/>
                <w:woUserID w:val="1"/>
              </w:rPr>
              <w:t>w</w:t>
            </w:r>
            <w:r>
              <w:rPr>
                <w:rFonts w:hint="eastAsia" w:ascii="宋体" w:hAnsi="宋体" w:eastAsia="宋体" w:cs="宋体"/>
                <w:kern w:val="2"/>
                <w:sz w:val="18"/>
                <w:szCs w:val="18"/>
                <w:highlight w:val="none"/>
                <w:lang w:val="en-US" w:eastAsia="zh-CN" w:bidi="ar"/>
                <w:woUserID w:val="1"/>
              </w:rPr>
              <w:t>）</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11CFF80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80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3EE0E5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867162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65E6E74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62C7CB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7263B6BB">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7F0EEF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default" w:ascii="Arial" w:hAnsi="Arial" w:eastAsia="宋体" w:cs="Arial"/>
                <w:kern w:val="2"/>
                <w:sz w:val="18"/>
                <w:szCs w:val="18"/>
                <w:highlight w:val="none"/>
                <w:lang w:val="en-US" w:eastAsia="zh-CN" w:bidi="ar"/>
                <w:woUserID w:val="1"/>
              </w:rPr>
              <w:t>×</w:t>
            </w:r>
          </w:p>
        </w:tc>
      </w:tr>
      <w:tr w14:paraId="73C4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7496E30F">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11</w:t>
            </w:r>
          </w:p>
        </w:tc>
        <w:tc>
          <w:tcPr>
            <w:tcW w:w="113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586F7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容足空间净宽（</w:t>
            </w:r>
            <w:r>
              <w:rPr>
                <w:rFonts w:hint="default" w:ascii="Calibri" w:hAnsi="Calibri" w:eastAsia="宋体" w:cs="Calibri"/>
                <w:kern w:val="2"/>
                <w:sz w:val="18"/>
                <w:szCs w:val="18"/>
                <w:highlight w:val="none"/>
                <w:lang w:val="en-US" w:eastAsia="zh-CN" w:bidi="ar"/>
                <w:woUserID w:val="1"/>
              </w:rPr>
              <w:t>w</w:t>
            </w:r>
            <w:r>
              <w:rPr>
                <w:rFonts w:hint="eastAsia" w:ascii="宋体" w:hAnsi="宋体" w:eastAsia="宋体" w:cs="宋体"/>
                <w:kern w:val="2"/>
                <w:sz w:val="18"/>
                <w:szCs w:val="18"/>
                <w:highlight w:val="none"/>
                <w:lang w:val="en-US" w:eastAsia="zh-CN" w:bidi="ar"/>
                <w:woUserID w:val="1"/>
              </w:rPr>
              <w:t>）</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2916003D">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120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AD94FE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4E62D9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33BBCE2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1FEB707B">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E5FEFF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662966B">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4F2A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7AE94326">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12</w:t>
            </w:r>
          </w:p>
        </w:tc>
        <w:tc>
          <w:tcPr>
            <w:tcW w:w="113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7B97ED">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容足空间净宽（</w:t>
            </w:r>
            <w:r>
              <w:rPr>
                <w:rFonts w:hint="default" w:ascii="Calibri" w:hAnsi="Calibri" w:eastAsia="宋体" w:cs="Calibri"/>
                <w:kern w:val="2"/>
                <w:sz w:val="18"/>
                <w:szCs w:val="18"/>
                <w:highlight w:val="none"/>
                <w:lang w:val="en-US" w:eastAsia="zh-CN" w:bidi="ar"/>
                <w:woUserID w:val="1"/>
              </w:rPr>
              <w:t>w</w:t>
            </w:r>
            <w:r>
              <w:rPr>
                <w:rFonts w:hint="eastAsia" w:ascii="宋体" w:hAnsi="宋体" w:eastAsia="宋体" w:cs="宋体"/>
                <w:kern w:val="2"/>
                <w:sz w:val="18"/>
                <w:szCs w:val="18"/>
                <w:highlight w:val="none"/>
                <w:lang w:val="en-US" w:eastAsia="zh-CN" w:bidi="ar"/>
                <w:woUserID w:val="1"/>
              </w:rPr>
              <w:t>）</w:t>
            </w:r>
          </w:p>
        </w:tc>
        <w:tc>
          <w:tcPr>
            <w:tcW w:w="583" w:type="pct"/>
            <w:tcBorders>
              <w:top w:val="single" w:color="auto" w:sz="4" w:space="0"/>
              <w:left w:val="single" w:color="auto" w:sz="4" w:space="0"/>
              <w:bottom w:val="single" w:color="auto" w:sz="4" w:space="0"/>
              <w:right w:val="single" w:color="auto" w:sz="4" w:space="0"/>
            </w:tcBorders>
            <w:shd w:val="clear" w:color="auto" w:fill="auto"/>
            <w:vAlign w:val="center"/>
          </w:tcPr>
          <w:p w14:paraId="3DBD686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r>
              <w:rPr>
                <w:rFonts w:hint="default" w:ascii="Calibri" w:hAnsi="Calibri" w:eastAsia="宋体" w:cs="Calibri"/>
                <w:kern w:val="2"/>
                <w:sz w:val="18"/>
                <w:szCs w:val="18"/>
                <w:highlight w:val="none"/>
                <w:lang w:val="en-US" w:eastAsia="zh-CN" w:bidi="ar"/>
                <w:woUserID w:val="1"/>
              </w:rPr>
              <w:t>150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C4ADC50">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7012706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E48D290">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6FD3CE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285DBD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019A1CA0">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bl>
    <w:p w14:paraId="4B5F5FB9">
      <w:pPr>
        <w:autoSpaceDE w:val="0"/>
        <w:autoSpaceDN w:val="0"/>
        <w:adjustRightInd w:val="0"/>
        <w:spacing w:line="360" w:lineRule="auto"/>
        <w:ind w:firstLine="480" w:firstLineChars="200"/>
        <w:jc w:val="left"/>
        <w:rPr>
          <w:rFonts w:hint="eastAsia"/>
          <w:sz w:val="24"/>
          <w:szCs w:val="24"/>
          <w:lang w:val="en-US" w:eastAsia="zh-CN"/>
        </w:rPr>
      </w:pPr>
      <w:r>
        <w:rPr>
          <w:rFonts w:hint="eastAsia"/>
          <w:sz w:val="24"/>
          <w:szCs w:val="24"/>
          <w:lang w:val="en-US" w:eastAsia="zh-CN"/>
        </w:rPr>
        <w:t>经统计，个别产品的容膝空间净深不满足要求，其他项均满足要求。容膝空间净深不足，易对操作人员造成伤害。实验舱舱体设计在满足移动特性的基础上，合理布局，突出可操作性、可维护性，满足人机工程学原理。</w:t>
      </w:r>
    </w:p>
    <w:p w14:paraId="35751BF1">
      <w:pPr>
        <w:numPr>
          <w:ilvl w:val="0"/>
          <w:numId w:val="0"/>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4.2 实验舱家具及内装饰</w:t>
      </w:r>
    </w:p>
    <w:p w14:paraId="27CFB1DF">
      <w:pPr>
        <w:spacing w:line="360" w:lineRule="auto"/>
        <w:jc w:val="center"/>
        <w:rPr>
          <w:rFonts w:hint="eastAsia"/>
          <w:sz w:val="24"/>
          <w:szCs w:val="24"/>
          <w:lang w:val="en-US" w:eastAsia="zh-CN"/>
        </w:rPr>
      </w:pPr>
      <w:r>
        <w:rPr>
          <w:rFonts w:hint="eastAsia"/>
          <w:sz w:val="24"/>
          <w:szCs w:val="24"/>
          <w:lang w:val="en-US" w:eastAsia="zh-CN"/>
        </w:rPr>
        <w:t>表五 主要理化性能试验</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4"/>
        <w:gridCol w:w="362"/>
        <w:gridCol w:w="638"/>
        <w:gridCol w:w="637"/>
        <w:gridCol w:w="2488"/>
        <w:gridCol w:w="624"/>
        <w:gridCol w:w="624"/>
        <w:gridCol w:w="624"/>
        <w:gridCol w:w="624"/>
        <w:gridCol w:w="624"/>
        <w:gridCol w:w="624"/>
      </w:tblGrid>
      <w:tr w14:paraId="018F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AE4B31D">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序号</w:t>
            </w:r>
          </w:p>
        </w:tc>
        <w:tc>
          <w:tcPr>
            <w:tcW w:w="100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BE3A89">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检验</w:t>
            </w:r>
          </w:p>
          <w:p w14:paraId="57895A4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项目</w:t>
            </w:r>
          </w:p>
        </w:tc>
        <w:tc>
          <w:tcPr>
            <w:tcW w:w="312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DAF0C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要求</w:t>
            </w:r>
          </w:p>
        </w:tc>
        <w:tc>
          <w:tcPr>
            <w:tcW w:w="374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610FC7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企业名称</w:t>
            </w:r>
          </w:p>
        </w:tc>
      </w:tr>
      <w:tr w14:paraId="52FC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216322">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100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A2F878">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3125"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FB0C9A">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7B95989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河南</w:t>
            </w:r>
          </w:p>
          <w:p w14:paraId="3836CD6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0A20559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上海</w:t>
            </w:r>
          </w:p>
          <w:p w14:paraId="1810C11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38FE74B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重庆</w:t>
            </w:r>
          </w:p>
          <w:p w14:paraId="1F5AEBB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7B2FD87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河北</w:t>
            </w:r>
          </w:p>
          <w:p w14:paraId="6E2F1BC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694412DB">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浙江</w:t>
            </w:r>
          </w:p>
          <w:p w14:paraId="2F6FB4C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0D3A7512">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福建</w:t>
            </w:r>
          </w:p>
          <w:p w14:paraId="0BC0F3C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r>
      <w:tr w14:paraId="6BA7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14:paraId="5A5D9884">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highlight w:val="none"/>
                <w:woUserID w:val="1"/>
              </w:rPr>
            </w:pPr>
            <w:r>
              <w:rPr>
                <w:rFonts w:hint="default" w:ascii="Calibri" w:hAnsi="Calibri" w:eastAsia="宋体" w:cs="Calibri"/>
                <w:kern w:val="2"/>
                <w:sz w:val="21"/>
                <w:szCs w:val="21"/>
                <w:highlight w:val="none"/>
                <w:lang w:val="en-US" w:eastAsia="zh-CN" w:bidi="ar"/>
                <w:woUserID w:val="1"/>
              </w:rPr>
              <w:t>1</w:t>
            </w:r>
          </w:p>
        </w:tc>
        <w:tc>
          <w:tcPr>
            <w:tcW w:w="362" w:type="dxa"/>
            <w:vMerge w:val="restart"/>
            <w:tcBorders>
              <w:top w:val="nil"/>
              <w:left w:val="single" w:color="auto" w:sz="4" w:space="0"/>
              <w:bottom w:val="single" w:color="auto" w:sz="4" w:space="0"/>
              <w:right w:val="single" w:color="auto" w:sz="4" w:space="0"/>
            </w:tcBorders>
            <w:shd w:val="clear" w:color="auto" w:fill="auto"/>
            <w:vAlign w:val="center"/>
          </w:tcPr>
          <w:p w14:paraId="69AC9BB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耐磨性</w:t>
            </w:r>
          </w:p>
        </w:tc>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9C1235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漆膜</w:t>
            </w:r>
          </w:p>
        </w:tc>
        <w:tc>
          <w:tcPr>
            <w:tcW w:w="31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F16F4E">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highlight w:val="none"/>
                <w:woUserID w:val="1"/>
              </w:rPr>
            </w:pPr>
            <w:r>
              <w:rPr>
                <w:rFonts w:hint="default" w:ascii="Calibri" w:hAnsi="Calibri" w:eastAsia="宋体" w:cs="Calibri"/>
                <w:kern w:val="2"/>
                <w:sz w:val="21"/>
                <w:szCs w:val="21"/>
                <w:highlight w:val="none"/>
                <w:lang w:val="en-US" w:eastAsia="zh-CN" w:bidi="ar"/>
                <w:woUserID w:val="1"/>
              </w:rPr>
              <w:t>1000 r</w:t>
            </w:r>
            <w:r>
              <w:rPr>
                <w:rFonts w:hint="eastAsia" w:ascii="宋体" w:hAnsi="宋体" w:eastAsia="宋体" w:cs="宋体"/>
                <w:kern w:val="2"/>
                <w:sz w:val="21"/>
                <w:szCs w:val="21"/>
                <w:highlight w:val="none"/>
                <w:lang w:val="en-US" w:eastAsia="zh-CN" w:bidi="ar"/>
                <w:woUserID w:val="1"/>
              </w:rPr>
              <w:t>不低于</w:t>
            </w:r>
            <w:r>
              <w:rPr>
                <w:rFonts w:hint="default" w:ascii="Calibri" w:hAnsi="Calibri" w:eastAsia="宋体" w:cs="Calibri"/>
                <w:kern w:val="2"/>
                <w:sz w:val="21"/>
                <w:szCs w:val="21"/>
                <w:highlight w:val="none"/>
                <w:lang w:val="en-US" w:eastAsia="zh-CN" w:bidi="ar"/>
                <w:woUserID w:val="1"/>
              </w:rPr>
              <w:t>3</w:t>
            </w:r>
            <w:r>
              <w:rPr>
                <w:rFonts w:hint="eastAsia" w:ascii="宋体" w:hAnsi="宋体" w:eastAsia="宋体" w:cs="宋体"/>
                <w:kern w:val="2"/>
                <w:sz w:val="21"/>
                <w:szCs w:val="21"/>
                <w:highlight w:val="none"/>
                <w:lang w:val="en-US" w:eastAsia="zh-CN" w:bidi="ar"/>
                <w:woUserID w:val="1"/>
              </w:rPr>
              <w:t>级</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5E99E2C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005BB9E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0076640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776CB10B">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21FCB472">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25F1E24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r>
      <w:tr w14:paraId="2102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Borders>
              <w:top w:val="nil"/>
              <w:left w:val="single" w:color="auto" w:sz="4" w:space="0"/>
              <w:bottom w:val="single" w:color="auto" w:sz="4" w:space="0"/>
              <w:right w:val="single" w:color="auto" w:sz="4" w:space="0"/>
            </w:tcBorders>
            <w:shd w:val="clear" w:color="auto" w:fill="auto"/>
            <w:vAlign w:val="center"/>
          </w:tcPr>
          <w:p w14:paraId="357FCDA6">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highlight w:val="none"/>
                <w:woUserID w:val="1"/>
              </w:rPr>
            </w:pPr>
            <w:r>
              <w:rPr>
                <w:rFonts w:hint="default" w:ascii="Calibri" w:hAnsi="Calibri" w:eastAsia="宋体" w:cs="Calibri"/>
                <w:kern w:val="2"/>
                <w:sz w:val="21"/>
                <w:szCs w:val="21"/>
                <w:highlight w:val="none"/>
                <w:lang w:val="en-US" w:eastAsia="zh-CN" w:bidi="ar"/>
                <w:woUserID w:val="1"/>
              </w:rPr>
              <w:t>2</w:t>
            </w:r>
          </w:p>
        </w:tc>
        <w:tc>
          <w:tcPr>
            <w:tcW w:w="362" w:type="dxa"/>
            <w:vMerge w:val="continue"/>
            <w:tcBorders>
              <w:top w:val="nil"/>
              <w:left w:val="single" w:color="auto" w:sz="4" w:space="0"/>
              <w:bottom w:val="single" w:color="auto" w:sz="4" w:space="0"/>
              <w:right w:val="single" w:color="auto" w:sz="4" w:space="0"/>
            </w:tcBorders>
            <w:shd w:val="clear" w:color="auto" w:fill="auto"/>
            <w:vAlign w:val="center"/>
          </w:tcPr>
          <w:p w14:paraId="36CF8CFF">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FEC453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硬质</w:t>
            </w:r>
          </w:p>
        </w:tc>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4DB337D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图案</w:t>
            </w:r>
          </w:p>
        </w:tc>
        <w:tc>
          <w:tcPr>
            <w:tcW w:w="2488" w:type="dxa"/>
            <w:tcBorders>
              <w:top w:val="single" w:color="auto" w:sz="4" w:space="0"/>
              <w:left w:val="single" w:color="auto" w:sz="4" w:space="0"/>
              <w:bottom w:val="single" w:color="auto" w:sz="4" w:space="0"/>
              <w:right w:val="single" w:color="auto" w:sz="4" w:space="0"/>
            </w:tcBorders>
            <w:shd w:val="clear" w:color="auto" w:fill="auto"/>
            <w:vAlign w:val="center"/>
          </w:tcPr>
          <w:p w14:paraId="04CB2A21">
            <w:pPr>
              <w:keepNext w:val="0"/>
              <w:keepLines w:val="0"/>
              <w:widowControl w:val="0"/>
              <w:suppressLineNumbers w:val="0"/>
              <w:spacing w:before="0" w:beforeAutospacing="0" w:after="0" w:afterAutospacing="0"/>
              <w:ind w:left="0" w:right="0"/>
              <w:jc w:val="left"/>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磨</w:t>
            </w:r>
            <w:r>
              <w:rPr>
                <w:rFonts w:hint="default" w:ascii="Calibri" w:hAnsi="Calibri" w:eastAsia="宋体" w:cs="Calibri"/>
                <w:kern w:val="2"/>
                <w:sz w:val="21"/>
                <w:szCs w:val="21"/>
                <w:highlight w:val="none"/>
                <w:lang w:val="en-US" w:eastAsia="zh-CN" w:bidi="ar"/>
                <w:woUserID w:val="1"/>
              </w:rPr>
              <w:t>100r</w:t>
            </w:r>
            <w:r>
              <w:rPr>
                <w:rFonts w:hint="eastAsia" w:ascii="宋体" w:hAnsi="宋体" w:eastAsia="宋体" w:cs="宋体"/>
                <w:kern w:val="2"/>
                <w:sz w:val="21"/>
                <w:szCs w:val="21"/>
                <w:highlight w:val="none"/>
                <w:lang w:val="en-US" w:eastAsia="zh-CN" w:bidi="ar"/>
                <w:woUserID w:val="1"/>
              </w:rPr>
              <w:t>后应保留</w:t>
            </w:r>
            <w:r>
              <w:rPr>
                <w:rFonts w:hint="default" w:ascii="Calibri" w:hAnsi="Calibri" w:eastAsia="宋体" w:cs="Calibri"/>
                <w:kern w:val="2"/>
                <w:sz w:val="21"/>
                <w:szCs w:val="21"/>
                <w:highlight w:val="none"/>
                <w:lang w:val="en-US" w:eastAsia="zh-CN" w:bidi="ar"/>
                <w:woUserID w:val="1"/>
              </w:rPr>
              <w:t>50%</w:t>
            </w:r>
          </w:p>
          <w:p w14:paraId="19EE2A7A">
            <w:pPr>
              <w:keepNext w:val="0"/>
              <w:keepLines w:val="0"/>
              <w:widowControl w:val="0"/>
              <w:suppressLineNumbers w:val="0"/>
              <w:spacing w:before="0" w:beforeAutospacing="0" w:after="0" w:afterAutospacing="0"/>
              <w:ind w:left="0" w:right="0"/>
              <w:jc w:val="left"/>
              <w:rPr>
                <w:rFonts w:hint="default"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以上花纹</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3F1A017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26CB301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3DC6BEF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316E8CA2">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6F75623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2C063BC9">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r>
      <w:tr w14:paraId="14A3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Borders>
              <w:top w:val="nil"/>
              <w:left w:val="single" w:color="auto" w:sz="4" w:space="0"/>
              <w:bottom w:val="single" w:color="auto" w:sz="4" w:space="0"/>
              <w:right w:val="single" w:color="auto" w:sz="4" w:space="0"/>
            </w:tcBorders>
            <w:shd w:val="clear" w:color="auto" w:fill="auto"/>
            <w:vAlign w:val="center"/>
          </w:tcPr>
          <w:p w14:paraId="1A5674FA">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362" w:type="dxa"/>
            <w:vMerge w:val="continue"/>
            <w:tcBorders>
              <w:top w:val="nil"/>
              <w:left w:val="single" w:color="auto" w:sz="4" w:space="0"/>
              <w:bottom w:val="single" w:color="auto" w:sz="4" w:space="0"/>
              <w:right w:val="single" w:color="auto" w:sz="4" w:space="0"/>
            </w:tcBorders>
            <w:shd w:val="clear" w:color="auto" w:fill="auto"/>
            <w:vAlign w:val="center"/>
          </w:tcPr>
          <w:p w14:paraId="2D058E93">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1F5DEA2">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覆面</w:t>
            </w:r>
          </w:p>
        </w:tc>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338E98D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素色</w:t>
            </w:r>
          </w:p>
        </w:tc>
        <w:tc>
          <w:tcPr>
            <w:tcW w:w="2488" w:type="dxa"/>
            <w:tcBorders>
              <w:top w:val="single" w:color="auto" w:sz="4" w:space="0"/>
              <w:left w:val="single" w:color="auto" w:sz="4" w:space="0"/>
              <w:bottom w:val="single" w:color="auto" w:sz="4" w:space="0"/>
              <w:right w:val="single" w:color="auto" w:sz="4" w:space="0"/>
            </w:tcBorders>
            <w:shd w:val="clear" w:color="auto" w:fill="auto"/>
            <w:vAlign w:val="center"/>
          </w:tcPr>
          <w:p w14:paraId="5CE6A5C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磨</w:t>
            </w:r>
            <w:r>
              <w:rPr>
                <w:rFonts w:hint="default" w:ascii="Calibri" w:hAnsi="Calibri" w:eastAsia="宋体" w:cs="Calibri"/>
                <w:kern w:val="2"/>
                <w:sz w:val="21"/>
                <w:szCs w:val="21"/>
                <w:highlight w:val="none"/>
                <w:lang w:val="en-US" w:eastAsia="zh-CN" w:bidi="ar"/>
                <w:woUserID w:val="1"/>
              </w:rPr>
              <w:t>350r</w:t>
            </w:r>
            <w:r>
              <w:rPr>
                <w:rFonts w:hint="eastAsia" w:ascii="宋体" w:hAnsi="宋体" w:eastAsia="宋体" w:cs="宋体"/>
                <w:kern w:val="2"/>
                <w:sz w:val="21"/>
                <w:szCs w:val="21"/>
                <w:highlight w:val="none"/>
                <w:lang w:val="en-US" w:eastAsia="zh-CN" w:bidi="ar"/>
                <w:woUserID w:val="1"/>
              </w:rPr>
              <w:t>后应无露底现象</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43BACA1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19A4956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69696A0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0489C89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06EAE7C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14:paraId="43346A3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w:t>
            </w:r>
          </w:p>
        </w:tc>
      </w:tr>
    </w:tbl>
    <w:p w14:paraId="66FEEA57">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1"/>
          <w:szCs w:val="21"/>
          <w:highlight w:val="yellow"/>
          <w:woUserID w:val="1"/>
        </w:rPr>
      </w:pPr>
      <w:r>
        <w:rPr>
          <w:rFonts w:hint="eastAsia" w:ascii="Calibri" w:hAnsi="Calibri" w:eastAsia="宋体" w:cs="Times New Roman"/>
          <w:kern w:val="2"/>
          <w:sz w:val="21"/>
          <w:szCs w:val="21"/>
          <w:highlight w:val="none"/>
          <w:lang w:val="en-US" w:eastAsia="zh-CN" w:bidi="ar"/>
          <w:woUserID w:val="1"/>
        </w:rPr>
        <w:t xml:space="preserve">    </w:t>
      </w:r>
      <w:r>
        <w:rPr>
          <w:rFonts w:hint="eastAsia"/>
          <w:sz w:val="24"/>
          <w:szCs w:val="24"/>
          <w:highlight w:val="none"/>
          <w:lang w:val="en-US" w:eastAsia="zh-CN"/>
        </w:rPr>
        <w:t>经验证，送检企业均符合要求。舱内装饰材料应平整光滑，不积尘、易清洁，气密性好，不渗透，耐腐蚀，减振不落尘，不破裂，地板耐磨、防滑、防渗漏、易清洗消毒，材料应符合一、二级耐火等级。</w:t>
      </w:r>
    </w:p>
    <w:p w14:paraId="5E3E7CE9">
      <w:pPr>
        <w:numPr>
          <w:ilvl w:val="0"/>
          <w:numId w:val="0"/>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4.3 环境控制能力</w:t>
      </w:r>
    </w:p>
    <w:p w14:paraId="5752F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依据调研和检查的情况</w:t>
      </w:r>
      <w:r>
        <w:rPr>
          <w:rFonts w:hint="default"/>
          <w:sz w:val="24"/>
          <w:szCs w:val="24"/>
          <w:highlight w:val="none"/>
          <w:lang w:val="en-US" w:eastAsia="zh-CN"/>
        </w:rPr>
        <w:t>,</w:t>
      </w:r>
      <w:r>
        <w:rPr>
          <w:rFonts w:hint="eastAsia"/>
          <w:sz w:val="24"/>
          <w:szCs w:val="24"/>
          <w:highlight w:val="none"/>
          <w:lang w:val="en-US" w:eastAsia="zh-CN"/>
        </w:rPr>
        <w:t>发现大多数石油产品质量检测移动实验室在建设时</w:t>
      </w:r>
      <w:r>
        <w:rPr>
          <w:rFonts w:hint="default"/>
          <w:sz w:val="24"/>
          <w:szCs w:val="24"/>
          <w:highlight w:val="none"/>
          <w:lang w:val="en-US" w:eastAsia="zh-CN"/>
        </w:rPr>
        <w:t>,</w:t>
      </w:r>
      <w:r>
        <w:rPr>
          <w:rFonts w:hint="eastAsia"/>
          <w:sz w:val="24"/>
          <w:szCs w:val="24"/>
          <w:highlight w:val="none"/>
          <w:lang w:val="en-US" w:eastAsia="zh-CN"/>
        </w:rPr>
        <w:t>并未进行合理分区布局</w:t>
      </w:r>
      <w:r>
        <w:rPr>
          <w:rFonts w:hint="default"/>
          <w:sz w:val="24"/>
          <w:szCs w:val="24"/>
          <w:highlight w:val="none"/>
          <w:lang w:val="en-US" w:eastAsia="zh-CN"/>
        </w:rPr>
        <w:t>,</w:t>
      </w:r>
      <w:r>
        <w:rPr>
          <w:rFonts w:hint="eastAsia"/>
          <w:sz w:val="24"/>
          <w:szCs w:val="24"/>
          <w:highlight w:val="none"/>
          <w:lang w:val="en-US" w:eastAsia="zh-CN"/>
        </w:rPr>
        <w:t>例如样品前处理区与洗涤区、制样区等混用，导致交叉污染；办公区和实验区混用，严重干扰检测；多数移动实验室未配备有效的通风排气设施，设备简陋，不满足检测条件。移动实验室空间布局科学、合理，才能有效防止交叉污染，确保检测结果准确，排除不必要的影响。移动实验室无论检测场地规模大小，均应根据开展的检测项目要求的参数，从水电条件、通风排气、照明、试剂及样品存放等方面出发，进行合理分区。为保证移动实验室的正常运行，从温湿度控制系统、控制方式、温湿度控制精度、环境温度、相对湿度、大气压、噪声、照明装置、通风装置、电磁屏蔽性、紧急处理装置、“三废”处理装置、供排水系统要求、送排风系统、供气（液体）系统方面要求进行规定。</w:t>
      </w:r>
    </w:p>
    <w:p w14:paraId="7D3029A3">
      <w:pPr>
        <w:numPr>
          <w:ilvl w:val="0"/>
          <w:numId w:val="0"/>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4.4 仪器平台</w:t>
      </w:r>
    </w:p>
    <w:p w14:paraId="17AF686A">
      <w:pPr>
        <w:spacing w:line="360" w:lineRule="auto"/>
        <w:jc w:val="center"/>
        <w:rPr>
          <w:rFonts w:hint="eastAsia"/>
          <w:sz w:val="24"/>
          <w:szCs w:val="24"/>
          <w:lang w:val="en-US" w:eastAsia="zh-CN"/>
        </w:rPr>
      </w:pPr>
      <w:r>
        <w:rPr>
          <w:rFonts w:hint="eastAsia"/>
          <w:sz w:val="24"/>
          <w:szCs w:val="24"/>
          <w:lang w:val="en-US" w:eastAsia="zh-CN"/>
        </w:rPr>
        <w:t>表六 实验台主要力学性能试验</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
        <w:gridCol w:w="1017"/>
        <w:gridCol w:w="2150"/>
        <w:gridCol w:w="819"/>
        <w:gridCol w:w="819"/>
        <w:gridCol w:w="819"/>
        <w:gridCol w:w="819"/>
        <w:gridCol w:w="819"/>
        <w:gridCol w:w="831"/>
      </w:tblGrid>
      <w:tr w14:paraId="2E4A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EDC9B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序号</w:t>
            </w:r>
          </w:p>
        </w:tc>
        <w:tc>
          <w:tcPr>
            <w:tcW w:w="60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975B1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检验项目</w:t>
            </w:r>
          </w:p>
        </w:tc>
        <w:tc>
          <w:tcPr>
            <w:tcW w:w="12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AAD35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21"/>
                <w:szCs w:val="21"/>
                <w:highlight w:val="none"/>
                <w:lang w:val="en-US" w:eastAsia="zh-CN" w:bidi="ar"/>
                <w:woUserID w:val="1"/>
              </w:rPr>
              <w:t>要求</w:t>
            </w:r>
          </w:p>
        </w:tc>
        <w:tc>
          <w:tcPr>
            <w:tcW w:w="291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293F8C19">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企业名称</w:t>
            </w:r>
          </w:p>
        </w:tc>
      </w:tr>
      <w:tr w14:paraId="7A14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62EE84">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60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67020C">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12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ED35AD">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457FC9DB">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河南</w:t>
            </w:r>
          </w:p>
          <w:p w14:paraId="0FA8817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5F7EC51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上海</w:t>
            </w:r>
          </w:p>
          <w:p w14:paraId="078F29A2">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5C10FFC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重庆</w:t>
            </w:r>
          </w:p>
          <w:p w14:paraId="30518F5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71A1155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河北</w:t>
            </w:r>
          </w:p>
          <w:p w14:paraId="7916D42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482B0AA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浙江</w:t>
            </w:r>
          </w:p>
          <w:p w14:paraId="1333A3BC">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5D56D1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福建</w:t>
            </w:r>
          </w:p>
          <w:p w14:paraId="77A445C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highlight w:val="none"/>
                <w:woUserID w:val="1"/>
              </w:rPr>
            </w:pPr>
            <w:r>
              <w:rPr>
                <w:rFonts w:hint="eastAsia" w:ascii="宋体" w:hAnsi="宋体" w:eastAsia="宋体" w:cs="宋体"/>
                <w:kern w:val="2"/>
                <w:sz w:val="18"/>
                <w:szCs w:val="18"/>
                <w:highlight w:val="none"/>
                <w:lang w:val="en-US" w:eastAsia="zh-CN" w:bidi="ar"/>
                <w:woUserID w:val="1"/>
              </w:rPr>
              <w:t>销售</w:t>
            </w:r>
          </w:p>
        </w:tc>
      </w:tr>
      <w:tr w14:paraId="3A3E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25D07F4B">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1</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0EC0053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台面扰度</w:t>
            </w: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38723CD4">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≤跨度</w:t>
            </w:r>
            <w:r>
              <w:rPr>
                <w:rFonts w:hint="default" w:ascii="Calibri" w:hAnsi="Calibri" w:eastAsia="宋体" w:cs="Calibri"/>
                <w:kern w:val="2"/>
                <w:sz w:val="18"/>
                <w:szCs w:val="18"/>
                <w:highlight w:val="none"/>
                <w:lang w:val="en-US" w:eastAsia="zh-CN" w:bidi="ar"/>
                <w:woUserID w:val="1"/>
              </w:rPr>
              <w:t>/200</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69DAC62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跨度</w:t>
            </w:r>
            <w:r>
              <w:rPr>
                <w:rFonts w:hint="default" w:ascii="Calibri" w:hAnsi="Calibri" w:eastAsia="宋体" w:cs="Calibri"/>
                <w:kern w:val="2"/>
                <w:sz w:val="18"/>
                <w:szCs w:val="18"/>
                <w:highlight w:val="none"/>
                <w:lang w:val="en-US" w:eastAsia="zh-CN" w:bidi="ar"/>
                <w:woUserID w:val="1"/>
              </w:rPr>
              <w:t>/260</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513B806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跨度</w:t>
            </w:r>
            <w:r>
              <w:rPr>
                <w:rFonts w:hint="default" w:ascii="Calibri" w:hAnsi="Calibri" w:eastAsia="宋体" w:cs="Calibri"/>
                <w:kern w:val="2"/>
                <w:sz w:val="18"/>
                <w:szCs w:val="18"/>
                <w:highlight w:val="none"/>
                <w:lang w:val="en-US" w:eastAsia="zh-CN" w:bidi="ar"/>
                <w:woUserID w:val="1"/>
              </w:rPr>
              <w:t>/280</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23310DF9">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跨度</w:t>
            </w:r>
            <w:r>
              <w:rPr>
                <w:rFonts w:hint="default" w:ascii="Calibri" w:hAnsi="Calibri" w:eastAsia="宋体" w:cs="Calibri"/>
                <w:kern w:val="2"/>
                <w:sz w:val="18"/>
                <w:szCs w:val="18"/>
                <w:highlight w:val="none"/>
                <w:lang w:val="en-US" w:eastAsia="zh-CN" w:bidi="ar"/>
                <w:woUserID w:val="1"/>
              </w:rPr>
              <w:t>/380</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4FDE04AF">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跨度</w:t>
            </w:r>
            <w:r>
              <w:rPr>
                <w:rFonts w:hint="default" w:ascii="Calibri" w:hAnsi="Calibri" w:eastAsia="宋体" w:cs="Calibri"/>
                <w:kern w:val="2"/>
                <w:sz w:val="18"/>
                <w:szCs w:val="18"/>
                <w:highlight w:val="none"/>
                <w:lang w:val="en-US" w:eastAsia="zh-CN" w:bidi="ar"/>
                <w:woUserID w:val="1"/>
              </w:rPr>
              <w:t>/400</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74E02EB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跨度</w:t>
            </w:r>
            <w:r>
              <w:rPr>
                <w:rFonts w:hint="default" w:ascii="Calibri" w:hAnsi="Calibri" w:eastAsia="宋体" w:cs="Calibri"/>
                <w:kern w:val="2"/>
                <w:sz w:val="18"/>
                <w:szCs w:val="18"/>
                <w:highlight w:val="none"/>
                <w:lang w:val="en-US" w:eastAsia="zh-CN" w:bidi="ar"/>
                <w:woUserID w:val="1"/>
              </w:rPr>
              <w:t>/220</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2DBA75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跨度</w:t>
            </w:r>
            <w:r>
              <w:rPr>
                <w:rFonts w:hint="default" w:ascii="Calibri" w:hAnsi="Calibri" w:eastAsia="宋体" w:cs="Calibri"/>
                <w:kern w:val="2"/>
                <w:sz w:val="18"/>
                <w:szCs w:val="18"/>
                <w:highlight w:val="none"/>
                <w:lang w:val="en-US" w:eastAsia="zh-CN" w:bidi="ar"/>
                <w:woUserID w:val="1"/>
              </w:rPr>
              <w:t>/210</w:t>
            </w:r>
          </w:p>
        </w:tc>
      </w:tr>
      <w:tr w14:paraId="04D8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4604FE02">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2</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277CC907">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高度调节</w:t>
            </w:r>
          </w:p>
          <w:p w14:paraId="06046C52">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装置耐久性</w:t>
            </w:r>
          </w:p>
        </w:tc>
        <w:tc>
          <w:tcPr>
            <w:tcW w:w="1266" w:type="pct"/>
            <w:vMerge w:val="restart"/>
            <w:tcBorders>
              <w:top w:val="nil"/>
              <w:left w:val="single" w:color="auto" w:sz="4" w:space="0"/>
              <w:bottom w:val="single" w:color="auto" w:sz="4" w:space="0"/>
              <w:right w:val="single" w:color="auto" w:sz="4" w:space="0"/>
            </w:tcBorders>
            <w:shd w:val="clear" w:color="auto" w:fill="auto"/>
            <w:vAlign w:val="center"/>
          </w:tcPr>
          <w:p w14:paraId="259E7ACB">
            <w:pPr>
              <w:keepNext w:val="0"/>
              <w:keepLines w:val="0"/>
              <w:widowControl w:val="0"/>
              <w:numPr>
                <w:ilvl w:val="0"/>
                <w:numId w:val="3"/>
              </w:numPr>
              <w:suppressLineNumbers w:val="0"/>
              <w:spacing w:before="0" w:beforeAutospacing="0" w:after="0" w:afterAutospacing="0"/>
              <w:ind w:left="0" w:right="0"/>
              <w:jc w:val="left"/>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零部件无断裂或豁裂；</w:t>
            </w:r>
          </w:p>
          <w:p w14:paraId="59885A61">
            <w:pPr>
              <w:keepNext w:val="0"/>
              <w:keepLines w:val="0"/>
              <w:widowControl w:val="0"/>
              <w:numPr>
                <w:ilvl w:val="0"/>
                <w:numId w:val="3"/>
              </w:numPr>
              <w:suppressLineNumbers w:val="0"/>
              <w:spacing w:before="0" w:beforeAutospacing="0" w:after="0" w:afterAutospacing="0"/>
              <w:ind w:left="0" w:right="0"/>
              <w:jc w:val="left"/>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用手掀压应为牢固的部件未出现永久性松动；</w:t>
            </w:r>
          </w:p>
          <w:p w14:paraId="7C55B9E9">
            <w:pPr>
              <w:keepNext w:val="0"/>
              <w:keepLines w:val="0"/>
              <w:widowControl w:val="0"/>
              <w:numPr>
                <w:ilvl w:val="0"/>
                <w:numId w:val="3"/>
              </w:numPr>
              <w:suppressLineNumbers w:val="0"/>
              <w:spacing w:before="0" w:beforeAutospacing="0" w:after="0" w:afterAutospacing="0"/>
              <w:ind w:left="0" w:right="0"/>
              <w:jc w:val="left"/>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零部件无影响使用功能的磨损或变形；</w:t>
            </w:r>
          </w:p>
          <w:p w14:paraId="43AA3DEF">
            <w:pPr>
              <w:keepNext w:val="0"/>
              <w:keepLines w:val="0"/>
              <w:widowControl w:val="0"/>
              <w:numPr>
                <w:ilvl w:val="0"/>
                <w:numId w:val="3"/>
              </w:numPr>
              <w:suppressLineNumbers w:val="0"/>
              <w:spacing w:before="0" w:beforeAutospacing="0" w:after="0" w:afterAutospacing="0"/>
              <w:ind w:left="0" w:right="0"/>
              <w:jc w:val="left"/>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五金件连接无松动；</w:t>
            </w:r>
          </w:p>
          <w:p w14:paraId="3B1680D1">
            <w:pPr>
              <w:keepNext w:val="0"/>
              <w:keepLines w:val="0"/>
              <w:widowControl w:val="0"/>
              <w:numPr>
                <w:ilvl w:val="0"/>
                <w:numId w:val="3"/>
              </w:numPr>
              <w:suppressLineNumbers w:val="0"/>
              <w:spacing w:before="0" w:beforeAutospacing="0" w:after="0" w:afterAutospacing="0"/>
              <w:ind w:left="0" w:right="0"/>
              <w:jc w:val="left"/>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活动部件开关灵便；</w:t>
            </w:r>
          </w:p>
          <w:p w14:paraId="372CFDDF">
            <w:pPr>
              <w:keepNext w:val="0"/>
              <w:keepLines w:val="0"/>
              <w:widowControl w:val="0"/>
              <w:numPr>
                <w:ilvl w:val="0"/>
                <w:numId w:val="3"/>
              </w:numPr>
              <w:suppressLineNumbers w:val="0"/>
              <w:spacing w:before="0" w:beforeAutospacing="0" w:after="0" w:afterAutospacing="0"/>
              <w:ind w:left="0" w:right="0"/>
              <w:jc w:val="left"/>
              <w:rPr>
                <w:rFonts w:hint="default"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零部件无明显位移变化。</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0EEB6312">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55A1597A">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7F44EED8">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1D88B270">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7489C495">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5F785E7D">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r w14:paraId="460E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65580A30">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18"/>
                <w:szCs w:val="18"/>
                <w:highlight w:val="none"/>
                <w:woUserID w:val="1"/>
              </w:rPr>
            </w:pPr>
            <w:r>
              <w:rPr>
                <w:rFonts w:hint="default" w:ascii="Calibri" w:hAnsi="Calibri" w:eastAsia="宋体" w:cs="Calibri"/>
                <w:kern w:val="2"/>
                <w:sz w:val="18"/>
                <w:szCs w:val="18"/>
                <w:highlight w:val="none"/>
                <w:lang w:val="en-US" w:eastAsia="zh-CN" w:bidi="ar"/>
                <w:woUserID w:val="1"/>
              </w:rPr>
              <w:t>3</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64AE7CB9">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活动实验室耐久性</w:t>
            </w:r>
          </w:p>
        </w:tc>
        <w:tc>
          <w:tcPr>
            <w:tcW w:w="1266" w:type="pct"/>
            <w:vMerge w:val="continue"/>
            <w:tcBorders>
              <w:top w:val="nil"/>
              <w:left w:val="single" w:color="auto" w:sz="4" w:space="0"/>
              <w:bottom w:val="single" w:color="auto" w:sz="4" w:space="0"/>
              <w:right w:val="single" w:color="auto" w:sz="4" w:space="0"/>
            </w:tcBorders>
            <w:shd w:val="clear" w:color="auto" w:fill="auto"/>
            <w:vAlign w:val="center"/>
          </w:tcPr>
          <w:p w14:paraId="318E4222">
            <w:pPr>
              <w:keepNext w:val="0"/>
              <w:keepLines w:val="0"/>
              <w:suppressLineNumbers w:val="0"/>
              <w:spacing w:before="0" w:beforeAutospacing="0" w:after="0" w:afterAutospacing="0"/>
              <w:ind w:left="0" w:right="0"/>
              <w:jc w:val="both"/>
              <w:rPr>
                <w:rFonts w:hint="default" w:ascii="Times New Roman" w:hAnsi="Times New Roman" w:cs="Times New Roman"/>
                <w:sz w:val="20"/>
                <w:szCs w:val="20"/>
                <w:highlight w:val="none"/>
                <w:woUserID w:val="1"/>
              </w:rPr>
            </w:pP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524AAE61">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172320BB">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12301A8D">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45BB0319">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0AF37D0E">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2B5879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18"/>
                <w:szCs w:val="18"/>
                <w:highlight w:val="none"/>
                <w:woUserID w:val="1"/>
              </w:rPr>
            </w:pPr>
            <w:r>
              <w:rPr>
                <w:rFonts w:hint="eastAsia" w:ascii="宋体" w:hAnsi="宋体" w:eastAsia="宋体" w:cs="宋体"/>
                <w:kern w:val="2"/>
                <w:sz w:val="18"/>
                <w:szCs w:val="18"/>
                <w:highlight w:val="none"/>
                <w:lang w:val="en-US" w:eastAsia="zh-CN" w:bidi="ar"/>
                <w:woUserID w:val="1"/>
              </w:rPr>
              <w:t>√</w:t>
            </w:r>
          </w:p>
        </w:tc>
      </w:tr>
    </w:tbl>
    <w:p w14:paraId="69DB26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送检企业的试验均合格。从移动特性、监测项目需求、所配置实验室分析仪器设备、数据采集、存储、传输、抗振性、电磁兼容性、可靠性方面要求进行规定。</w:t>
      </w:r>
    </w:p>
    <w:p w14:paraId="2D2FE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default"/>
          <w:sz w:val="24"/>
          <w:szCs w:val="24"/>
          <w:highlight w:val="none"/>
          <w:lang w:val="en-US" w:eastAsia="zh-CN"/>
        </w:rPr>
      </w:pPr>
      <w:r>
        <w:rPr>
          <w:rFonts w:hint="eastAsia"/>
          <w:sz w:val="24"/>
          <w:szCs w:val="24"/>
          <w:lang w:val="en-US" w:eastAsia="zh-CN"/>
        </w:rPr>
        <w:t>实验台减震及仪器的固定方式见下图。</w:t>
      </w:r>
    </w:p>
    <w:p w14:paraId="3C367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pPr>
      <w:r>
        <w:drawing>
          <wp:inline distT="0" distB="0" distL="114300" distR="114300">
            <wp:extent cx="3788410" cy="2985770"/>
            <wp:effectExtent l="0" t="0" r="6350" b="127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2"/>
                    <a:stretch>
                      <a:fillRect/>
                    </a:stretch>
                  </pic:blipFill>
                  <pic:spPr>
                    <a:xfrm>
                      <a:off x="0" y="0"/>
                      <a:ext cx="3788410" cy="2985770"/>
                    </a:xfrm>
                    <a:prstGeom prst="rect">
                      <a:avLst/>
                    </a:prstGeom>
                    <a:noFill/>
                    <a:ln>
                      <a:noFill/>
                    </a:ln>
                  </pic:spPr>
                </pic:pic>
              </a:graphicData>
            </a:graphic>
          </wp:inline>
        </w:drawing>
      </w:r>
    </w:p>
    <w:p w14:paraId="2B6D0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lang w:val="en-US" w:eastAsia="zh-CN"/>
        </w:rPr>
      </w:pPr>
      <w:r>
        <w:rPr>
          <w:rFonts w:hint="eastAsia"/>
          <w:lang w:val="en-US" w:eastAsia="zh-CN"/>
        </w:rPr>
        <w:t>图四 实验台减震及仪器的固定方式</w:t>
      </w:r>
    </w:p>
    <w:p w14:paraId="073EE2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lang w:val="en-US" w:eastAsia="zh-CN"/>
        </w:rPr>
      </w:pPr>
      <w:r>
        <w:rPr>
          <w:rFonts w:hint="eastAsia"/>
          <w:lang w:val="en-US" w:eastAsia="zh-CN"/>
        </w:rPr>
        <w:t>其中1，3-代表不同类型仪器，2-固定轨道，4-实验台面，5-实验柜，6-柔性减震快</w:t>
      </w:r>
    </w:p>
    <w:p w14:paraId="26F916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eastAsia"/>
          <w:sz w:val="24"/>
          <w:szCs w:val="24"/>
          <w:highlight w:val="none"/>
          <w:lang w:val="en-US" w:eastAsia="zh-CN"/>
        </w:rPr>
      </w:pPr>
      <w:r>
        <w:rPr>
          <w:rFonts w:hint="eastAsia"/>
          <w:sz w:val="24"/>
          <w:szCs w:val="24"/>
          <w:highlight w:val="none"/>
          <w:lang w:val="en-US" w:eastAsia="zh-CN"/>
        </w:rPr>
        <w:t>4.5 安全要求</w:t>
      </w:r>
    </w:p>
    <w:p w14:paraId="0261D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从仪器设备安全性、储存、排放安全、易爆气源安全等方面要求进行规定。注重检测人员的安全健康，及其自身的可持续发展。从环保的角度提出要求，促进移动实验室在使用中注重环境保护。安全的角度提出要求，注重人员的安全及心理、生理的承受能力，对于移动实验室的持续健康发展具有重要的作用。</w:t>
      </w:r>
    </w:p>
    <w:p w14:paraId="6680FCE8">
      <w:pPr>
        <w:numPr>
          <w:ilvl w:val="0"/>
          <w:numId w:val="2"/>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载具（重庆）</w:t>
      </w:r>
    </w:p>
    <w:p w14:paraId="038E44CA">
      <w:pPr>
        <w:numPr>
          <w:ilvl w:val="0"/>
          <w:numId w:val="0"/>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5.1通用要求</w:t>
      </w:r>
    </w:p>
    <w:p w14:paraId="6ABA9B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载具作为移动实验室的核心载体，其性能直接关系到检测数据的准确性、人员安全及设备稳定性和行驶安全，在资质审查中，应考虑生载具产商生产历史，同类产品产量，近几年有无重大事故等方面信息。载具生产商必须具备车辆生产许可证，3C认证证书，ISO9001质量管理体系认证等认证。编制组参考了国家标准《GB/T 33253-2016 移动实验室通用要求》中关于载具的基础规定，确保载具的通用安全性。因户外场地可能不平整，检测作业时可能对精密仪器可能受到影响，因此，实验舱应设置调平机构。在5°斜坡上进行测试，连续进行20次调平操作，设备调平精度应±0.5°，平均调平时间小于等于3min。</w:t>
      </w:r>
    </w:p>
    <w:p w14:paraId="67F9DDCF">
      <w:pPr>
        <w:numPr>
          <w:ilvl w:val="0"/>
          <w:numId w:val="0"/>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5.2动力要求</w:t>
      </w:r>
    </w:p>
    <w:p w14:paraId="5FB46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通过计算典型移动实验室的总重量（载具自重+仪器设备重量）及动力需求（爬坡、加速等工况），验证比功率低于5.0 kW/t时可能导致动力不足。参考同类工程车辆（如检测车、应急车）的比功率标准，确保载具具备足够的牵引力。</w:t>
      </w:r>
    </w:p>
    <w:p w14:paraId="5403C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示例：若载具总重10吨，则需发动机功率≥50 kW，以满足复杂路况（如山区、泥泞道路）的机动性要求。根据《公路工程技术标准》（JTG B01-2014），四级公路设计时速为40-60 km/h。要求载具匹配该速度范围，保障运输效率，同时避免因低速行驶影响交通流。</w:t>
      </w:r>
    </w:p>
    <w:p w14:paraId="67AC29D4">
      <w:pPr>
        <w:numPr>
          <w:ilvl w:val="0"/>
          <w:numId w:val="0"/>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5.3制动要求</w:t>
      </w:r>
    </w:p>
    <w:p w14:paraId="75D93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编制组参考了《GB 12676-2014 商用车辆制动系统技术要求》，并结合移动实验室常驻坡道作业的实际情况。</w:t>
      </w:r>
    </w:p>
    <w:p w14:paraId="6C0B8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不同制动系统性能：</w:t>
      </w:r>
    </w:p>
    <w:p w14:paraId="13CB6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4"/>
          <w:szCs w:val="24"/>
          <w:highlight w:val="none"/>
          <w:lang w:val="en-US" w:eastAsia="zh-CN"/>
        </w:rPr>
      </w:pPr>
      <w:r>
        <w:rPr>
          <w:rFonts w:hint="eastAsia"/>
          <w:sz w:val="24"/>
          <w:szCs w:val="24"/>
          <w:lang w:val="en-US" w:eastAsia="zh-CN"/>
        </w:rPr>
        <w:t xml:space="preserve">表七 </w:t>
      </w:r>
      <w:r>
        <w:rPr>
          <w:rFonts w:hint="eastAsia"/>
          <w:sz w:val="24"/>
          <w:szCs w:val="24"/>
          <w:highlight w:val="none"/>
          <w:lang w:val="en-US" w:eastAsia="zh-CN"/>
        </w:rPr>
        <w:t>不同制动系统</w:t>
      </w:r>
      <w:r>
        <w:rPr>
          <w:rFonts w:hint="eastAsia"/>
          <w:sz w:val="24"/>
          <w:szCs w:val="24"/>
          <w:lang w:val="en-US" w:eastAsia="zh-CN"/>
        </w:rPr>
        <w:t>制动性能详情</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432"/>
        <w:gridCol w:w="2620"/>
        <w:gridCol w:w="3406"/>
      </w:tblGrid>
      <w:tr w14:paraId="3EA5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Header/>
        </w:trPr>
        <w:tc>
          <w:tcPr>
            <w:tcW w:w="1437" w:type="pct"/>
            <w:tcBorders>
              <w:tl2br w:val="nil"/>
              <w:tr2bl w:val="nil"/>
            </w:tcBorders>
            <w:shd w:val="clear" w:color="auto" w:fill="auto"/>
            <w:tcMar>
              <w:top w:w="150" w:type="dxa"/>
              <w:left w:w="0" w:type="dxa"/>
              <w:bottom w:w="150" w:type="dxa"/>
              <w:right w:w="150" w:type="dxa"/>
            </w:tcMar>
            <w:vAlign w:val="center"/>
          </w:tcPr>
          <w:p w14:paraId="60B31F9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制动类型</w:t>
            </w:r>
          </w:p>
        </w:tc>
        <w:tc>
          <w:tcPr>
            <w:tcW w:w="1548" w:type="pct"/>
            <w:tcBorders>
              <w:tl2br w:val="nil"/>
              <w:tr2bl w:val="nil"/>
            </w:tcBorders>
            <w:shd w:val="clear" w:color="auto" w:fill="auto"/>
            <w:tcMar>
              <w:top w:w="150" w:type="dxa"/>
              <w:left w:w="150" w:type="dxa"/>
              <w:bottom w:w="150" w:type="dxa"/>
              <w:right w:w="150" w:type="dxa"/>
            </w:tcMar>
            <w:vAlign w:val="center"/>
          </w:tcPr>
          <w:p w14:paraId="52E8BA1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18%坡道驻车成功率</w:t>
            </w:r>
          </w:p>
        </w:tc>
        <w:tc>
          <w:tcPr>
            <w:tcW w:w="2013" w:type="pct"/>
            <w:tcBorders>
              <w:tl2br w:val="nil"/>
              <w:tr2bl w:val="nil"/>
            </w:tcBorders>
            <w:shd w:val="clear" w:color="auto" w:fill="auto"/>
            <w:tcMar>
              <w:top w:w="150" w:type="dxa"/>
              <w:left w:w="150" w:type="dxa"/>
              <w:bottom w:w="150" w:type="dxa"/>
              <w:right w:w="150" w:type="dxa"/>
            </w:tcMar>
            <w:vAlign w:val="center"/>
          </w:tcPr>
          <w:p w14:paraId="14455C0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热衰退率(连续10次制动)</w:t>
            </w:r>
          </w:p>
        </w:tc>
      </w:tr>
      <w:tr w14:paraId="1B50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437" w:type="pct"/>
            <w:tcBorders>
              <w:tl2br w:val="nil"/>
              <w:tr2bl w:val="nil"/>
            </w:tcBorders>
            <w:shd w:val="clear" w:color="auto" w:fill="auto"/>
            <w:tcMar>
              <w:top w:w="150" w:type="dxa"/>
              <w:left w:w="0" w:type="dxa"/>
              <w:bottom w:w="150" w:type="dxa"/>
              <w:right w:w="150" w:type="dxa"/>
            </w:tcMar>
            <w:vAlign w:val="center"/>
          </w:tcPr>
          <w:p w14:paraId="4136EEA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常规制动</w:t>
            </w:r>
          </w:p>
        </w:tc>
        <w:tc>
          <w:tcPr>
            <w:tcW w:w="1548" w:type="pct"/>
            <w:tcBorders>
              <w:tl2br w:val="nil"/>
              <w:tr2bl w:val="nil"/>
            </w:tcBorders>
            <w:shd w:val="clear" w:color="auto" w:fill="auto"/>
            <w:tcMar>
              <w:top w:w="150" w:type="dxa"/>
              <w:left w:w="150" w:type="dxa"/>
              <w:bottom w:w="150" w:type="dxa"/>
              <w:right w:w="150" w:type="dxa"/>
            </w:tcMar>
            <w:vAlign w:val="center"/>
          </w:tcPr>
          <w:p w14:paraId="6F388BF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82%</w:t>
            </w:r>
          </w:p>
        </w:tc>
        <w:tc>
          <w:tcPr>
            <w:tcW w:w="2013" w:type="pct"/>
            <w:tcBorders>
              <w:tl2br w:val="nil"/>
              <w:tr2bl w:val="nil"/>
            </w:tcBorders>
            <w:shd w:val="clear" w:color="auto" w:fill="auto"/>
            <w:tcMar>
              <w:top w:w="150" w:type="dxa"/>
              <w:left w:w="150" w:type="dxa"/>
              <w:bottom w:w="150" w:type="dxa"/>
              <w:right w:w="150" w:type="dxa"/>
            </w:tcMar>
            <w:vAlign w:val="center"/>
          </w:tcPr>
          <w:p w14:paraId="7FA350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23%</w:t>
            </w:r>
          </w:p>
        </w:tc>
      </w:tr>
      <w:tr w14:paraId="6876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437" w:type="pct"/>
            <w:tcBorders>
              <w:tl2br w:val="nil"/>
              <w:tr2bl w:val="nil"/>
            </w:tcBorders>
            <w:shd w:val="clear" w:color="auto" w:fill="auto"/>
            <w:tcMar>
              <w:top w:w="150" w:type="dxa"/>
              <w:left w:w="0" w:type="dxa"/>
              <w:bottom w:w="150" w:type="dxa"/>
              <w:right w:w="150" w:type="dxa"/>
            </w:tcMar>
            <w:vAlign w:val="center"/>
          </w:tcPr>
          <w:p w14:paraId="4F73DE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辅助制动</w:t>
            </w:r>
          </w:p>
        </w:tc>
        <w:tc>
          <w:tcPr>
            <w:tcW w:w="1548" w:type="pct"/>
            <w:tcBorders>
              <w:tl2br w:val="nil"/>
              <w:tr2bl w:val="nil"/>
            </w:tcBorders>
            <w:shd w:val="clear" w:color="auto" w:fill="auto"/>
            <w:tcMar>
              <w:top w:w="150" w:type="dxa"/>
              <w:left w:w="150" w:type="dxa"/>
              <w:bottom w:w="150" w:type="dxa"/>
              <w:right w:w="150" w:type="dxa"/>
            </w:tcMar>
            <w:vAlign w:val="center"/>
          </w:tcPr>
          <w:p w14:paraId="7BC395B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100%</w:t>
            </w:r>
          </w:p>
        </w:tc>
        <w:tc>
          <w:tcPr>
            <w:tcW w:w="2013" w:type="pct"/>
            <w:tcBorders>
              <w:tl2br w:val="nil"/>
              <w:tr2bl w:val="nil"/>
            </w:tcBorders>
            <w:shd w:val="clear" w:color="auto" w:fill="auto"/>
            <w:tcMar>
              <w:top w:w="150" w:type="dxa"/>
              <w:left w:w="150" w:type="dxa"/>
              <w:bottom w:w="150" w:type="dxa"/>
              <w:right w:w="150" w:type="dxa"/>
            </w:tcMar>
            <w:vAlign w:val="center"/>
          </w:tcPr>
          <w:p w14:paraId="70CB852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8%</w:t>
            </w:r>
          </w:p>
        </w:tc>
      </w:tr>
      <w:tr w14:paraId="41A2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437" w:type="pct"/>
            <w:tcBorders>
              <w:tl2br w:val="nil"/>
              <w:tr2bl w:val="nil"/>
            </w:tcBorders>
            <w:shd w:val="clear" w:color="auto" w:fill="auto"/>
            <w:tcMar>
              <w:top w:w="150" w:type="dxa"/>
              <w:left w:w="0" w:type="dxa"/>
              <w:bottom w:w="150" w:type="dxa"/>
              <w:right w:w="150" w:type="dxa"/>
            </w:tcMar>
            <w:vAlign w:val="center"/>
          </w:tcPr>
          <w:p w14:paraId="104E80C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四轮驱动+辅助制动</w:t>
            </w:r>
          </w:p>
        </w:tc>
        <w:tc>
          <w:tcPr>
            <w:tcW w:w="1548" w:type="pct"/>
            <w:tcBorders>
              <w:tl2br w:val="nil"/>
              <w:tr2bl w:val="nil"/>
            </w:tcBorders>
            <w:shd w:val="clear" w:color="auto" w:fill="auto"/>
            <w:tcMar>
              <w:top w:w="150" w:type="dxa"/>
              <w:left w:w="150" w:type="dxa"/>
              <w:bottom w:w="150" w:type="dxa"/>
              <w:right w:w="150" w:type="dxa"/>
            </w:tcMar>
            <w:vAlign w:val="center"/>
          </w:tcPr>
          <w:p w14:paraId="14F1C1E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100%</w:t>
            </w:r>
          </w:p>
        </w:tc>
        <w:tc>
          <w:tcPr>
            <w:tcW w:w="2013" w:type="pct"/>
            <w:tcBorders>
              <w:tl2br w:val="nil"/>
              <w:tr2bl w:val="nil"/>
            </w:tcBorders>
            <w:shd w:val="clear" w:color="auto" w:fill="auto"/>
            <w:tcMar>
              <w:top w:w="150" w:type="dxa"/>
              <w:left w:w="150" w:type="dxa"/>
              <w:bottom w:w="150" w:type="dxa"/>
              <w:right w:w="150" w:type="dxa"/>
            </w:tcMar>
            <w:vAlign w:val="center"/>
          </w:tcPr>
          <w:p w14:paraId="7777D09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5%</w:t>
            </w:r>
          </w:p>
        </w:tc>
      </w:tr>
    </w:tbl>
    <w:p w14:paraId="0A688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eastAsia"/>
          <w:sz w:val="24"/>
          <w:szCs w:val="24"/>
          <w:highlight w:val="none"/>
          <w:lang w:val="en-US" w:eastAsia="zh-CN"/>
        </w:rPr>
      </w:pPr>
    </w:p>
    <w:p w14:paraId="4283A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在干燥、平整的混凝土或具有相同附着系数的其他路面，载具驻车制动系统应使满载移动实验室停在18%坡道上（上坡或下坡）。针对复杂地形和恶劣天气条件下的安全冗余设计，编制组一致认为四轮驱动和辅助制动可显著提升载具的通过性和安全性。</w:t>
      </w:r>
    </w:p>
    <w:p w14:paraId="0A5BC9D9">
      <w:pPr>
        <w:numPr>
          <w:ilvl w:val="0"/>
          <w:numId w:val="0"/>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5.4电力要求</w:t>
      </w:r>
    </w:p>
    <w:p w14:paraId="6F8C9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因该车辆要行驶至加油站、油库等特殊场景作业，因此电力系统要求符合《GB/T 2819 移动电站通用技术条件》，以保证发电机性能与防爆要求的合规性。同时电力容量需覆盖预设仪器全周期检测的能耗，根据预设仪器设备计算工作功率，无外界电力接入时载具应提供足够完成设定检测项目的电力，避免因电力不足导致检测中断。</w:t>
      </w:r>
    </w:p>
    <w:p w14:paraId="6BE846C1">
      <w:pPr>
        <w:numPr>
          <w:ilvl w:val="0"/>
          <w:numId w:val="2"/>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检验及验收</w:t>
      </w:r>
    </w:p>
    <w:p w14:paraId="373CB1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本标准涉及的移动实验室载具的改造、出厂检验均遵循相应国家标准进行。考虑到用户的验收能力、避免重复检验造成的重复浪费，经讨论，接收检验增加资料检验，具体内容见下表。</w:t>
      </w:r>
    </w:p>
    <w:p w14:paraId="06EBE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sz w:val="24"/>
          <w:szCs w:val="24"/>
          <w:highlight w:val="none"/>
          <w:lang w:val="en-US" w:eastAsia="zh-CN"/>
        </w:rPr>
      </w:pPr>
      <w:r>
        <w:rPr>
          <w:rFonts w:hint="eastAsia"/>
          <w:sz w:val="24"/>
          <w:szCs w:val="24"/>
          <w:lang w:val="en-US" w:eastAsia="zh-CN"/>
        </w:rPr>
        <w:t xml:space="preserve">表八 </w:t>
      </w:r>
      <w:r>
        <w:rPr>
          <w:rFonts w:hint="eastAsia"/>
          <w:sz w:val="24"/>
          <w:szCs w:val="24"/>
          <w:highlight w:val="none"/>
          <w:lang w:val="en-US" w:eastAsia="zh-CN"/>
        </w:rPr>
        <w:t>移动实验室检验项目及要求</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75"/>
        <w:gridCol w:w="1313"/>
        <w:gridCol w:w="818"/>
        <w:gridCol w:w="4192"/>
        <w:gridCol w:w="702"/>
        <w:gridCol w:w="696"/>
      </w:tblGrid>
      <w:tr w14:paraId="2000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221F80F9">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序号</w:t>
            </w:r>
          </w:p>
        </w:tc>
        <w:tc>
          <w:tcPr>
            <w:tcW w:w="1688" w:type="dxa"/>
            <w:gridSpan w:val="2"/>
            <w:noWrap w:val="0"/>
            <w:vAlign w:val="center"/>
          </w:tcPr>
          <w:p w14:paraId="45A2340C">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检验项目</w:t>
            </w:r>
          </w:p>
        </w:tc>
        <w:tc>
          <w:tcPr>
            <w:tcW w:w="818" w:type="dxa"/>
            <w:noWrap w:val="0"/>
            <w:vAlign w:val="center"/>
          </w:tcPr>
          <w:p w14:paraId="2CC76A22">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指标要求</w:t>
            </w:r>
          </w:p>
        </w:tc>
        <w:tc>
          <w:tcPr>
            <w:tcW w:w="4192" w:type="dxa"/>
            <w:noWrap w:val="0"/>
            <w:vAlign w:val="center"/>
          </w:tcPr>
          <w:p w14:paraId="086DF013">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检验方法</w:t>
            </w:r>
          </w:p>
        </w:tc>
        <w:tc>
          <w:tcPr>
            <w:tcW w:w="702" w:type="dxa"/>
            <w:noWrap w:val="0"/>
            <w:vAlign w:val="center"/>
          </w:tcPr>
          <w:p w14:paraId="7B3C010D">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出厂检验</w:t>
            </w:r>
          </w:p>
        </w:tc>
        <w:tc>
          <w:tcPr>
            <w:tcW w:w="696" w:type="dxa"/>
            <w:noWrap w:val="0"/>
            <w:vAlign w:val="center"/>
          </w:tcPr>
          <w:p w14:paraId="3822DF91">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接收检验</w:t>
            </w:r>
          </w:p>
        </w:tc>
      </w:tr>
      <w:tr w14:paraId="7AED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26" w:type="dxa"/>
            <w:noWrap w:val="0"/>
            <w:vAlign w:val="center"/>
          </w:tcPr>
          <w:p w14:paraId="07B9204B">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1</w:t>
            </w:r>
          </w:p>
        </w:tc>
        <w:tc>
          <w:tcPr>
            <w:tcW w:w="375" w:type="dxa"/>
            <w:vMerge w:val="restart"/>
            <w:noWrap w:val="0"/>
            <w:vAlign w:val="center"/>
          </w:tcPr>
          <w:p w14:paraId="1A5E8367">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实验舱</w:t>
            </w:r>
          </w:p>
        </w:tc>
        <w:tc>
          <w:tcPr>
            <w:tcW w:w="1313" w:type="dxa"/>
            <w:noWrap w:val="0"/>
            <w:vAlign w:val="center"/>
          </w:tcPr>
          <w:p w14:paraId="5230092A">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通用</w:t>
            </w:r>
          </w:p>
        </w:tc>
        <w:tc>
          <w:tcPr>
            <w:tcW w:w="818" w:type="dxa"/>
            <w:noWrap w:val="0"/>
            <w:vAlign w:val="center"/>
          </w:tcPr>
          <w:p w14:paraId="71931E8D">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5.1.1</w:t>
            </w:r>
          </w:p>
        </w:tc>
        <w:tc>
          <w:tcPr>
            <w:tcW w:w="4192" w:type="dxa"/>
            <w:noWrap w:val="0"/>
            <w:vAlign w:val="center"/>
          </w:tcPr>
          <w:p w14:paraId="653E00ED">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依据 GB/T 29477</w:t>
            </w:r>
          </w:p>
        </w:tc>
        <w:tc>
          <w:tcPr>
            <w:tcW w:w="702" w:type="dxa"/>
            <w:noWrap w:val="0"/>
            <w:vAlign w:val="center"/>
          </w:tcPr>
          <w:p w14:paraId="6C2F8AB3">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08A81EE4">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1546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238FA6CB">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2</w:t>
            </w:r>
          </w:p>
        </w:tc>
        <w:tc>
          <w:tcPr>
            <w:tcW w:w="375" w:type="dxa"/>
            <w:vMerge w:val="continue"/>
            <w:noWrap w:val="0"/>
            <w:vAlign w:val="center"/>
          </w:tcPr>
          <w:p w14:paraId="33B20FD9">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p>
        </w:tc>
        <w:tc>
          <w:tcPr>
            <w:tcW w:w="1313" w:type="dxa"/>
            <w:noWrap w:val="0"/>
            <w:vAlign w:val="center"/>
          </w:tcPr>
          <w:p w14:paraId="56AD469D">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zCs w:val="22"/>
                <w:lang w:bidi="zh-TW"/>
              </w:rPr>
              <w:t>实验舱家具及内装饰</w:t>
            </w:r>
          </w:p>
        </w:tc>
        <w:tc>
          <w:tcPr>
            <w:tcW w:w="818" w:type="dxa"/>
            <w:noWrap w:val="0"/>
            <w:vAlign w:val="center"/>
          </w:tcPr>
          <w:p w14:paraId="074AC5C0">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5.1.2</w:t>
            </w:r>
          </w:p>
        </w:tc>
        <w:tc>
          <w:tcPr>
            <w:tcW w:w="4192" w:type="dxa"/>
            <w:noWrap w:val="0"/>
            <w:vAlign w:val="center"/>
          </w:tcPr>
          <w:p w14:paraId="522D1D19">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目视检查</w:t>
            </w:r>
          </w:p>
        </w:tc>
        <w:tc>
          <w:tcPr>
            <w:tcW w:w="702" w:type="dxa"/>
            <w:noWrap w:val="0"/>
            <w:vAlign w:val="center"/>
          </w:tcPr>
          <w:p w14:paraId="35123E58">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26C23C82">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71CE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523A164C">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3</w:t>
            </w:r>
          </w:p>
        </w:tc>
        <w:tc>
          <w:tcPr>
            <w:tcW w:w="375" w:type="dxa"/>
            <w:vMerge w:val="continue"/>
            <w:noWrap w:val="0"/>
            <w:vAlign w:val="center"/>
          </w:tcPr>
          <w:p w14:paraId="6ADFB15B">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p>
        </w:tc>
        <w:tc>
          <w:tcPr>
            <w:tcW w:w="1313" w:type="dxa"/>
            <w:noWrap w:val="0"/>
            <w:vAlign w:val="center"/>
          </w:tcPr>
          <w:p w14:paraId="5D6721BC">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环境控制能力</w:t>
            </w:r>
          </w:p>
        </w:tc>
        <w:tc>
          <w:tcPr>
            <w:tcW w:w="818" w:type="dxa"/>
            <w:noWrap w:val="0"/>
            <w:vAlign w:val="center"/>
          </w:tcPr>
          <w:p w14:paraId="46BF3B58">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5.1.3</w:t>
            </w:r>
          </w:p>
        </w:tc>
        <w:tc>
          <w:tcPr>
            <w:tcW w:w="4192" w:type="dxa"/>
            <w:noWrap w:val="0"/>
            <w:vAlign w:val="center"/>
          </w:tcPr>
          <w:p w14:paraId="494790A0">
            <w:pPr>
              <w:pStyle w:val="22"/>
              <w:keepNext w:val="0"/>
              <w:keepLines w:val="0"/>
              <w:widowControl w:val="0"/>
              <w:suppressLineNumbers w:val="0"/>
              <w:spacing w:before="0" w:beforeAutospacing="0" w:after="0" w:afterAutospacing="0"/>
              <w:ind w:left="0" w:right="0" w:firstLine="0" w:firstLineChars="0"/>
              <w:jc w:val="left"/>
              <w:rPr>
                <w:rFonts w:hint="default"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 w:val="21"/>
                <w:szCs w:val="22"/>
                <w:vertAlign w:val="baseline"/>
                <w:lang w:val="en-US" w:eastAsia="zh-CN" w:bidi="zh-TW"/>
              </w:rPr>
              <w:t>开启环境控制设备，使用温度计、气压计以及湿度计检测实验舱温度、气压及湿度</w:t>
            </w:r>
          </w:p>
        </w:tc>
        <w:tc>
          <w:tcPr>
            <w:tcW w:w="702" w:type="dxa"/>
            <w:noWrap w:val="0"/>
            <w:vAlign w:val="center"/>
          </w:tcPr>
          <w:p w14:paraId="75008B8B">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140CFC09">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2AA3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2F0CC812">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4</w:t>
            </w:r>
          </w:p>
        </w:tc>
        <w:tc>
          <w:tcPr>
            <w:tcW w:w="375" w:type="dxa"/>
            <w:vMerge w:val="continue"/>
            <w:noWrap w:val="0"/>
            <w:vAlign w:val="center"/>
          </w:tcPr>
          <w:p w14:paraId="6F37F0EC">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p>
        </w:tc>
        <w:tc>
          <w:tcPr>
            <w:tcW w:w="1313" w:type="dxa"/>
            <w:noWrap w:val="0"/>
            <w:vAlign w:val="center"/>
          </w:tcPr>
          <w:p w14:paraId="03691095">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设施</w:t>
            </w:r>
          </w:p>
        </w:tc>
        <w:tc>
          <w:tcPr>
            <w:tcW w:w="818" w:type="dxa"/>
            <w:noWrap w:val="0"/>
            <w:vAlign w:val="center"/>
          </w:tcPr>
          <w:p w14:paraId="268E74C5">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5.1.4</w:t>
            </w:r>
          </w:p>
        </w:tc>
        <w:tc>
          <w:tcPr>
            <w:tcW w:w="4192" w:type="dxa"/>
            <w:noWrap w:val="0"/>
            <w:vAlign w:val="center"/>
          </w:tcPr>
          <w:p w14:paraId="11DFF693">
            <w:pPr>
              <w:keepNext w:val="0"/>
              <w:keepLines w:val="0"/>
              <w:numPr>
                <w:ilvl w:val="0"/>
                <w:numId w:val="4"/>
              </w:numPr>
              <w:suppressLineNumbers w:val="0"/>
              <w:tabs>
                <w:tab w:val="center" w:pos="4201"/>
                <w:tab w:val="right" w:leader="dot" w:pos="9298"/>
              </w:tabs>
              <w:spacing w:before="0" w:beforeAutospacing="0" w:after="0" w:afterAutospacing="0"/>
              <w:ind w:left="0" w:right="0" w:firstLineChars="0"/>
              <w:jc w:val="both"/>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目视检查；</w:t>
            </w:r>
          </w:p>
          <w:p w14:paraId="0623222B">
            <w:pPr>
              <w:keepNext w:val="0"/>
              <w:keepLines w:val="0"/>
              <w:numPr>
                <w:ilvl w:val="0"/>
                <w:numId w:val="4"/>
              </w:numPr>
              <w:suppressLineNumbers w:val="0"/>
              <w:tabs>
                <w:tab w:val="center" w:pos="4201"/>
                <w:tab w:val="right" w:leader="dot" w:pos="9298"/>
              </w:tabs>
              <w:spacing w:before="0" w:beforeAutospacing="0" w:after="0" w:afterAutospacing="0"/>
              <w:ind w:left="0" w:right="0" w:firstLineChars="0"/>
              <w:jc w:val="left"/>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使用照度计测量移动实验室内照度；</w:t>
            </w:r>
          </w:p>
          <w:p w14:paraId="1BAFCFA0">
            <w:pPr>
              <w:keepNext w:val="0"/>
              <w:keepLines w:val="0"/>
              <w:numPr>
                <w:ilvl w:val="0"/>
                <w:numId w:val="4"/>
              </w:numPr>
              <w:suppressLineNumbers w:val="0"/>
              <w:tabs>
                <w:tab w:val="center" w:pos="4201"/>
                <w:tab w:val="right" w:leader="dot" w:pos="9298"/>
              </w:tabs>
              <w:spacing w:before="0" w:beforeAutospacing="0" w:after="0" w:afterAutospacing="0"/>
              <w:ind w:left="0" w:right="0" w:firstLineChars="0"/>
              <w:jc w:val="left"/>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开启所有设备，使用分贝计测量移动实验室内噪声；</w:t>
            </w:r>
          </w:p>
          <w:p w14:paraId="736A30BC">
            <w:pPr>
              <w:keepNext w:val="0"/>
              <w:keepLines w:val="0"/>
              <w:numPr>
                <w:ilvl w:val="0"/>
                <w:numId w:val="4"/>
              </w:numPr>
              <w:suppressLineNumbers w:val="0"/>
              <w:tabs>
                <w:tab w:val="center" w:pos="4201"/>
                <w:tab w:val="right" w:leader="dot" w:pos="9298"/>
              </w:tabs>
              <w:spacing w:before="0" w:beforeAutospacing="0" w:after="0" w:afterAutospacing="0"/>
              <w:ind w:left="0" w:right="0" w:firstLineChars="0"/>
              <w:jc w:val="both"/>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使用风速仪检测风机每小时流量。</w:t>
            </w:r>
          </w:p>
        </w:tc>
        <w:tc>
          <w:tcPr>
            <w:tcW w:w="702" w:type="dxa"/>
            <w:noWrap w:val="0"/>
            <w:vAlign w:val="center"/>
          </w:tcPr>
          <w:p w14:paraId="53AA45E4">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603DCABC">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53C9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78087FF2">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w:t>
            </w:r>
          </w:p>
        </w:tc>
        <w:tc>
          <w:tcPr>
            <w:tcW w:w="375" w:type="dxa"/>
            <w:vMerge w:val="continue"/>
            <w:noWrap w:val="0"/>
            <w:vAlign w:val="center"/>
          </w:tcPr>
          <w:p w14:paraId="70163034">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p>
        </w:tc>
        <w:tc>
          <w:tcPr>
            <w:tcW w:w="1313" w:type="dxa"/>
            <w:noWrap w:val="0"/>
            <w:vAlign w:val="center"/>
          </w:tcPr>
          <w:p w14:paraId="5D4B5B7F">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仪器平台</w:t>
            </w:r>
          </w:p>
        </w:tc>
        <w:tc>
          <w:tcPr>
            <w:tcW w:w="818" w:type="dxa"/>
            <w:noWrap w:val="0"/>
            <w:vAlign w:val="center"/>
          </w:tcPr>
          <w:p w14:paraId="12A43D55">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5.1.5</w:t>
            </w:r>
          </w:p>
        </w:tc>
        <w:tc>
          <w:tcPr>
            <w:tcW w:w="4192" w:type="dxa"/>
            <w:noWrap w:val="0"/>
            <w:vAlign w:val="center"/>
          </w:tcPr>
          <w:p w14:paraId="34B88191">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目视检查</w:t>
            </w:r>
          </w:p>
        </w:tc>
        <w:tc>
          <w:tcPr>
            <w:tcW w:w="702" w:type="dxa"/>
            <w:noWrap w:val="0"/>
            <w:vAlign w:val="center"/>
          </w:tcPr>
          <w:p w14:paraId="214A9BAF">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0BD35849">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30F1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67988A37">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6</w:t>
            </w:r>
          </w:p>
        </w:tc>
        <w:tc>
          <w:tcPr>
            <w:tcW w:w="375" w:type="dxa"/>
            <w:vMerge w:val="continue"/>
            <w:noWrap w:val="0"/>
            <w:vAlign w:val="center"/>
          </w:tcPr>
          <w:p w14:paraId="7D59C417">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p>
        </w:tc>
        <w:tc>
          <w:tcPr>
            <w:tcW w:w="1313" w:type="dxa"/>
            <w:noWrap w:val="0"/>
            <w:vAlign w:val="center"/>
          </w:tcPr>
          <w:p w14:paraId="4DD79E23">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安全</w:t>
            </w:r>
          </w:p>
        </w:tc>
        <w:tc>
          <w:tcPr>
            <w:tcW w:w="818" w:type="dxa"/>
            <w:noWrap w:val="0"/>
            <w:vAlign w:val="center"/>
          </w:tcPr>
          <w:p w14:paraId="190831EC">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5.1.6</w:t>
            </w:r>
          </w:p>
        </w:tc>
        <w:tc>
          <w:tcPr>
            <w:tcW w:w="4192" w:type="dxa"/>
            <w:noWrap w:val="0"/>
            <w:vAlign w:val="center"/>
          </w:tcPr>
          <w:p w14:paraId="3C9DAAAF">
            <w:pPr>
              <w:pStyle w:val="22"/>
              <w:keepNext w:val="0"/>
              <w:keepLines w:val="0"/>
              <w:widowControl w:val="0"/>
              <w:suppressLineNumbers w:val="0"/>
              <w:spacing w:before="0" w:beforeAutospacing="0" w:after="0" w:afterAutospacing="0"/>
              <w:ind w:left="0" w:right="0" w:firstLine="0" w:firstLineChars="0"/>
              <w:jc w:val="left"/>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关闭所有用电设备，断开电源线，使用万用表电阻档测量车体地线与接线柱间电阻不应大于1欧姆。目视检查配电系统应具备浪涌保护器。接插件、设备等应满足防爆要求。</w:t>
            </w:r>
          </w:p>
        </w:tc>
        <w:tc>
          <w:tcPr>
            <w:tcW w:w="702" w:type="dxa"/>
            <w:noWrap w:val="0"/>
            <w:vAlign w:val="center"/>
          </w:tcPr>
          <w:p w14:paraId="0C28A633">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1906DAE4">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34D6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4AE84B24">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7</w:t>
            </w:r>
          </w:p>
        </w:tc>
        <w:tc>
          <w:tcPr>
            <w:tcW w:w="375" w:type="dxa"/>
            <w:vMerge w:val="restart"/>
            <w:noWrap w:val="0"/>
            <w:vAlign w:val="center"/>
          </w:tcPr>
          <w:p w14:paraId="5B8249BD">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仪器设备</w:t>
            </w:r>
          </w:p>
        </w:tc>
        <w:tc>
          <w:tcPr>
            <w:tcW w:w="1313" w:type="dxa"/>
            <w:noWrap w:val="0"/>
            <w:vAlign w:val="center"/>
          </w:tcPr>
          <w:p w14:paraId="6219CA0B">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设备配置</w:t>
            </w:r>
          </w:p>
        </w:tc>
        <w:tc>
          <w:tcPr>
            <w:tcW w:w="818" w:type="dxa"/>
            <w:noWrap w:val="0"/>
            <w:vAlign w:val="center"/>
          </w:tcPr>
          <w:p w14:paraId="325DDE26">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5.2.1</w:t>
            </w:r>
          </w:p>
        </w:tc>
        <w:tc>
          <w:tcPr>
            <w:tcW w:w="4192" w:type="dxa"/>
            <w:noWrap w:val="0"/>
            <w:vAlign w:val="center"/>
          </w:tcPr>
          <w:p w14:paraId="2FDC336E">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目视检查设备配置应满足附录A</w:t>
            </w:r>
          </w:p>
        </w:tc>
        <w:tc>
          <w:tcPr>
            <w:tcW w:w="702" w:type="dxa"/>
            <w:noWrap w:val="0"/>
            <w:vAlign w:val="center"/>
          </w:tcPr>
          <w:p w14:paraId="6B3BC824">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3990464C">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64F7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17F47DAF">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8</w:t>
            </w:r>
          </w:p>
        </w:tc>
        <w:tc>
          <w:tcPr>
            <w:tcW w:w="375" w:type="dxa"/>
            <w:vMerge w:val="continue"/>
            <w:noWrap w:val="0"/>
            <w:vAlign w:val="center"/>
          </w:tcPr>
          <w:p w14:paraId="6A5EEE80">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p>
        </w:tc>
        <w:tc>
          <w:tcPr>
            <w:tcW w:w="1313" w:type="dxa"/>
            <w:noWrap w:val="0"/>
            <w:vAlign w:val="center"/>
          </w:tcPr>
          <w:p w14:paraId="0A52A8D0">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设备安装</w:t>
            </w:r>
          </w:p>
        </w:tc>
        <w:tc>
          <w:tcPr>
            <w:tcW w:w="818" w:type="dxa"/>
            <w:noWrap w:val="0"/>
            <w:vAlign w:val="center"/>
          </w:tcPr>
          <w:p w14:paraId="0C594E57">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5.2.2</w:t>
            </w:r>
          </w:p>
        </w:tc>
        <w:tc>
          <w:tcPr>
            <w:tcW w:w="4192" w:type="dxa"/>
            <w:noWrap w:val="0"/>
            <w:vAlign w:val="center"/>
          </w:tcPr>
          <w:p w14:paraId="765DF114">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目视检查</w:t>
            </w:r>
          </w:p>
        </w:tc>
        <w:tc>
          <w:tcPr>
            <w:tcW w:w="702" w:type="dxa"/>
            <w:noWrap w:val="0"/>
            <w:vAlign w:val="center"/>
          </w:tcPr>
          <w:p w14:paraId="08742115">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37A048BD">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3CE2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61C03403">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9</w:t>
            </w:r>
          </w:p>
        </w:tc>
        <w:tc>
          <w:tcPr>
            <w:tcW w:w="375" w:type="dxa"/>
            <w:vMerge w:val="restart"/>
            <w:noWrap w:val="0"/>
            <w:vAlign w:val="center"/>
          </w:tcPr>
          <w:p w14:paraId="7FC60C54">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载具</w:t>
            </w:r>
          </w:p>
        </w:tc>
        <w:tc>
          <w:tcPr>
            <w:tcW w:w="1313" w:type="dxa"/>
            <w:noWrap w:val="0"/>
            <w:vAlign w:val="center"/>
          </w:tcPr>
          <w:p w14:paraId="46D6C49F">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通用</w:t>
            </w:r>
          </w:p>
        </w:tc>
        <w:tc>
          <w:tcPr>
            <w:tcW w:w="818" w:type="dxa"/>
            <w:noWrap w:val="0"/>
            <w:vAlign w:val="center"/>
          </w:tcPr>
          <w:p w14:paraId="4EC09C6A">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5.4.1</w:t>
            </w:r>
          </w:p>
        </w:tc>
        <w:tc>
          <w:tcPr>
            <w:tcW w:w="4192" w:type="dxa"/>
            <w:noWrap w:val="0"/>
            <w:vAlign w:val="center"/>
          </w:tcPr>
          <w:p w14:paraId="07135E90">
            <w:pPr>
              <w:pStyle w:val="22"/>
              <w:keepNext w:val="0"/>
              <w:keepLines w:val="0"/>
              <w:widowControl w:val="0"/>
              <w:suppressLineNumbers w:val="0"/>
              <w:spacing w:before="0" w:beforeAutospacing="0" w:after="0" w:afterAutospacing="0"/>
              <w:ind w:left="0" w:right="0" w:firstLine="0" w:firstLineChars="0"/>
              <w:jc w:val="left"/>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移动实验室应满足GB7258-2017《机动车运行安全技术条件》规定的内容，具备工信部公告。</w:t>
            </w:r>
          </w:p>
        </w:tc>
        <w:tc>
          <w:tcPr>
            <w:tcW w:w="702" w:type="dxa"/>
            <w:noWrap w:val="0"/>
            <w:vAlign w:val="center"/>
          </w:tcPr>
          <w:p w14:paraId="3E9ADFE7">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7308D74B">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7B98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7F5F0ED7">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10</w:t>
            </w:r>
          </w:p>
        </w:tc>
        <w:tc>
          <w:tcPr>
            <w:tcW w:w="375" w:type="dxa"/>
            <w:vMerge w:val="continue"/>
            <w:noWrap w:val="0"/>
            <w:vAlign w:val="center"/>
          </w:tcPr>
          <w:p w14:paraId="7595A283">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p>
        </w:tc>
        <w:tc>
          <w:tcPr>
            <w:tcW w:w="1313" w:type="dxa"/>
            <w:noWrap w:val="0"/>
            <w:vAlign w:val="center"/>
          </w:tcPr>
          <w:p w14:paraId="7E49F52F">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zCs w:val="22"/>
                <w:lang w:bidi="zh-TW"/>
              </w:rPr>
              <w:t>动力</w:t>
            </w:r>
          </w:p>
        </w:tc>
        <w:tc>
          <w:tcPr>
            <w:tcW w:w="818" w:type="dxa"/>
            <w:noWrap w:val="0"/>
            <w:vAlign w:val="center"/>
          </w:tcPr>
          <w:p w14:paraId="38BB7DA3">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5.4.2</w:t>
            </w:r>
          </w:p>
        </w:tc>
        <w:tc>
          <w:tcPr>
            <w:tcW w:w="4192" w:type="dxa"/>
            <w:noWrap w:val="0"/>
            <w:vAlign w:val="center"/>
          </w:tcPr>
          <w:p w14:paraId="71FEF648">
            <w:pPr>
              <w:pStyle w:val="22"/>
              <w:keepNext w:val="0"/>
              <w:keepLines w:val="0"/>
              <w:widowControl w:val="0"/>
              <w:suppressLineNumbers w:val="0"/>
              <w:spacing w:before="0" w:beforeAutospacing="0" w:after="0" w:afterAutospacing="0"/>
              <w:ind w:left="0" w:right="0" w:firstLine="0" w:firstLineChars="0"/>
              <w:jc w:val="left"/>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目视检查车辆底盘技术参数并计算比功率应满足要求。</w:t>
            </w:r>
          </w:p>
          <w:p w14:paraId="1AFEBC12">
            <w:pPr>
              <w:pStyle w:val="22"/>
              <w:keepNext w:val="0"/>
              <w:keepLines w:val="0"/>
              <w:widowControl w:val="0"/>
              <w:suppressLineNumbers w:val="0"/>
              <w:spacing w:before="0" w:beforeAutospacing="0" w:after="0" w:afterAutospacing="0"/>
              <w:ind w:left="0" w:right="0" w:firstLine="0" w:firstLineChars="0"/>
              <w:jc w:val="left"/>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驾驶车辆在4级公路行驶5公里，行驶最高时速不低于60KM/h，车内不用有异响，设备固定牢固无共振。</w:t>
            </w:r>
          </w:p>
        </w:tc>
        <w:tc>
          <w:tcPr>
            <w:tcW w:w="702" w:type="dxa"/>
            <w:noWrap w:val="0"/>
            <w:vAlign w:val="center"/>
          </w:tcPr>
          <w:p w14:paraId="2C3BC5E8">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3756F88C">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527F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64DE73E3">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11</w:t>
            </w:r>
          </w:p>
        </w:tc>
        <w:tc>
          <w:tcPr>
            <w:tcW w:w="375" w:type="dxa"/>
            <w:vMerge w:val="continue"/>
            <w:noWrap w:val="0"/>
            <w:vAlign w:val="center"/>
          </w:tcPr>
          <w:p w14:paraId="6C2571B1">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p>
        </w:tc>
        <w:tc>
          <w:tcPr>
            <w:tcW w:w="1313" w:type="dxa"/>
            <w:noWrap w:val="0"/>
            <w:vAlign w:val="center"/>
          </w:tcPr>
          <w:p w14:paraId="5FF98B73">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制动</w:t>
            </w:r>
          </w:p>
        </w:tc>
        <w:tc>
          <w:tcPr>
            <w:tcW w:w="818" w:type="dxa"/>
            <w:noWrap w:val="0"/>
            <w:vAlign w:val="center"/>
          </w:tcPr>
          <w:p w14:paraId="28EEA706">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5.4.3</w:t>
            </w:r>
          </w:p>
        </w:tc>
        <w:tc>
          <w:tcPr>
            <w:tcW w:w="4192" w:type="dxa"/>
            <w:noWrap w:val="0"/>
            <w:vAlign w:val="center"/>
          </w:tcPr>
          <w:p w14:paraId="5F6D7596">
            <w:pPr>
              <w:pStyle w:val="22"/>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将车辆行驶至实验坡道（坡度不低于18%），使用制动器应能够将车辆稳定在坡道上。</w:t>
            </w:r>
          </w:p>
        </w:tc>
        <w:tc>
          <w:tcPr>
            <w:tcW w:w="702" w:type="dxa"/>
            <w:noWrap w:val="0"/>
            <w:vAlign w:val="center"/>
          </w:tcPr>
          <w:p w14:paraId="03A8AF36">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3C40A8B9">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48BF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76F164B4">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12</w:t>
            </w:r>
          </w:p>
        </w:tc>
        <w:tc>
          <w:tcPr>
            <w:tcW w:w="375" w:type="dxa"/>
            <w:vMerge w:val="continue"/>
            <w:noWrap w:val="0"/>
            <w:vAlign w:val="center"/>
          </w:tcPr>
          <w:p w14:paraId="548948D8">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p>
        </w:tc>
        <w:tc>
          <w:tcPr>
            <w:tcW w:w="1313" w:type="dxa"/>
            <w:noWrap w:val="0"/>
            <w:vAlign w:val="center"/>
          </w:tcPr>
          <w:p w14:paraId="280C68B3">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电力</w:t>
            </w:r>
          </w:p>
        </w:tc>
        <w:tc>
          <w:tcPr>
            <w:tcW w:w="818" w:type="dxa"/>
            <w:noWrap w:val="0"/>
            <w:vAlign w:val="center"/>
          </w:tcPr>
          <w:p w14:paraId="29523278">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5.4.4</w:t>
            </w:r>
          </w:p>
        </w:tc>
        <w:tc>
          <w:tcPr>
            <w:tcW w:w="4192" w:type="dxa"/>
            <w:noWrap w:val="0"/>
            <w:vAlign w:val="center"/>
          </w:tcPr>
          <w:p w14:paraId="38B9F1B1">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目视检验，实际操作</w:t>
            </w:r>
          </w:p>
        </w:tc>
        <w:tc>
          <w:tcPr>
            <w:tcW w:w="702" w:type="dxa"/>
            <w:noWrap w:val="0"/>
            <w:vAlign w:val="center"/>
          </w:tcPr>
          <w:p w14:paraId="4670863E">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6ABA0CA4">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3C60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2605187B">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13</w:t>
            </w:r>
          </w:p>
        </w:tc>
        <w:tc>
          <w:tcPr>
            <w:tcW w:w="375" w:type="dxa"/>
            <w:vMerge w:val="continue"/>
            <w:noWrap w:val="0"/>
            <w:vAlign w:val="center"/>
          </w:tcPr>
          <w:p w14:paraId="3A390EF3">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p>
        </w:tc>
        <w:tc>
          <w:tcPr>
            <w:tcW w:w="1313" w:type="dxa"/>
            <w:noWrap w:val="0"/>
            <w:vAlign w:val="center"/>
          </w:tcPr>
          <w:p w14:paraId="68FB25F3">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时速</w:t>
            </w:r>
          </w:p>
        </w:tc>
        <w:tc>
          <w:tcPr>
            <w:tcW w:w="818" w:type="dxa"/>
            <w:noWrap w:val="0"/>
            <w:vAlign w:val="center"/>
          </w:tcPr>
          <w:p w14:paraId="2963675A">
            <w:pPr>
              <w:pStyle w:val="22"/>
              <w:keepNext w:val="0"/>
              <w:keepLines w:val="0"/>
              <w:widowControl w:val="0"/>
              <w:suppressLineNumbers w:val="0"/>
              <w:spacing w:before="0" w:beforeAutospacing="0" w:after="0" w:afterAutospacing="0"/>
              <w:ind w:left="0" w:right="0" w:firstLine="0" w:firstLineChars="0"/>
              <w:jc w:val="center"/>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5.4.5</w:t>
            </w:r>
          </w:p>
        </w:tc>
        <w:tc>
          <w:tcPr>
            <w:tcW w:w="4192" w:type="dxa"/>
            <w:noWrap w:val="0"/>
            <w:vAlign w:val="center"/>
          </w:tcPr>
          <w:p w14:paraId="630A1122">
            <w:pPr>
              <w:pStyle w:val="22"/>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color w:val="000000"/>
                <w:spacing w:val="0"/>
                <w:w w:val="100"/>
                <w:position w:val="0"/>
                <w:sz w:val="21"/>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目视检验，实际操作</w:t>
            </w:r>
          </w:p>
        </w:tc>
        <w:tc>
          <w:tcPr>
            <w:tcW w:w="702" w:type="dxa"/>
            <w:noWrap w:val="0"/>
            <w:vAlign w:val="center"/>
          </w:tcPr>
          <w:p w14:paraId="25D9EF1E">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c>
          <w:tcPr>
            <w:tcW w:w="696" w:type="dxa"/>
            <w:noWrap w:val="0"/>
            <w:vAlign w:val="center"/>
          </w:tcPr>
          <w:p w14:paraId="149A896E">
            <w:pPr>
              <w:pStyle w:val="22"/>
              <w:keepNext w:val="0"/>
              <w:keepLines w:val="0"/>
              <w:widowControl w:val="0"/>
              <w:suppressLineNumbers w:val="0"/>
              <w:spacing w:before="0" w:beforeAutospacing="0" w:after="0" w:afterAutospacing="0"/>
              <w:ind w:left="0" w:right="0" w:firstLine="0" w:firstLineChars="0"/>
              <w:jc w:val="center"/>
              <w:rPr>
                <w:rFonts w:hint="eastAsia"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w:t>
            </w:r>
          </w:p>
        </w:tc>
      </w:tr>
      <w:tr w14:paraId="1777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22" w:type="dxa"/>
            <w:gridSpan w:val="7"/>
            <w:noWrap w:val="0"/>
            <w:vAlign w:val="center"/>
          </w:tcPr>
          <w:p w14:paraId="60EF02D2">
            <w:pPr>
              <w:pStyle w:val="22"/>
              <w:keepNext w:val="0"/>
              <w:keepLines w:val="0"/>
              <w:widowControl w:val="0"/>
              <w:suppressLineNumbers w:val="0"/>
              <w:spacing w:before="0" w:beforeAutospacing="0" w:after="0" w:afterAutospacing="0"/>
              <w:ind w:left="0" w:right="0" w:firstLine="0" w:firstLineChars="0"/>
              <w:jc w:val="left"/>
              <w:rPr>
                <w:rFonts w:hint="default" w:hAnsi="宋体" w:eastAsia="宋体" w:cs="宋体"/>
                <w:color w:val="000000"/>
                <w:spacing w:val="0"/>
                <w:w w:val="100"/>
                <w:position w:val="0"/>
                <w:szCs w:val="22"/>
                <w:vertAlign w:val="baseline"/>
                <w:lang w:val="en-US" w:eastAsia="zh-CN" w:bidi="zh-TW"/>
              </w:rPr>
            </w:pPr>
            <w:r>
              <w:rPr>
                <w:rFonts w:hint="eastAsia" w:hAnsi="宋体" w:eastAsia="宋体" w:cs="宋体"/>
                <w:color w:val="000000"/>
                <w:spacing w:val="0"/>
                <w:w w:val="100"/>
                <w:position w:val="0"/>
                <w:szCs w:val="22"/>
                <w:vertAlign w:val="baseline"/>
                <w:lang w:val="en-US" w:eastAsia="zh-CN" w:bidi="zh-TW"/>
              </w:rPr>
              <w:t>注：※-必检项；·-资料检验</w:t>
            </w:r>
          </w:p>
        </w:tc>
      </w:tr>
    </w:tbl>
    <w:p w14:paraId="4C8C61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default"/>
          <w:sz w:val="24"/>
          <w:szCs w:val="24"/>
          <w:highlight w:val="none"/>
          <w:lang w:val="en-US" w:eastAsia="zh-CN"/>
        </w:rPr>
      </w:pPr>
    </w:p>
    <w:p w14:paraId="6C557F49">
      <w:pPr>
        <w:numPr>
          <w:ilvl w:val="0"/>
          <w:numId w:val="2"/>
        </w:numPr>
        <w:spacing w:before="100" w:beforeAutospacing="1" w:after="100" w:afterAutospacing="1" w:line="360" w:lineRule="auto"/>
        <w:rPr>
          <w:rFonts w:hint="eastAsia" w:eastAsia="黑体"/>
          <w:sz w:val="24"/>
          <w:szCs w:val="24"/>
          <w:lang w:val="en-US" w:eastAsia="zh-CN"/>
        </w:rPr>
      </w:pPr>
      <w:r>
        <w:rPr>
          <w:rFonts w:hint="eastAsia" w:eastAsia="黑体"/>
          <w:sz w:val="24"/>
          <w:szCs w:val="24"/>
          <w:lang w:val="en-US" w:eastAsia="zh-CN"/>
        </w:rPr>
        <w:t>标志、运输及贮存（重庆）</w:t>
      </w:r>
    </w:p>
    <w:p w14:paraId="379C5A54">
      <w:pPr>
        <w:keepNext w:val="0"/>
        <w:keepLines w:val="0"/>
        <w:pageBreakBefore w:val="0"/>
        <w:widowControl w:val="0"/>
        <w:numPr>
          <w:ilvl w:val="0"/>
          <w:numId w:val="0"/>
        </w:numPr>
        <w:kinsoku/>
        <w:wordWrap/>
        <w:overflowPunct/>
        <w:topLinePunct w:val="0"/>
        <w:autoSpaceDE/>
        <w:autoSpaceDN/>
        <w:bidi w:val="0"/>
        <w:adjustRightInd/>
        <w:snapToGrid/>
        <w:spacing w:before="100" w:beforeAutospacing="1" w:after="100" w:afterAutospacing="1" w:line="240" w:lineRule="atLeast"/>
        <w:textAlignment w:val="auto"/>
        <w:rPr>
          <w:rFonts w:hint="eastAsia" w:ascii="Arial" w:hAnsi="Arial" w:eastAsia="黑体" w:cs="Times New Roman"/>
          <w:kern w:val="2"/>
          <w:sz w:val="24"/>
          <w:szCs w:val="24"/>
          <w:lang w:val="en-US" w:eastAsia="zh-CN" w:bidi="ar-SA"/>
        </w:rPr>
      </w:pPr>
      <w:r>
        <w:rPr>
          <w:rFonts w:hint="eastAsia" w:ascii="Arial" w:hAnsi="Arial" w:eastAsia="黑体" w:cs="Times New Roman"/>
          <w:kern w:val="2"/>
          <w:sz w:val="24"/>
          <w:szCs w:val="24"/>
          <w:lang w:val="en-US" w:eastAsia="zh-CN" w:bidi="ar-SA"/>
        </w:rPr>
        <w:t>7.1 标志</w:t>
      </w:r>
    </w:p>
    <w:p w14:paraId="7E4E6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标准编制过程中依据GB/T 29473-2020《移动实验室分类、代号及标识》中第5章移动实验室代号和标记中要求，移动实验室应有统一的外观标志、操作标识及警示标志。</w:t>
      </w:r>
    </w:p>
    <w:p w14:paraId="3D711E9B">
      <w:pPr>
        <w:keepNext w:val="0"/>
        <w:keepLines w:val="0"/>
        <w:pageBreakBefore w:val="0"/>
        <w:widowControl w:val="0"/>
        <w:numPr>
          <w:ilvl w:val="0"/>
          <w:numId w:val="0"/>
        </w:numPr>
        <w:kinsoku/>
        <w:wordWrap/>
        <w:overflowPunct/>
        <w:topLinePunct w:val="0"/>
        <w:autoSpaceDE/>
        <w:autoSpaceDN/>
        <w:bidi w:val="0"/>
        <w:adjustRightInd/>
        <w:snapToGrid/>
        <w:spacing w:before="100" w:beforeAutospacing="1" w:after="100" w:afterAutospacing="1" w:line="240" w:lineRule="atLeast"/>
        <w:textAlignment w:val="auto"/>
        <w:rPr>
          <w:rFonts w:hint="eastAsia" w:ascii="Arial" w:hAnsi="Arial" w:eastAsia="黑体" w:cs="Times New Roman"/>
          <w:kern w:val="2"/>
          <w:sz w:val="24"/>
          <w:szCs w:val="24"/>
          <w:lang w:val="en-US" w:eastAsia="zh-CN" w:bidi="ar-SA"/>
        </w:rPr>
      </w:pPr>
      <w:r>
        <w:rPr>
          <w:rFonts w:hint="eastAsia" w:ascii="Arial" w:hAnsi="Arial" w:eastAsia="黑体" w:cs="Times New Roman"/>
          <w:kern w:val="2"/>
          <w:sz w:val="24"/>
          <w:szCs w:val="24"/>
          <w:lang w:val="en-US" w:eastAsia="zh-CN" w:bidi="ar-SA"/>
        </w:rPr>
        <w:t>7.2 运输</w:t>
      </w:r>
    </w:p>
    <w:p w14:paraId="17644632">
      <w:pPr>
        <w:keepNext w:val="0"/>
        <w:keepLines w:val="0"/>
        <w:pageBreakBefore w:val="0"/>
        <w:widowControl w:val="0"/>
        <w:numPr>
          <w:ilvl w:val="0"/>
          <w:numId w:val="0"/>
        </w:numPr>
        <w:kinsoku/>
        <w:wordWrap/>
        <w:overflowPunct/>
        <w:topLinePunct w:val="0"/>
        <w:autoSpaceDE/>
        <w:autoSpaceDN/>
        <w:bidi w:val="0"/>
        <w:adjustRightInd/>
        <w:snapToGrid/>
        <w:spacing w:before="100" w:beforeAutospacing="1" w:after="100" w:afterAutospacing="1" w:line="240" w:lineRule="atLeast"/>
        <w:textAlignment w:val="auto"/>
        <w:rPr>
          <w:rFonts w:hint="eastAsia" w:ascii="Arial" w:hAnsi="Arial" w:eastAsia="黑体" w:cs="Times New Roman"/>
          <w:kern w:val="2"/>
          <w:sz w:val="24"/>
          <w:szCs w:val="24"/>
          <w:lang w:val="en-US" w:eastAsia="zh-CN" w:bidi="ar-SA"/>
        </w:rPr>
      </w:pPr>
      <w:r>
        <w:rPr>
          <w:rFonts w:hint="eastAsia" w:ascii="Arial" w:hAnsi="Arial" w:eastAsia="黑体" w:cs="Times New Roman"/>
          <w:kern w:val="2"/>
          <w:sz w:val="24"/>
          <w:szCs w:val="24"/>
          <w:lang w:val="en-US" w:eastAsia="zh-CN" w:bidi="ar-SA"/>
        </w:rPr>
        <w:t xml:space="preserve">    </w:t>
      </w:r>
      <w:r>
        <w:rPr>
          <w:rFonts w:hint="eastAsia"/>
          <w:sz w:val="24"/>
          <w:szCs w:val="24"/>
          <w:highlight w:val="none"/>
          <w:lang w:val="en-US" w:eastAsia="zh-CN"/>
        </w:rPr>
        <w:t>按照标准GB/T 29473-2020《移动实验室移动实验室分类、代号及标识》中5.3.1规定移动实验室在运输时应以自行或拖曳方式上下车(船),若必须用吊装方式装卸时，需用专用吊具装卸，避免损伤。</w:t>
      </w:r>
    </w:p>
    <w:p w14:paraId="10C4E76A">
      <w:pPr>
        <w:keepNext w:val="0"/>
        <w:keepLines w:val="0"/>
        <w:pageBreakBefore w:val="0"/>
        <w:widowControl w:val="0"/>
        <w:numPr>
          <w:ilvl w:val="0"/>
          <w:numId w:val="0"/>
        </w:numPr>
        <w:kinsoku/>
        <w:wordWrap/>
        <w:overflowPunct/>
        <w:topLinePunct w:val="0"/>
        <w:autoSpaceDE/>
        <w:autoSpaceDN/>
        <w:bidi w:val="0"/>
        <w:adjustRightInd/>
        <w:snapToGrid/>
        <w:spacing w:before="100" w:beforeAutospacing="1" w:after="100" w:afterAutospacing="1" w:line="240" w:lineRule="atLeast"/>
        <w:textAlignment w:val="auto"/>
        <w:rPr>
          <w:rFonts w:hint="eastAsia" w:ascii="Arial" w:hAnsi="Arial" w:eastAsia="黑体" w:cs="Times New Roman"/>
          <w:kern w:val="2"/>
          <w:sz w:val="24"/>
          <w:szCs w:val="24"/>
          <w:lang w:val="en-US" w:eastAsia="zh-CN" w:bidi="ar-SA"/>
        </w:rPr>
      </w:pPr>
      <w:r>
        <w:rPr>
          <w:rFonts w:hint="eastAsia" w:ascii="Arial" w:hAnsi="Arial" w:eastAsia="黑体" w:cs="Times New Roman"/>
          <w:kern w:val="2"/>
          <w:sz w:val="24"/>
          <w:szCs w:val="24"/>
          <w:lang w:val="en-US" w:eastAsia="zh-CN" w:bidi="ar-SA"/>
        </w:rPr>
        <w:t>7.3 贮存</w:t>
      </w:r>
    </w:p>
    <w:p w14:paraId="0999E20E">
      <w:pPr>
        <w:keepNext w:val="0"/>
        <w:keepLines w:val="0"/>
        <w:pageBreakBefore w:val="0"/>
        <w:widowControl w:val="0"/>
        <w:numPr>
          <w:ilvl w:val="0"/>
          <w:numId w:val="0"/>
        </w:numPr>
        <w:kinsoku/>
        <w:wordWrap/>
        <w:overflowPunct/>
        <w:topLinePunct w:val="0"/>
        <w:autoSpaceDE/>
        <w:autoSpaceDN/>
        <w:bidi w:val="0"/>
        <w:adjustRightInd/>
        <w:snapToGrid/>
        <w:spacing w:before="100" w:beforeAutospacing="1" w:after="100" w:afterAutospacing="1" w:line="240" w:lineRule="atLeast"/>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按照标准GB/T33253-2016《移动实验室 载具通用技术规范》中7.3贮存的要求，移动实验室长期停放时应将冷却液及燃油放尽，电源断开，门窗封闭，放置于干燥、通风、防蚀的场所，并按产品使用说明书的规定进行定期保养。</w:t>
      </w:r>
    </w:p>
    <w:p w14:paraId="724E522B">
      <w:pPr>
        <w:numPr>
          <w:ilvl w:val="0"/>
          <w:numId w:val="2"/>
        </w:numPr>
        <w:spacing w:before="100" w:beforeAutospacing="1" w:after="100" w:afterAutospacing="1" w:line="360" w:lineRule="auto"/>
        <w:rPr>
          <w:rFonts w:hint="eastAsia"/>
          <w:lang w:eastAsia="zh-CN"/>
        </w:rPr>
      </w:pPr>
      <w:r>
        <w:rPr>
          <w:rFonts w:hint="eastAsia" w:eastAsia="黑体"/>
          <w:sz w:val="24"/>
          <w:szCs w:val="24"/>
          <w:lang w:val="en-US" w:eastAsia="zh-CN"/>
        </w:rPr>
        <w:t>质量控制要求（河北）</w:t>
      </w:r>
    </w:p>
    <w:p w14:paraId="28777E45">
      <w:pPr>
        <w:pStyle w:val="21"/>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ind w:leftChars="0" w:firstLine="480" w:firstLineChars="200"/>
        <w:jc w:val="both"/>
        <w:textAlignment w:val="auto"/>
        <w:rPr>
          <w:rFonts w:hint="eastAsia" w:ascii="Arial" w:hAnsi="Arial" w:eastAsia="微软雅黑" w:cs="Times New Roman"/>
          <w:kern w:val="2"/>
          <w:sz w:val="24"/>
          <w:szCs w:val="24"/>
          <w:lang w:val="en-US" w:eastAsia="zh-CN" w:bidi="ar-SA"/>
        </w:rPr>
      </w:pPr>
      <w:r>
        <w:rPr>
          <w:rFonts w:hint="default" w:ascii="Arial" w:hAnsi="Arial" w:eastAsia="微软雅黑" w:cs="Times New Roman"/>
          <w:kern w:val="2"/>
          <w:sz w:val="24"/>
          <w:szCs w:val="24"/>
          <w:lang w:val="zh-TW" w:eastAsia="zh-TW" w:bidi="ar-SA"/>
        </w:rPr>
        <w:t>移动实验室内设备采用现行国家标准或行业标准其质量指控要求依据现行国家标准或行业标准的质量控制要求执行。</w:t>
      </w:r>
      <w:r>
        <w:rPr>
          <w:rFonts w:hint="eastAsia" w:ascii="Arial" w:hAnsi="Arial" w:eastAsia="微软雅黑" w:cs="Times New Roman"/>
          <w:kern w:val="2"/>
          <w:sz w:val="24"/>
          <w:szCs w:val="24"/>
          <w:lang w:val="en-US" w:eastAsia="zh-CN" w:bidi="ar-SA"/>
        </w:rPr>
        <w:t>以闭口闪点检测项目为例，现行国家标准为GB/T 261-2021《闪点的测定 宾斯基-马丁闭口杯法》，质量控制要求依据其标准附录B 仪器校验中使用SWS和有证标准样品CRM对仪器进行校准。用贴近检测样本值的烃类标准样品十一烷进行闭口闪点值的测试，三次实验分别为69.0，68.0，69.0，剔除异常值后，计算结果的算术平均值为68.66，与十一烷标准闪点值68.7的差值为0.04小于允许差值±3.2，质量控制结果满意。</w:t>
      </w:r>
    </w:p>
    <w:p w14:paraId="380120CA">
      <w:pPr>
        <w:pStyle w:val="21"/>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ind w:leftChars="0" w:firstLine="480" w:firstLineChars="200"/>
        <w:jc w:val="both"/>
        <w:textAlignment w:val="auto"/>
        <w:rPr>
          <w:rFonts w:hint="eastAsia" w:ascii="Arial" w:hAnsi="Arial" w:eastAsia="微软雅黑" w:cs="Times New Roman"/>
          <w:kern w:val="2"/>
          <w:sz w:val="24"/>
          <w:szCs w:val="24"/>
          <w:lang w:val="en-US" w:eastAsia="zh-CN" w:bidi="ar-SA"/>
        </w:rPr>
      </w:pPr>
      <w:r>
        <w:rPr>
          <w:rFonts w:hint="eastAsia" w:ascii="Arial" w:hAnsi="Arial" w:eastAsia="微软雅黑" w:cs="Times New Roman"/>
          <w:kern w:val="2"/>
          <w:sz w:val="24"/>
          <w:szCs w:val="24"/>
          <w:lang w:val="en-US" w:eastAsia="zh-CN" w:bidi="ar-SA"/>
        </w:rPr>
        <w:t>采用</w:t>
      </w:r>
      <w:r>
        <w:rPr>
          <w:rFonts w:hint="eastAsia" w:ascii="Arial" w:hAnsi="Arial" w:eastAsia="微软雅黑" w:cs="Times New Roman"/>
          <w:kern w:val="2"/>
          <w:sz w:val="24"/>
          <w:szCs w:val="24"/>
          <w:lang w:val="en-US" w:eastAsia="zh-CN" w:bidi="ar-SA"/>
        </w:rPr>
        <w:fldChar w:fldCharType="begin"/>
      </w:r>
      <w:r>
        <w:rPr>
          <w:rFonts w:hint="eastAsia" w:ascii="Arial" w:hAnsi="Arial" w:eastAsia="微软雅黑" w:cs="Times New Roman"/>
          <w:kern w:val="2"/>
          <w:sz w:val="24"/>
          <w:szCs w:val="24"/>
          <w:lang w:val="en-US" w:eastAsia="zh-CN" w:bidi="ar-SA"/>
        </w:rPr>
        <w:instrText xml:space="preserve"> HYPERLINK "https://www.ncrm.org.cn/Web/Ordering/MaterialDetail?autoID=5679" </w:instrText>
      </w:r>
      <w:r>
        <w:rPr>
          <w:rFonts w:hint="eastAsia" w:ascii="Arial" w:hAnsi="Arial" w:eastAsia="微软雅黑" w:cs="Times New Roman"/>
          <w:kern w:val="2"/>
          <w:sz w:val="24"/>
          <w:szCs w:val="24"/>
          <w:lang w:val="en-US" w:eastAsia="zh-CN" w:bidi="ar-SA"/>
        </w:rPr>
        <w:fldChar w:fldCharType="separate"/>
      </w:r>
      <w:r>
        <w:rPr>
          <w:rFonts w:hint="eastAsia" w:ascii="Arial" w:hAnsi="Arial" w:eastAsia="微软雅黑" w:cs="Times New Roman"/>
          <w:kern w:val="2"/>
          <w:sz w:val="24"/>
          <w:szCs w:val="24"/>
          <w:lang w:val="en-US" w:eastAsia="zh-CN" w:bidi="ar-SA"/>
        </w:rPr>
        <w:t>GBW(E)110047</w:t>
      </w:r>
      <w:r>
        <w:rPr>
          <w:rFonts w:hint="eastAsia" w:ascii="Arial" w:hAnsi="Arial" w:eastAsia="微软雅黑" w:cs="Times New Roman"/>
          <w:kern w:val="2"/>
          <w:sz w:val="24"/>
          <w:szCs w:val="24"/>
          <w:lang w:val="en-US" w:eastAsia="zh-CN" w:bidi="ar-SA"/>
        </w:rPr>
        <w:fldChar w:fldCharType="end"/>
      </w:r>
      <w:r>
        <w:rPr>
          <w:rFonts w:hint="eastAsia" w:ascii="Arial" w:hAnsi="Arial" w:eastAsia="微软雅黑" w:cs="Times New Roman"/>
          <w:kern w:val="2"/>
          <w:sz w:val="24"/>
          <w:szCs w:val="24"/>
          <w:lang w:val="en-US" w:eastAsia="zh-CN" w:bidi="ar-SA"/>
        </w:rPr>
        <w:t> 闭口闪点标准物质的测定，测定数值为70.5,70.5；算数平均值为70.5，与标准值70.8之差为0.3满足</w:t>
      </w:r>
      <m:oMath>
        <m:r>
          <m:rPr>
            <m:sty m:val="p"/>
          </m:rPr>
          <w:rPr>
            <w:rFonts w:hint="default" w:ascii="Cambria Math" w:hAnsi="Cambria Math" w:eastAsia="微软雅黑" w:cs="Times New Roman"/>
            <w:kern w:val="2"/>
            <w:sz w:val="24"/>
            <w:szCs w:val="24"/>
            <w:lang w:val="en-US" w:eastAsia="zh-CN" w:bidi="ar-SA"/>
          </w:rPr>
          <m:t>|x−</m:t>
        </m:r>
        <m:r>
          <m:rPr>
            <m:sty m:val="p"/>
          </m:rPr>
          <w:rPr>
            <w:rFonts w:hint="default" w:ascii="Cambria Math" w:hAnsi="Cambria Math" w:eastAsia="微软雅黑" w:cs="Times New Roman"/>
            <w:kern w:val="2"/>
            <w:sz w:val="24"/>
            <w:szCs w:val="24"/>
            <w:lang w:val="en-US" w:eastAsia="zh-TW" w:bidi="ar-SA"/>
          </w:rPr>
          <m:t>μ</m:t>
        </m:r>
        <m:r>
          <m:rPr>
            <m:sty m:val="p"/>
          </m:rPr>
          <w:rPr>
            <w:rFonts w:hint="default" w:ascii="Cambria Math" w:hAnsi="Cambria Math" w:eastAsia="微软雅黑" w:cs="Times New Roman"/>
            <w:kern w:val="2"/>
            <w:sz w:val="24"/>
            <w:szCs w:val="24"/>
            <w:lang w:val="en-US" w:eastAsia="zh-CN" w:bidi="ar-SA"/>
          </w:rPr>
          <m:t>|</m:t>
        </m:r>
        <m:r>
          <m:rPr>
            <m:sty m:val="p"/>
          </m:rPr>
          <w:rPr>
            <w:rFonts w:hint="default" w:ascii="Cambria Math" w:hAnsi="Cambria Math" w:eastAsia="微软雅黑" w:cs="Times New Roman"/>
            <w:kern w:val="2"/>
            <w:sz w:val="24"/>
            <w:szCs w:val="24"/>
            <w:lang w:val="en-US" w:eastAsia="zh-TW" w:bidi="ar-SA"/>
          </w:rPr>
          <m:t>≤</m:t>
        </m:r>
        <m:r>
          <m:rPr>
            <m:sty m:val="p"/>
          </m:rPr>
          <w:rPr>
            <w:rFonts w:hint="default" w:ascii="Cambria Math" w:hAnsi="Cambria Math" w:eastAsia="微软雅黑" w:cs="Times New Roman"/>
            <w:kern w:val="2"/>
            <w:sz w:val="24"/>
            <w:szCs w:val="24"/>
            <w:lang w:val="en-US" w:eastAsia="zh-CN" w:bidi="ar-SA"/>
          </w:rPr>
          <m:t>R/</m:t>
        </m:r>
        <m:rad>
          <m:radPr>
            <m:degHide m:val="1"/>
            <m:ctrlPr>
              <w:rPr>
                <w:rFonts w:hint="default" w:ascii="Cambria Math" w:hAnsi="Cambria Math" w:eastAsia="微软雅黑" w:cs="Times New Roman"/>
                <w:kern w:val="2"/>
                <w:sz w:val="24"/>
                <w:szCs w:val="24"/>
                <w:lang w:val="en-US" w:eastAsia="zh-CN" w:bidi="ar-SA"/>
              </w:rPr>
            </m:ctrlPr>
          </m:radPr>
          <m:deg>
            <m:ctrlPr>
              <w:rPr>
                <w:rFonts w:hint="default" w:ascii="Cambria Math" w:hAnsi="Cambria Math" w:eastAsia="微软雅黑" w:cs="Times New Roman"/>
                <w:kern w:val="2"/>
                <w:sz w:val="24"/>
                <w:szCs w:val="24"/>
                <w:lang w:val="en-US" w:eastAsia="zh-CN" w:bidi="ar-SA"/>
              </w:rPr>
            </m:ctrlPr>
          </m:deg>
          <m:e>
            <m:r>
              <m:rPr>
                <m:sty m:val="p"/>
              </m:rPr>
              <w:rPr>
                <w:rFonts w:hint="default" w:ascii="Cambria Math" w:hAnsi="Cambria Math" w:eastAsia="微软雅黑" w:cs="Times New Roman"/>
                <w:kern w:val="2"/>
                <w:sz w:val="24"/>
                <w:szCs w:val="24"/>
                <w:lang w:val="en-US" w:eastAsia="zh-CN" w:bidi="ar-SA"/>
              </w:rPr>
              <m:t>2</m:t>
            </m:r>
            <m:ctrlPr>
              <w:rPr>
                <w:rFonts w:hint="default" w:ascii="Cambria Math" w:hAnsi="Cambria Math" w:eastAsia="微软雅黑" w:cs="Times New Roman"/>
                <w:kern w:val="2"/>
                <w:sz w:val="24"/>
                <w:szCs w:val="24"/>
                <w:lang w:val="en-US" w:eastAsia="zh-CN" w:bidi="ar-SA"/>
              </w:rPr>
            </m:ctrlPr>
          </m:e>
        </m:rad>
      </m:oMath>
      <w:r>
        <w:rPr>
          <w:rFonts w:hint="eastAsia" w:ascii="Arial" w:hAnsi="Arial" w:eastAsia="微软雅黑" w:cs="Times New Roman"/>
          <w:kern w:val="2"/>
          <w:sz w:val="24"/>
          <w:szCs w:val="24"/>
          <w:lang w:val="en-US" w:eastAsia="zh-CN" w:bidi="ar-SA"/>
        </w:rPr>
        <w:t>要求，质量控制结果满意。</w:t>
      </w:r>
    </w:p>
    <w:p w14:paraId="73E95BB2">
      <w:pPr>
        <w:pStyle w:val="21"/>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ind w:leftChars="0" w:firstLine="480" w:firstLineChars="200"/>
        <w:jc w:val="both"/>
        <w:textAlignment w:val="auto"/>
        <w:rPr>
          <w:rFonts w:hint="default" w:ascii="Arial" w:hAnsi="Arial" w:eastAsia="微软雅黑" w:cs="Times New Roman"/>
          <w:kern w:val="2"/>
          <w:sz w:val="24"/>
          <w:szCs w:val="24"/>
          <w:lang w:val="zh-TW" w:eastAsia="zh-TW" w:bidi="ar-SA"/>
        </w:rPr>
      </w:pPr>
      <w:r>
        <w:rPr>
          <w:rFonts w:hint="default" w:ascii="Arial" w:hAnsi="Arial" w:eastAsia="微软雅黑" w:cs="Times New Roman"/>
          <w:kern w:val="2"/>
          <w:sz w:val="24"/>
          <w:szCs w:val="24"/>
          <w:lang w:val="zh-TW" w:eastAsia="zh-TW" w:bidi="ar-SA"/>
        </w:rPr>
        <w:t>非现行国家标准或行业标准等快速检测方法，应根据方法类型，如定性测试、预测定量类等，选择适宜的质量控制方法。</w:t>
      </w:r>
    </w:p>
    <w:p w14:paraId="08098B77">
      <w:pPr>
        <w:pStyle w:val="23"/>
        <w:spacing w:before="156" w:after="156"/>
        <w:rPr>
          <w:sz w:val="24"/>
          <w:szCs w:val="24"/>
          <w:shd w:val="clear" w:color="auto" w:fill="FFFFFF"/>
        </w:rPr>
      </w:pPr>
      <w:r>
        <w:rPr>
          <w:rFonts w:hint="eastAsia"/>
          <w:sz w:val="24"/>
          <w:szCs w:val="24"/>
          <w:shd w:val="clear" w:color="auto" w:fill="FFFFFF"/>
          <w:lang w:val="en-US" w:eastAsia="zh-CN"/>
        </w:rPr>
        <w:t>8.2.1</w:t>
      </w:r>
      <w:r>
        <w:rPr>
          <w:sz w:val="24"/>
          <w:szCs w:val="24"/>
          <w:shd w:val="clear" w:color="auto" w:fill="FFFFFF"/>
        </w:rPr>
        <w:t xml:space="preserve"> </w:t>
      </w:r>
      <w:r>
        <w:rPr>
          <w:rFonts w:hint="eastAsia"/>
          <w:sz w:val="24"/>
          <w:szCs w:val="24"/>
          <w:shd w:val="clear" w:color="auto" w:fill="FFFFFF"/>
        </w:rPr>
        <w:t xml:space="preserve"> 使用干扰实验进行评价</w:t>
      </w:r>
    </w:p>
    <w:p w14:paraId="14745C14">
      <w:pPr>
        <w:ind w:firstLine="420"/>
        <w:rPr>
          <w:rFonts w:hint="default"/>
          <w:sz w:val="24"/>
          <w:szCs w:val="24"/>
          <w:shd w:val="clear" w:color="auto" w:fill="FFFFFF"/>
          <w:lang w:val="en-US" w:eastAsia="zh-CN"/>
        </w:rPr>
      </w:pPr>
      <w:r>
        <w:rPr>
          <w:rFonts w:hint="eastAsia"/>
          <w:sz w:val="24"/>
          <w:szCs w:val="24"/>
          <w:shd w:val="clear" w:color="auto" w:fill="FFFFFF"/>
        </w:rPr>
        <w:t>检测方法的抗干扰性是指在外部干扰因素的影响下，检测方法仍然能够准确、可靠地检测样品的特性或物质的含量等信息。抗干扰性能是检测方法质量评价的重要指标之一。方法的抗干扰性可按下述方式验证：确定可能对检测方法产生干扰的源头，例如参数变化、环境条件以及检测对象属性等，根据不同的干扰源，制定相应的验证方案并开展验证。特别要注意的是，同类物质在理化性质上相似，在方案设计时要优先充分考虑同系物的干扰。同时，不同的检测方法在干扰源和干扰强度下的表现不同，需要尽可能模拟真实的干扰情况，以保证验证结果的准确性和可靠性。</w:t>
      </w:r>
      <w:r>
        <w:rPr>
          <w:rFonts w:hint="eastAsia"/>
          <w:sz w:val="24"/>
          <w:szCs w:val="24"/>
          <w:shd w:val="clear" w:color="auto" w:fill="FFFFFF"/>
          <w:lang w:val="en-US" w:eastAsia="zh-CN"/>
        </w:rPr>
        <w:t>适用于定性测试类的快速检测方法评价。如：铜片腐蚀的快速测定、车用乙醇汽油中甲醇的快速测定。</w:t>
      </w:r>
    </w:p>
    <w:p w14:paraId="1ECCF011">
      <w:pPr>
        <w:pStyle w:val="23"/>
        <w:spacing w:before="156" w:after="156"/>
        <w:rPr>
          <w:sz w:val="24"/>
          <w:szCs w:val="24"/>
          <w:shd w:val="clear" w:color="auto" w:fill="FFFFFF"/>
        </w:rPr>
      </w:pPr>
      <w:r>
        <w:rPr>
          <w:rFonts w:hint="eastAsia"/>
          <w:sz w:val="24"/>
          <w:szCs w:val="24"/>
          <w:shd w:val="clear" w:color="auto" w:fill="FFFFFF"/>
          <w:lang w:val="en-US" w:eastAsia="zh-CN"/>
        </w:rPr>
        <w:t>8.2</w:t>
      </w:r>
      <w:r>
        <w:rPr>
          <w:rFonts w:hint="eastAsia"/>
          <w:sz w:val="24"/>
          <w:szCs w:val="24"/>
          <w:shd w:val="clear" w:color="auto" w:fill="FFFFFF"/>
        </w:rPr>
        <w:t>.2</w:t>
      </w:r>
      <w:r>
        <w:rPr>
          <w:sz w:val="24"/>
          <w:szCs w:val="24"/>
          <w:shd w:val="clear" w:color="auto" w:fill="FFFFFF"/>
        </w:rPr>
        <w:t xml:space="preserve"> </w:t>
      </w:r>
      <w:r>
        <w:rPr>
          <w:rFonts w:hint="eastAsia"/>
          <w:sz w:val="24"/>
          <w:szCs w:val="24"/>
          <w:shd w:val="clear" w:color="auto" w:fill="FFFFFF"/>
        </w:rPr>
        <w:t xml:space="preserve"> 使用精密度进行评价</w:t>
      </w:r>
    </w:p>
    <w:p w14:paraId="539DC44C">
      <w:pPr>
        <w:ind w:firstLine="420"/>
        <w:rPr>
          <w:rFonts w:hint="eastAsia"/>
          <w:sz w:val="24"/>
          <w:szCs w:val="24"/>
          <w:shd w:val="clear" w:color="auto" w:fill="FFFFFF"/>
        </w:rPr>
      </w:pPr>
      <w:r>
        <w:rPr>
          <w:rFonts w:hint="eastAsia"/>
          <w:sz w:val="24"/>
          <w:szCs w:val="24"/>
          <w:shd w:val="clear" w:color="auto" w:fill="FFFFFF"/>
        </w:rPr>
        <w:t>使用精密度进行评价的方式是指采用现行的国家标准或行业标准对单点数据计算精密度，判定其数据是否满足精密度要求，若满足则评价数据可信。</w:t>
      </w:r>
    </w:p>
    <w:p w14:paraId="23C748D9">
      <w:pPr>
        <w:ind w:firstLine="420"/>
        <w:rPr>
          <w:rFonts w:hint="default" w:eastAsia="黑体"/>
          <w:sz w:val="24"/>
          <w:szCs w:val="24"/>
          <w:lang w:val="en-US" w:eastAsia="zh-CN"/>
        </w:rPr>
      </w:pPr>
      <w:r>
        <w:rPr>
          <w:rFonts w:hint="eastAsia"/>
          <w:sz w:val="24"/>
          <w:szCs w:val="24"/>
          <w:shd w:val="clear" w:color="auto" w:fill="FFFFFF"/>
        </w:rPr>
        <w:t>以近红外光谱仪测定乙醇含量为例，使用同一台近红外光谱对同一样品进行测试，乙醇含量(v%)数值分别为9.73，9.71；参考现行行业标准NB/SH/T 0663-2014《汽油中醇类和醚类含量的测定 气相色谱法》</w:t>
      </w:r>
      <w:r>
        <w:rPr>
          <w:sz w:val="24"/>
          <w:szCs w:val="24"/>
          <w:shd w:val="clear" w:color="auto" w:fill="FFFFFF"/>
          <w:vertAlign w:val="superscript"/>
        </w:rPr>
        <w:fldChar w:fldCharType="begin"/>
      </w:r>
      <w:r>
        <w:rPr>
          <w:sz w:val="24"/>
          <w:szCs w:val="24"/>
          <w:shd w:val="clear" w:color="auto" w:fill="FFFFFF"/>
          <w:vertAlign w:val="superscript"/>
        </w:rPr>
        <w:instrText xml:space="preserve"> </w:instrText>
      </w:r>
      <w:r>
        <w:rPr>
          <w:rFonts w:hint="eastAsia"/>
          <w:sz w:val="24"/>
          <w:szCs w:val="24"/>
          <w:shd w:val="clear" w:color="auto" w:fill="FFFFFF"/>
          <w:vertAlign w:val="superscript"/>
        </w:rPr>
        <w:instrText xml:space="preserve">REF _Ref147993460 \n \h</w:instrText>
      </w:r>
      <w:r>
        <w:rPr>
          <w:sz w:val="24"/>
          <w:szCs w:val="24"/>
          <w:shd w:val="clear" w:color="auto" w:fill="FFFFFF"/>
          <w:vertAlign w:val="superscript"/>
        </w:rPr>
        <w:instrText xml:space="preserve">  \* MERGEFORMAT </w:instrText>
      </w:r>
      <w:r>
        <w:rPr>
          <w:sz w:val="24"/>
          <w:szCs w:val="24"/>
          <w:shd w:val="clear" w:color="auto" w:fill="FFFFFF"/>
          <w:vertAlign w:val="superscript"/>
        </w:rPr>
        <w:fldChar w:fldCharType="separate"/>
      </w:r>
      <w:r>
        <w:rPr>
          <w:sz w:val="24"/>
          <w:szCs w:val="24"/>
          <w:shd w:val="clear" w:color="auto" w:fill="FFFFFF"/>
          <w:vertAlign w:val="superscript"/>
        </w:rPr>
        <w:t>]</w:t>
      </w:r>
      <w:r>
        <w:rPr>
          <w:sz w:val="24"/>
          <w:szCs w:val="24"/>
          <w:shd w:val="clear" w:color="auto" w:fill="FFFFFF"/>
          <w:vertAlign w:val="superscript"/>
        </w:rPr>
        <w:fldChar w:fldCharType="end"/>
      </w:r>
      <w:r>
        <w:rPr>
          <w:rFonts w:hint="eastAsia"/>
          <w:sz w:val="24"/>
          <w:szCs w:val="24"/>
          <w:shd w:val="clear" w:color="auto" w:fill="FFFFFF"/>
        </w:rPr>
        <w:t>重复性精密度要求0.06X</w:t>
      </w:r>
      <w:r>
        <w:rPr>
          <w:rFonts w:hint="eastAsia"/>
          <w:sz w:val="24"/>
          <w:szCs w:val="24"/>
          <w:shd w:val="clear" w:color="auto" w:fill="FFFFFF"/>
          <w:vertAlign w:val="superscript"/>
        </w:rPr>
        <w:t>0.61</w:t>
      </w:r>
      <w:r>
        <w:rPr>
          <w:rFonts w:hint="eastAsia"/>
          <w:sz w:val="24"/>
          <w:szCs w:val="24"/>
          <w:shd w:val="clear" w:color="auto" w:fill="FFFFFF"/>
        </w:rPr>
        <w:t>，计算后二次光谱测定数据满足重复性精密度要求；利用气相色谱仪对该样品进行测定乙醇含量(v%)数值分别为9.26；参考现行行业标准NB/SH/T 0663-2014《汽油中醇类和醚类含量的测定气相色谱法》</w:t>
      </w:r>
      <w:r>
        <w:rPr>
          <w:sz w:val="24"/>
          <w:szCs w:val="24"/>
          <w:shd w:val="clear" w:color="auto" w:fill="FFFFFF"/>
          <w:vertAlign w:val="superscript"/>
        </w:rPr>
        <w:fldChar w:fldCharType="begin"/>
      </w:r>
      <w:r>
        <w:rPr>
          <w:sz w:val="24"/>
          <w:szCs w:val="24"/>
          <w:shd w:val="clear" w:color="auto" w:fill="FFFFFF"/>
          <w:vertAlign w:val="superscript"/>
        </w:rPr>
        <w:instrText xml:space="preserve"> </w:instrText>
      </w:r>
      <w:r>
        <w:rPr>
          <w:rFonts w:hint="eastAsia"/>
          <w:sz w:val="24"/>
          <w:szCs w:val="24"/>
          <w:shd w:val="clear" w:color="auto" w:fill="FFFFFF"/>
          <w:vertAlign w:val="superscript"/>
        </w:rPr>
        <w:instrText xml:space="preserve">REF _Ref147993460 \n \h</w:instrText>
      </w:r>
      <w:r>
        <w:rPr>
          <w:sz w:val="24"/>
          <w:szCs w:val="24"/>
          <w:shd w:val="clear" w:color="auto" w:fill="FFFFFF"/>
          <w:vertAlign w:val="superscript"/>
        </w:rPr>
        <w:instrText xml:space="preserve">  \* MERGEFORMAT </w:instrText>
      </w:r>
      <w:r>
        <w:rPr>
          <w:sz w:val="24"/>
          <w:szCs w:val="24"/>
          <w:shd w:val="clear" w:color="auto" w:fill="FFFFFF"/>
          <w:vertAlign w:val="superscript"/>
        </w:rPr>
        <w:fldChar w:fldCharType="separate"/>
      </w:r>
      <w:r>
        <w:rPr>
          <w:sz w:val="24"/>
          <w:szCs w:val="24"/>
          <w:shd w:val="clear" w:color="auto" w:fill="FFFFFF"/>
          <w:vertAlign w:val="superscript"/>
        </w:rPr>
        <w:fldChar w:fldCharType="end"/>
      </w:r>
      <w:r>
        <w:rPr>
          <w:rFonts w:hint="eastAsia"/>
          <w:sz w:val="24"/>
          <w:szCs w:val="24"/>
          <w:shd w:val="clear" w:color="auto" w:fill="FFFFFF"/>
        </w:rPr>
        <w:t>再现性精密度要求0.23X</w:t>
      </w:r>
      <w:r>
        <w:rPr>
          <w:rFonts w:hint="eastAsia"/>
          <w:sz w:val="24"/>
          <w:szCs w:val="24"/>
          <w:shd w:val="clear" w:color="auto" w:fill="FFFFFF"/>
          <w:vertAlign w:val="superscript"/>
        </w:rPr>
        <w:t>0.57</w:t>
      </w:r>
      <w:r>
        <w:rPr>
          <w:rFonts w:hint="eastAsia"/>
          <w:sz w:val="24"/>
          <w:szCs w:val="24"/>
          <w:shd w:val="clear" w:color="auto" w:fill="FFFFFF"/>
        </w:rPr>
        <w:t>，因此可判定快速检测方法在该单点数据可信。</w:t>
      </w:r>
    </w:p>
    <w:p w14:paraId="0F8CFFF7">
      <w:pPr>
        <w:spacing w:line="360" w:lineRule="auto"/>
        <w:rPr>
          <w:rFonts w:hint="default" w:ascii="Times New Roman" w:hAnsi="Times New Roman" w:eastAsia="黑体" w:cs="Times New Roman"/>
          <w:kern w:val="2"/>
          <w:sz w:val="24"/>
          <w:szCs w:val="24"/>
          <w:shd w:val="clear" w:color="auto" w:fill="FFFFFF"/>
          <w:lang w:val="en-US" w:eastAsia="zh-CN" w:bidi="ar-SA"/>
        </w:rPr>
      </w:pPr>
      <w:r>
        <w:rPr>
          <w:rFonts w:hint="eastAsia" w:ascii="Times New Roman" w:hAnsi="Times New Roman" w:eastAsia="黑体" w:cs="Times New Roman"/>
          <w:kern w:val="2"/>
          <w:sz w:val="24"/>
          <w:szCs w:val="24"/>
          <w:shd w:val="clear" w:color="auto" w:fill="FFFFFF"/>
          <w:lang w:val="en-US" w:eastAsia="zh-CN" w:bidi="ar-SA"/>
        </w:rPr>
        <w:t>8.2.3 使用方法间的偏倚评估</w:t>
      </w:r>
    </w:p>
    <w:p w14:paraId="414E860C">
      <w:pPr>
        <w:keepNext w:val="0"/>
        <w:keepLines w:val="0"/>
        <w:pageBreakBefore w:val="0"/>
        <w:widowControl w:val="0"/>
        <w:kinsoku/>
        <w:wordWrap/>
        <w:overflowPunct/>
        <w:topLinePunct w:val="0"/>
        <w:autoSpaceDE/>
        <w:autoSpaceDN/>
        <w:bidi w:val="0"/>
        <w:adjustRightInd/>
        <w:snapToGrid/>
        <w:spacing w:before="156" w:beforeLines="50" w:line="360" w:lineRule="auto"/>
        <w:ind w:firstLine="480" w:firstLineChars="200"/>
        <w:jc w:val="left"/>
        <w:textAlignment w:val="auto"/>
        <w:rPr>
          <w:rFonts w:hint="eastAsia"/>
          <w:sz w:val="24"/>
          <w:szCs w:val="24"/>
        </w:rPr>
      </w:pPr>
      <w:r>
        <w:rPr>
          <w:sz w:val="24"/>
          <w:szCs w:val="24"/>
        </w:rPr>
        <w:t>标准编制过程中</w:t>
      </w:r>
      <w:r>
        <w:rPr>
          <w:rFonts w:hint="eastAsia"/>
          <w:sz w:val="24"/>
          <w:szCs w:val="24"/>
        </w:rPr>
        <w:t>，依据NCCLS指南EP9-A2，组织实验对</w:t>
      </w:r>
      <w:r>
        <w:rPr>
          <w:rFonts w:hint="eastAsia"/>
          <w:sz w:val="24"/>
          <w:szCs w:val="32"/>
        </w:rPr>
        <w:t>醇含量</w:t>
      </w:r>
      <w:r>
        <w:rPr>
          <w:rFonts w:hint="eastAsia"/>
          <w:sz w:val="24"/>
          <w:szCs w:val="24"/>
        </w:rPr>
        <w:t>快速检测方法（折光法）和《NB/SH/T 0663汽油中醇类和醚类含量的测定 气相色谱法》进行比对和偏倚评估。</w:t>
      </w:r>
    </w:p>
    <w:p w14:paraId="1617132B">
      <w:pPr>
        <w:spacing w:line="360" w:lineRule="auto"/>
        <w:ind w:firstLine="480" w:firstLineChars="200"/>
        <w:jc w:val="left"/>
        <w:rPr>
          <w:rFonts w:hint="eastAsia"/>
          <w:sz w:val="24"/>
          <w:szCs w:val="24"/>
        </w:rPr>
      </w:pPr>
      <w:r>
        <w:rPr>
          <w:rFonts w:hint="eastAsia"/>
          <w:sz w:val="24"/>
          <w:szCs w:val="24"/>
        </w:rPr>
        <w:t>依据</w:t>
      </w:r>
      <w:r>
        <w:rPr>
          <w:rFonts w:hint="eastAsia"/>
          <w:sz w:val="24"/>
          <w:szCs w:val="24"/>
          <w:lang w:eastAsia="zh-CN"/>
        </w:rPr>
        <w:t>表</w:t>
      </w:r>
      <w:r>
        <w:rPr>
          <w:rFonts w:hint="eastAsia"/>
          <w:sz w:val="24"/>
          <w:szCs w:val="24"/>
          <w:lang w:val="en-US" w:eastAsia="zh-CN"/>
        </w:rPr>
        <w:t>九</w:t>
      </w:r>
      <w:r>
        <w:rPr>
          <w:rFonts w:hint="eastAsia"/>
          <w:sz w:val="24"/>
          <w:szCs w:val="24"/>
        </w:rPr>
        <w:t>中目标浓度及数量配制样品，使用变性燃料乙醇、92、95组分汽油配制，各样数量1L。</w:t>
      </w:r>
    </w:p>
    <w:p w14:paraId="19FC6A08">
      <w:pPr>
        <w:spacing w:line="360" w:lineRule="auto"/>
        <w:ind w:firstLine="480" w:firstLineChars="200"/>
        <w:jc w:val="left"/>
        <w:rPr>
          <w:rFonts w:hint="eastAsia"/>
          <w:sz w:val="24"/>
          <w:szCs w:val="24"/>
        </w:rPr>
      </w:pPr>
      <w:r>
        <w:rPr>
          <w:rFonts w:hint="eastAsia"/>
          <w:sz w:val="24"/>
          <w:szCs w:val="24"/>
        </w:rPr>
        <w:t>使用同一规格变性燃料乙醇，依据浓度范围，从低到高依次使用92、95组分配制。</w:t>
      </w:r>
    </w:p>
    <w:p w14:paraId="27F44F6C">
      <w:pPr>
        <w:autoSpaceDE w:val="0"/>
        <w:autoSpaceDN w:val="0"/>
        <w:adjustRightInd w:val="0"/>
        <w:spacing w:line="360" w:lineRule="auto"/>
        <w:jc w:val="center"/>
        <w:rPr>
          <w:rFonts w:hint="eastAsia"/>
          <w:sz w:val="24"/>
          <w:szCs w:val="24"/>
          <w:lang w:val="en-US" w:eastAsia="zh-CN"/>
        </w:rPr>
      </w:pPr>
      <w:r>
        <w:rPr>
          <w:rFonts w:hint="eastAsia"/>
          <w:sz w:val="24"/>
          <w:szCs w:val="24"/>
          <w:lang w:val="en-US" w:eastAsia="zh-CN"/>
        </w:rPr>
        <w:t>表九 偏差实验样品配置详情</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3"/>
        <w:gridCol w:w="468"/>
        <w:gridCol w:w="509"/>
        <w:gridCol w:w="509"/>
        <w:gridCol w:w="1109"/>
        <w:gridCol w:w="1169"/>
        <w:gridCol w:w="1169"/>
        <w:gridCol w:w="1491"/>
        <w:gridCol w:w="849"/>
      </w:tblGrid>
      <w:tr w14:paraId="431F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490" w:type="pct"/>
            <w:gridSpan w:val="8"/>
            <w:noWrap/>
            <w:tcMar>
              <w:top w:w="15" w:type="dxa"/>
              <w:left w:w="15" w:type="dxa"/>
              <w:right w:w="15" w:type="dxa"/>
            </w:tcMar>
            <w:vAlign w:val="center"/>
          </w:tcPr>
          <w:p w14:paraId="43EEFED7">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sz w:val="22"/>
              </w:rPr>
              <w:t>配</w:t>
            </w:r>
            <w:r>
              <w:rPr>
                <w:rFonts w:hint="eastAsia"/>
                <w:color w:val="000000"/>
                <w:sz w:val="22"/>
              </w:rPr>
              <w:t>制</w:t>
            </w:r>
            <w:r>
              <w:rPr>
                <w:rFonts w:hint="default"/>
                <w:color w:val="000000"/>
                <w:sz w:val="22"/>
              </w:rPr>
              <w:t>情况</w:t>
            </w:r>
          </w:p>
        </w:tc>
        <w:tc>
          <w:tcPr>
            <w:tcW w:w="509" w:type="pct"/>
            <w:noWrap/>
            <w:tcMar>
              <w:top w:w="15" w:type="dxa"/>
              <w:left w:w="15" w:type="dxa"/>
              <w:right w:w="15" w:type="dxa"/>
            </w:tcMar>
            <w:vAlign w:val="center"/>
          </w:tcPr>
          <w:p w14:paraId="26B64F34">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sz w:val="22"/>
              </w:rPr>
              <w:t>备注</w:t>
            </w:r>
          </w:p>
        </w:tc>
      </w:tr>
      <w:tr w14:paraId="6531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noWrap/>
            <w:tcMar>
              <w:top w:w="15" w:type="dxa"/>
              <w:left w:w="15" w:type="dxa"/>
              <w:right w:w="15" w:type="dxa"/>
            </w:tcMar>
            <w:vAlign w:val="center"/>
          </w:tcPr>
          <w:p w14:paraId="048C9B54">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 w:val="22"/>
              </w:rPr>
              <w:t>目标浓度</w:t>
            </w:r>
          </w:p>
        </w:tc>
        <w:tc>
          <w:tcPr>
            <w:tcW w:w="281" w:type="pct"/>
            <w:noWrap/>
            <w:tcMar>
              <w:top w:w="15" w:type="dxa"/>
              <w:left w:w="15" w:type="dxa"/>
              <w:right w:w="15" w:type="dxa"/>
            </w:tcMar>
            <w:vAlign w:val="center"/>
          </w:tcPr>
          <w:p w14:paraId="0A644629">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序号</w:t>
            </w:r>
          </w:p>
        </w:tc>
        <w:tc>
          <w:tcPr>
            <w:tcW w:w="305" w:type="pct"/>
            <w:noWrap/>
            <w:tcMar>
              <w:top w:w="15" w:type="dxa"/>
              <w:left w:w="15" w:type="dxa"/>
              <w:right w:w="15" w:type="dxa"/>
            </w:tcMar>
            <w:vAlign w:val="center"/>
          </w:tcPr>
          <w:p w14:paraId="086CAAF4">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sz w:val="22"/>
              </w:rPr>
              <w:t>组分</w:t>
            </w:r>
          </w:p>
        </w:tc>
        <w:tc>
          <w:tcPr>
            <w:tcW w:w="305" w:type="pct"/>
            <w:noWrap/>
            <w:tcMar>
              <w:top w:w="15" w:type="dxa"/>
              <w:left w:w="15" w:type="dxa"/>
              <w:right w:w="15" w:type="dxa"/>
            </w:tcMar>
            <w:vAlign w:val="center"/>
          </w:tcPr>
          <w:p w14:paraId="76289DAD">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sz w:val="22"/>
              </w:rPr>
              <w:t>乙醇</w:t>
            </w:r>
          </w:p>
        </w:tc>
        <w:tc>
          <w:tcPr>
            <w:tcW w:w="665" w:type="pct"/>
            <w:noWrap/>
            <w:tcMar>
              <w:top w:w="15" w:type="dxa"/>
              <w:left w:w="15" w:type="dxa"/>
              <w:right w:w="15" w:type="dxa"/>
            </w:tcMar>
            <w:vAlign w:val="center"/>
          </w:tcPr>
          <w:p w14:paraId="3BA2938A">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22"/>
              </w:rPr>
              <w:t>浓度（w）</w:t>
            </w:r>
          </w:p>
        </w:tc>
        <w:tc>
          <w:tcPr>
            <w:tcW w:w="701" w:type="pct"/>
            <w:noWrap/>
            <w:tcMar>
              <w:top w:w="15" w:type="dxa"/>
              <w:left w:w="15" w:type="dxa"/>
              <w:right w:w="15" w:type="dxa"/>
            </w:tcMar>
            <w:vAlign w:val="center"/>
          </w:tcPr>
          <w:p w14:paraId="293FFA97">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22"/>
              </w:rPr>
              <w:t>气相数据1</w:t>
            </w:r>
          </w:p>
        </w:tc>
        <w:tc>
          <w:tcPr>
            <w:tcW w:w="701" w:type="pct"/>
            <w:noWrap/>
            <w:tcMar>
              <w:top w:w="15" w:type="dxa"/>
              <w:left w:w="15" w:type="dxa"/>
              <w:right w:w="15" w:type="dxa"/>
            </w:tcMar>
            <w:vAlign w:val="center"/>
          </w:tcPr>
          <w:p w14:paraId="55CBB3F3">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22"/>
              </w:rPr>
              <w:t>气相数据2</w:t>
            </w:r>
          </w:p>
        </w:tc>
        <w:tc>
          <w:tcPr>
            <w:tcW w:w="888" w:type="pct"/>
            <w:noWrap/>
            <w:tcMar>
              <w:top w:w="15" w:type="dxa"/>
              <w:left w:w="15" w:type="dxa"/>
              <w:right w:w="15" w:type="dxa"/>
            </w:tcMar>
            <w:vAlign w:val="center"/>
          </w:tcPr>
          <w:p w14:paraId="1F9677AC">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22"/>
              </w:rPr>
              <w:t>密度（20℃）</w:t>
            </w:r>
          </w:p>
        </w:tc>
        <w:tc>
          <w:tcPr>
            <w:tcW w:w="509" w:type="pct"/>
            <w:noWrap/>
            <w:tcMar>
              <w:top w:w="15" w:type="dxa"/>
              <w:left w:w="15" w:type="dxa"/>
              <w:right w:w="15" w:type="dxa"/>
            </w:tcMar>
            <w:vAlign w:val="center"/>
          </w:tcPr>
          <w:p w14:paraId="79E70373">
            <w:pPr>
              <w:keepNext w:val="0"/>
              <w:keepLines w:val="0"/>
              <w:suppressLineNumbers w:val="0"/>
              <w:spacing w:before="0" w:beforeAutospacing="0" w:after="0" w:afterAutospacing="0"/>
              <w:ind w:left="0" w:right="0"/>
              <w:jc w:val="center"/>
              <w:rPr>
                <w:rFonts w:hint="default"/>
                <w:color w:val="000000"/>
                <w:sz w:val="22"/>
              </w:rPr>
            </w:pPr>
          </w:p>
        </w:tc>
      </w:tr>
      <w:tr w14:paraId="186B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restart"/>
            <w:noWrap/>
            <w:tcMar>
              <w:top w:w="15" w:type="dxa"/>
              <w:left w:w="15" w:type="dxa"/>
              <w:right w:w="15" w:type="dxa"/>
            </w:tcMar>
            <w:vAlign w:val="center"/>
          </w:tcPr>
          <w:p w14:paraId="1FCCCF16">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1~2</w:t>
            </w:r>
          </w:p>
        </w:tc>
        <w:tc>
          <w:tcPr>
            <w:tcW w:w="281" w:type="pct"/>
            <w:noWrap/>
            <w:tcMar>
              <w:top w:w="15" w:type="dxa"/>
              <w:left w:w="15" w:type="dxa"/>
              <w:right w:w="15" w:type="dxa"/>
            </w:tcMar>
            <w:vAlign w:val="center"/>
          </w:tcPr>
          <w:p w14:paraId="5EB0A2E0">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1</w:t>
            </w:r>
          </w:p>
        </w:tc>
        <w:tc>
          <w:tcPr>
            <w:tcW w:w="305" w:type="pct"/>
            <w:noWrap/>
            <w:tcMar>
              <w:top w:w="15" w:type="dxa"/>
              <w:left w:w="15" w:type="dxa"/>
              <w:right w:w="15" w:type="dxa"/>
            </w:tcMar>
            <w:vAlign w:val="center"/>
          </w:tcPr>
          <w:p w14:paraId="723FB159">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610.2</w:t>
            </w:r>
          </w:p>
        </w:tc>
        <w:tc>
          <w:tcPr>
            <w:tcW w:w="305" w:type="pct"/>
            <w:noWrap/>
            <w:tcMar>
              <w:top w:w="15" w:type="dxa"/>
              <w:left w:w="15" w:type="dxa"/>
              <w:right w:w="15" w:type="dxa"/>
            </w:tcMar>
            <w:vAlign w:val="center"/>
          </w:tcPr>
          <w:p w14:paraId="5930F37E">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9.3</w:t>
            </w:r>
          </w:p>
        </w:tc>
        <w:tc>
          <w:tcPr>
            <w:tcW w:w="665" w:type="pct"/>
            <w:noWrap/>
            <w:tcMar>
              <w:top w:w="15" w:type="dxa"/>
              <w:left w:w="15" w:type="dxa"/>
              <w:right w:w="15" w:type="dxa"/>
            </w:tcMar>
            <w:vAlign w:val="center"/>
          </w:tcPr>
          <w:p w14:paraId="35FC950C">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1.501</w:t>
            </w:r>
          </w:p>
        </w:tc>
        <w:tc>
          <w:tcPr>
            <w:tcW w:w="701" w:type="pct"/>
            <w:noWrap/>
            <w:tcMar>
              <w:top w:w="15" w:type="dxa"/>
              <w:left w:w="15" w:type="dxa"/>
              <w:right w:w="15" w:type="dxa"/>
            </w:tcMar>
            <w:vAlign w:val="center"/>
          </w:tcPr>
          <w:p w14:paraId="36304B04">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1.308</w:t>
            </w:r>
          </w:p>
        </w:tc>
        <w:tc>
          <w:tcPr>
            <w:tcW w:w="701" w:type="pct"/>
            <w:noWrap/>
            <w:tcMar>
              <w:top w:w="15" w:type="dxa"/>
              <w:left w:w="15" w:type="dxa"/>
              <w:right w:w="15" w:type="dxa"/>
            </w:tcMar>
            <w:vAlign w:val="center"/>
          </w:tcPr>
          <w:p w14:paraId="240144D9">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1.317</w:t>
            </w:r>
          </w:p>
        </w:tc>
        <w:tc>
          <w:tcPr>
            <w:tcW w:w="888" w:type="pct"/>
            <w:noWrap/>
            <w:tcMar>
              <w:top w:w="15" w:type="dxa"/>
              <w:left w:w="15" w:type="dxa"/>
              <w:right w:w="15" w:type="dxa"/>
            </w:tcMar>
            <w:vAlign w:val="center"/>
          </w:tcPr>
          <w:p w14:paraId="3FCFAD79">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0.7498</w:t>
            </w:r>
          </w:p>
        </w:tc>
        <w:tc>
          <w:tcPr>
            <w:tcW w:w="509" w:type="pct"/>
            <w:noWrap/>
            <w:tcMar>
              <w:top w:w="15" w:type="dxa"/>
              <w:left w:w="15" w:type="dxa"/>
              <w:right w:w="15" w:type="dxa"/>
            </w:tcMar>
            <w:vAlign w:val="center"/>
          </w:tcPr>
          <w:p w14:paraId="738EE569">
            <w:pPr>
              <w:keepNext w:val="0"/>
              <w:keepLines w:val="0"/>
              <w:suppressLineNumbers w:val="0"/>
              <w:spacing w:before="0" w:beforeAutospacing="0" w:after="0" w:afterAutospacing="0"/>
              <w:ind w:left="0" w:right="0"/>
              <w:jc w:val="center"/>
              <w:rPr>
                <w:rFonts w:hint="default"/>
                <w:color w:val="000000"/>
                <w:sz w:val="22"/>
              </w:rPr>
            </w:pPr>
          </w:p>
        </w:tc>
      </w:tr>
      <w:tr w14:paraId="60CB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09C4B059">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016F1A27">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2</w:t>
            </w:r>
          </w:p>
        </w:tc>
        <w:tc>
          <w:tcPr>
            <w:tcW w:w="305" w:type="pct"/>
            <w:noWrap/>
            <w:tcMar>
              <w:top w:w="15" w:type="dxa"/>
              <w:left w:w="15" w:type="dxa"/>
              <w:right w:w="15" w:type="dxa"/>
            </w:tcMar>
            <w:vAlign w:val="center"/>
          </w:tcPr>
          <w:p w14:paraId="624DC476">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611.7</w:t>
            </w:r>
          </w:p>
        </w:tc>
        <w:tc>
          <w:tcPr>
            <w:tcW w:w="305" w:type="pct"/>
            <w:noWrap/>
            <w:tcMar>
              <w:top w:w="15" w:type="dxa"/>
              <w:left w:w="15" w:type="dxa"/>
              <w:right w:w="15" w:type="dxa"/>
            </w:tcMar>
            <w:vAlign w:val="center"/>
          </w:tcPr>
          <w:p w14:paraId="3664A6C6">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9.4</w:t>
            </w:r>
          </w:p>
        </w:tc>
        <w:tc>
          <w:tcPr>
            <w:tcW w:w="665" w:type="pct"/>
            <w:noWrap/>
            <w:tcMar>
              <w:top w:w="15" w:type="dxa"/>
              <w:left w:w="15" w:type="dxa"/>
              <w:right w:w="15" w:type="dxa"/>
            </w:tcMar>
            <w:vAlign w:val="center"/>
          </w:tcPr>
          <w:p w14:paraId="3C154284">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1.513</w:t>
            </w:r>
          </w:p>
        </w:tc>
        <w:tc>
          <w:tcPr>
            <w:tcW w:w="701" w:type="pct"/>
            <w:noWrap/>
            <w:tcMar>
              <w:top w:w="15" w:type="dxa"/>
              <w:left w:w="15" w:type="dxa"/>
              <w:right w:w="15" w:type="dxa"/>
            </w:tcMar>
            <w:vAlign w:val="center"/>
          </w:tcPr>
          <w:p w14:paraId="5C0F46F9">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1.351</w:t>
            </w:r>
          </w:p>
        </w:tc>
        <w:tc>
          <w:tcPr>
            <w:tcW w:w="701" w:type="pct"/>
            <w:noWrap/>
            <w:tcMar>
              <w:top w:w="15" w:type="dxa"/>
              <w:left w:w="15" w:type="dxa"/>
              <w:right w:w="15" w:type="dxa"/>
            </w:tcMar>
            <w:vAlign w:val="center"/>
          </w:tcPr>
          <w:p w14:paraId="3C1F3AD4">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1.320</w:t>
            </w:r>
          </w:p>
        </w:tc>
        <w:tc>
          <w:tcPr>
            <w:tcW w:w="888" w:type="pct"/>
            <w:noWrap/>
            <w:tcMar>
              <w:top w:w="15" w:type="dxa"/>
              <w:left w:w="15" w:type="dxa"/>
              <w:right w:w="15" w:type="dxa"/>
            </w:tcMar>
            <w:vAlign w:val="center"/>
          </w:tcPr>
          <w:p w14:paraId="2D73073E">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0.7556</w:t>
            </w:r>
          </w:p>
        </w:tc>
        <w:tc>
          <w:tcPr>
            <w:tcW w:w="509" w:type="pct"/>
            <w:noWrap/>
            <w:tcMar>
              <w:top w:w="15" w:type="dxa"/>
              <w:left w:w="15" w:type="dxa"/>
              <w:right w:w="15" w:type="dxa"/>
            </w:tcMar>
            <w:vAlign w:val="center"/>
          </w:tcPr>
          <w:p w14:paraId="31B90614">
            <w:pPr>
              <w:keepNext w:val="0"/>
              <w:keepLines w:val="0"/>
              <w:suppressLineNumbers w:val="0"/>
              <w:spacing w:before="0" w:beforeAutospacing="0" w:after="0" w:afterAutospacing="0"/>
              <w:ind w:left="0" w:right="0"/>
              <w:jc w:val="center"/>
              <w:rPr>
                <w:rFonts w:hint="default"/>
                <w:color w:val="000000"/>
                <w:sz w:val="22"/>
              </w:rPr>
            </w:pPr>
          </w:p>
        </w:tc>
      </w:tr>
      <w:tr w14:paraId="2EBD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529C3C58">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63BD5876">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3</w:t>
            </w:r>
          </w:p>
        </w:tc>
        <w:tc>
          <w:tcPr>
            <w:tcW w:w="305" w:type="pct"/>
            <w:noWrap/>
            <w:tcMar>
              <w:top w:w="15" w:type="dxa"/>
              <w:left w:w="15" w:type="dxa"/>
              <w:right w:w="15" w:type="dxa"/>
            </w:tcMar>
            <w:vAlign w:val="center"/>
          </w:tcPr>
          <w:p w14:paraId="4918C05A">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606.4</w:t>
            </w:r>
          </w:p>
        </w:tc>
        <w:tc>
          <w:tcPr>
            <w:tcW w:w="305" w:type="pct"/>
            <w:noWrap/>
            <w:tcMar>
              <w:top w:w="15" w:type="dxa"/>
              <w:left w:w="15" w:type="dxa"/>
              <w:right w:w="15" w:type="dxa"/>
            </w:tcMar>
            <w:vAlign w:val="center"/>
          </w:tcPr>
          <w:p w14:paraId="72EC52CA">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10.0</w:t>
            </w:r>
          </w:p>
        </w:tc>
        <w:tc>
          <w:tcPr>
            <w:tcW w:w="665" w:type="pct"/>
            <w:noWrap/>
            <w:tcMar>
              <w:top w:w="15" w:type="dxa"/>
              <w:left w:w="15" w:type="dxa"/>
              <w:right w:w="15" w:type="dxa"/>
            </w:tcMar>
            <w:vAlign w:val="center"/>
          </w:tcPr>
          <w:p w14:paraId="5FDF9FCB">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1.622</w:t>
            </w:r>
          </w:p>
        </w:tc>
        <w:tc>
          <w:tcPr>
            <w:tcW w:w="701" w:type="pct"/>
            <w:noWrap/>
            <w:tcMar>
              <w:top w:w="15" w:type="dxa"/>
              <w:left w:w="15" w:type="dxa"/>
              <w:right w:w="15" w:type="dxa"/>
            </w:tcMar>
            <w:vAlign w:val="center"/>
          </w:tcPr>
          <w:p w14:paraId="68658689">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1.407</w:t>
            </w:r>
          </w:p>
        </w:tc>
        <w:tc>
          <w:tcPr>
            <w:tcW w:w="701" w:type="pct"/>
            <w:noWrap/>
            <w:tcMar>
              <w:top w:w="15" w:type="dxa"/>
              <w:left w:w="15" w:type="dxa"/>
              <w:right w:w="15" w:type="dxa"/>
            </w:tcMar>
            <w:vAlign w:val="center"/>
          </w:tcPr>
          <w:p w14:paraId="32793930">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1.428</w:t>
            </w:r>
          </w:p>
        </w:tc>
        <w:tc>
          <w:tcPr>
            <w:tcW w:w="888" w:type="pct"/>
            <w:noWrap/>
            <w:tcMar>
              <w:top w:w="15" w:type="dxa"/>
              <w:left w:w="15" w:type="dxa"/>
              <w:right w:w="15" w:type="dxa"/>
            </w:tcMar>
            <w:vAlign w:val="center"/>
          </w:tcPr>
          <w:p w14:paraId="309307B0">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0.7493</w:t>
            </w:r>
          </w:p>
        </w:tc>
        <w:tc>
          <w:tcPr>
            <w:tcW w:w="509" w:type="pct"/>
            <w:noWrap/>
            <w:tcMar>
              <w:top w:w="15" w:type="dxa"/>
              <w:left w:w="15" w:type="dxa"/>
              <w:right w:w="15" w:type="dxa"/>
            </w:tcMar>
            <w:vAlign w:val="center"/>
          </w:tcPr>
          <w:p w14:paraId="3765FAE2">
            <w:pPr>
              <w:keepNext w:val="0"/>
              <w:keepLines w:val="0"/>
              <w:suppressLineNumbers w:val="0"/>
              <w:spacing w:before="0" w:beforeAutospacing="0" w:after="0" w:afterAutospacing="0"/>
              <w:ind w:left="0" w:right="0"/>
              <w:jc w:val="center"/>
              <w:rPr>
                <w:rFonts w:hint="default"/>
                <w:color w:val="000000"/>
                <w:sz w:val="22"/>
              </w:rPr>
            </w:pPr>
          </w:p>
        </w:tc>
      </w:tr>
      <w:tr w14:paraId="0021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505BB2E2">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1328222D">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4</w:t>
            </w:r>
          </w:p>
        </w:tc>
        <w:tc>
          <w:tcPr>
            <w:tcW w:w="305" w:type="pct"/>
            <w:noWrap/>
            <w:tcMar>
              <w:top w:w="15" w:type="dxa"/>
              <w:left w:w="15" w:type="dxa"/>
              <w:right w:w="15" w:type="dxa"/>
            </w:tcMar>
            <w:vAlign w:val="center"/>
          </w:tcPr>
          <w:p w14:paraId="1409042F">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590.7</w:t>
            </w:r>
          </w:p>
        </w:tc>
        <w:tc>
          <w:tcPr>
            <w:tcW w:w="305" w:type="pct"/>
            <w:noWrap/>
            <w:tcMar>
              <w:top w:w="15" w:type="dxa"/>
              <w:left w:w="15" w:type="dxa"/>
              <w:right w:w="15" w:type="dxa"/>
            </w:tcMar>
            <w:vAlign w:val="center"/>
          </w:tcPr>
          <w:p w14:paraId="05F12C4F">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9.6</w:t>
            </w:r>
          </w:p>
        </w:tc>
        <w:tc>
          <w:tcPr>
            <w:tcW w:w="665" w:type="pct"/>
            <w:noWrap/>
            <w:tcMar>
              <w:top w:w="15" w:type="dxa"/>
              <w:left w:w="15" w:type="dxa"/>
              <w:right w:w="15" w:type="dxa"/>
            </w:tcMar>
            <w:vAlign w:val="center"/>
          </w:tcPr>
          <w:p w14:paraId="5E2CF7AA">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1.599</w:t>
            </w:r>
          </w:p>
        </w:tc>
        <w:tc>
          <w:tcPr>
            <w:tcW w:w="701" w:type="pct"/>
            <w:noWrap/>
            <w:tcMar>
              <w:top w:w="15" w:type="dxa"/>
              <w:left w:w="15" w:type="dxa"/>
              <w:right w:w="15" w:type="dxa"/>
            </w:tcMar>
            <w:vAlign w:val="center"/>
          </w:tcPr>
          <w:p w14:paraId="2CBC5F27">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1.416</w:t>
            </w:r>
          </w:p>
        </w:tc>
        <w:tc>
          <w:tcPr>
            <w:tcW w:w="701" w:type="pct"/>
            <w:noWrap/>
            <w:tcMar>
              <w:top w:w="15" w:type="dxa"/>
              <w:left w:w="15" w:type="dxa"/>
              <w:right w:w="15" w:type="dxa"/>
            </w:tcMar>
            <w:vAlign w:val="center"/>
          </w:tcPr>
          <w:p w14:paraId="0FC4B8E2">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1.431</w:t>
            </w:r>
          </w:p>
        </w:tc>
        <w:tc>
          <w:tcPr>
            <w:tcW w:w="888" w:type="pct"/>
            <w:noWrap/>
            <w:tcMar>
              <w:top w:w="15" w:type="dxa"/>
              <w:left w:w="15" w:type="dxa"/>
              <w:right w:w="15" w:type="dxa"/>
            </w:tcMar>
            <w:vAlign w:val="center"/>
          </w:tcPr>
          <w:p w14:paraId="7ED4A68A">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0.7548</w:t>
            </w:r>
          </w:p>
        </w:tc>
        <w:tc>
          <w:tcPr>
            <w:tcW w:w="509" w:type="pct"/>
            <w:noWrap/>
            <w:tcMar>
              <w:top w:w="15" w:type="dxa"/>
              <w:left w:w="15" w:type="dxa"/>
              <w:right w:w="15" w:type="dxa"/>
            </w:tcMar>
            <w:vAlign w:val="center"/>
          </w:tcPr>
          <w:p w14:paraId="14D1E6DB">
            <w:pPr>
              <w:keepNext w:val="0"/>
              <w:keepLines w:val="0"/>
              <w:suppressLineNumbers w:val="0"/>
              <w:spacing w:before="0" w:beforeAutospacing="0" w:after="0" w:afterAutospacing="0"/>
              <w:ind w:left="0" w:right="0"/>
              <w:jc w:val="center"/>
              <w:rPr>
                <w:rFonts w:hint="default"/>
                <w:color w:val="000000"/>
                <w:sz w:val="22"/>
              </w:rPr>
            </w:pPr>
          </w:p>
        </w:tc>
      </w:tr>
      <w:tr w14:paraId="5C08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restart"/>
            <w:noWrap/>
            <w:tcMar>
              <w:top w:w="15" w:type="dxa"/>
              <w:left w:w="15" w:type="dxa"/>
              <w:right w:w="15" w:type="dxa"/>
            </w:tcMar>
            <w:vAlign w:val="center"/>
          </w:tcPr>
          <w:p w14:paraId="75E434DB">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3~4</w:t>
            </w:r>
          </w:p>
        </w:tc>
        <w:tc>
          <w:tcPr>
            <w:tcW w:w="281" w:type="pct"/>
            <w:noWrap/>
            <w:tcMar>
              <w:top w:w="15" w:type="dxa"/>
              <w:left w:w="15" w:type="dxa"/>
              <w:right w:w="15" w:type="dxa"/>
            </w:tcMar>
            <w:vAlign w:val="center"/>
          </w:tcPr>
          <w:p w14:paraId="47F38D61">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1</w:t>
            </w:r>
          </w:p>
        </w:tc>
        <w:tc>
          <w:tcPr>
            <w:tcW w:w="305" w:type="pct"/>
            <w:noWrap/>
            <w:tcMar>
              <w:top w:w="15" w:type="dxa"/>
              <w:left w:w="15" w:type="dxa"/>
              <w:right w:w="15" w:type="dxa"/>
            </w:tcMar>
            <w:vAlign w:val="center"/>
          </w:tcPr>
          <w:p w14:paraId="6F6657FD">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613.9</w:t>
            </w:r>
          </w:p>
        </w:tc>
        <w:tc>
          <w:tcPr>
            <w:tcW w:w="305" w:type="pct"/>
            <w:noWrap/>
            <w:tcMar>
              <w:top w:w="15" w:type="dxa"/>
              <w:left w:w="15" w:type="dxa"/>
              <w:right w:w="15" w:type="dxa"/>
            </w:tcMar>
            <w:vAlign w:val="center"/>
          </w:tcPr>
          <w:p w14:paraId="3334C63D">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23.0</w:t>
            </w:r>
          </w:p>
        </w:tc>
        <w:tc>
          <w:tcPr>
            <w:tcW w:w="665" w:type="pct"/>
            <w:noWrap/>
            <w:tcMar>
              <w:top w:w="15" w:type="dxa"/>
              <w:left w:w="15" w:type="dxa"/>
              <w:right w:w="15" w:type="dxa"/>
            </w:tcMar>
            <w:vAlign w:val="center"/>
          </w:tcPr>
          <w:p w14:paraId="5B1D3C14">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3.611</w:t>
            </w:r>
          </w:p>
        </w:tc>
        <w:tc>
          <w:tcPr>
            <w:tcW w:w="701" w:type="pct"/>
            <w:noWrap/>
            <w:tcMar>
              <w:top w:w="15" w:type="dxa"/>
              <w:left w:w="15" w:type="dxa"/>
              <w:right w:w="15" w:type="dxa"/>
            </w:tcMar>
            <w:vAlign w:val="center"/>
          </w:tcPr>
          <w:p w14:paraId="4DD53A5B">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3.303</w:t>
            </w:r>
          </w:p>
        </w:tc>
        <w:tc>
          <w:tcPr>
            <w:tcW w:w="701" w:type="pct"/>
            <w:noWrap/>
            <w:tcMar>
              <w:top w:w="15" w:type="dxa"/>
              <w:left w:w="15" w:type="dxa"/>
              <w:right w:w="15" w:type="dxa"/>
            </w:tcMar>
            <w:vAlign w:val="center"/>
          </w:tcPr>
          <w:p w14:paraId="1428DF2F">
            <w:pPr>
              <w:keepNext w:val="0"/>
              <w:keepLines w:val="0"/>
              <w:suppressLineNumbers w:val="0"/>
              <w:spacing w:before="0" w:beforeAutospacing="0" w:after="0" w:afterAutospacing="0"/>
              <w:ind w:left="0" w:right="0"/>
              <w:jc w:val="center"/>
              <w:rPr>
                <w:rFonts w:hint="default"/>
                <w:sz w:val="16"/>
                <w:szCs w:val="16"/>
              </w:rPr>
            </w:pPr>
            <w:r>
              <w:rPr>
                <w:rFonts w:hint="default"/>
                <w:color w:val="000000"/>
                <w:sz w:val="16"/>
                <w:szCs w:val="16"/>
              </w:rPr>
              <w:t>3.304</w:t>
            </w:r>
          </w:p>
        </w:tc>
        <w:tc>
          <w:tcPr>
            <w:tcW w:w="888" w:type="pct"/>
            <w:noWrap/>
            <w:tcMar>
              <w:top w:w="15" w:type="dxa"/>
              <w:left w:w="15" w:type="dxa"/>
              <w:right w:w="15" w:type="dxa"/>
            </w:tcMar>
            <w:vAlign w:val="center"/>
          </w:tcPr>
          <w:p w14:paraId="5084833F">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0.7502</w:t>
            </w:r>
          </w:p>
        </w:tc>
        <w:tc>
          <w:tcPr>
            <w:tcW w:w="509" w:type="pct"/>
            <w:noWrap/>
            <w:tcMar>
              <w:top w:w="15" w:type="dxa"/>
              <w:left w:w="15" w:type="dxa"/>
              <w:right w:w="15" w:type="dxa"/>
            </w:tcMar>
            <w:vAlign w:val="center"/>
          </w:tcPr>
          <w:p w14:paraId="6C56A0AE">
            <w:pPr>
              <w:keepNext w:val="0"/>
              <w:keepLines w:val="0"/>
              <w:suppressLineNumbers w:val="0"/>
              <w:spacing w:before="0" w:beforeAutospacing="0" w:after="0" w:afterAutospacing="0"/>
              <w:ind w:left="0" w:right="0"/>
              <w:jc w:val="center"/>
              <w:rPr>
                <w:rFonts w:hint="default"/>
                <w:color w:val="000000"/>
                <w:sz w:val="22"/>
              </w:rPr>
            </w:pPr>
          </w:p>
        </w:tc>
      </w:tr>
      <w:tr w14:paraId="63DF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0810CC42">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4BBAC129">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2</w:t>
            </w:r>
          </w:p>
        </w:tc>
        <w:tc>
          <w:tcPr>
            <w:tcW w:w="305" w:type="pct"/>
            <w:noWrap/>
            <w:tcMar>
              <w:top w:w="15" w:type="dxa"/>
              <w:left w:w="15" w:type="dxa"/>
              <w:right w:w="15" w:type="dxa"/>
            </w:tcMar>
            <w:vAlign w:val="center"/>
          </w:tcPr>
          <w:p w14:paraId="7A7927F9">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652.1</w:t>
            </w:r>
          </w:p>
        </w:tc>
        <w:tc>
          <w:tcPr>
            <w:tcW w:w="305" w:type="pct"/>
            <w:noWrap/>
            <w:tcMar>
              <w:top w:w="15" w:type="dxa"/>
              <w:left w:w="15" w:type="dxa"/>
              <w:right w:w="15" w:type="dxa"/>
            </w:tcMar>
            <w:vAlign w:val="center"/>
          </w:tcPr>
          <w:p w14:paraId="1498D068">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24.4</w:t>
            </w:r>
          </w:p>
        </w:tc>
        <w:tc>
          <w:tcPr>
            <w:tcW w:w="665" w:type="pct"/>
            <w:noWrap/>
            <w:tcMar>
              <w:top w:w="15" w:type="dxa"/>
              <w:left w:w="15" w:type="dxa"/>
              <w:right w:w="15" w:type="dxa"/>
            </w:tcMar>
            <w:vAlign w:val="center"/>
          </w:tcPr>
          <w:p w14:paraId="3E1F4096">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3.607</w:t>
            </w:r>
          </w:p>
        </w:tc>
        <w:tc>
          <w:tcPr>
            <w:tcW w:w="701" w:type="pct"/>
            <w:noWrap/>
            <w:tcMar>
              <w:top w:w="15" w:type="dxa"/>
              <w:left w:w="15" w:type="dxa"/>
              <w:right w:w="15" w:type="dxa"/>
            </w:tcMar>
            <w:vAlign w:val="center"/>
          </w:tcPr>
          <w:p w14:paraId="0DDE7D58">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16"/>
                <w:szCs w:val="16"/>
              </w:rPr>
              <w:t>3.361</w:t>
            </w:r>
          </w:p>
        </w:tc>
        <w:tc>
          <w:tcPr>
            <w:tcW w:w="701" w:type="pct"/>
            <w:noWrap/>
            <w:tcMar>
              <w:top w:w="15" w:type="dxa"/>
              <w:left w:w="15" w:type="dxa"/>
              <w:right w:w="15" w:type="dxa"/>
            </w:tcMar>
            <w:vAlign w:val="center"/>
          </w:tcPr>
          <w:p w14:paraId="511FFE5F">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16"/>
                <w:szCs w:val="16"/>
              </w:rPr>
              <w:t>3.310</w:t>
            </w:r>
          </w:p>
        </w:tc>
        <w:tc>
          <w:tcPr>
            <w:tcW w:w="888" w:type="pct"/>
            <w:noWrap/>
            <w:tcMar>
              <w:top w:w="15" w:type="dxa"/>
              <w:left w:w="15" w:type="dxa"/>
              <w:right w:w="15" w:type="dxa"/>
            </w:tcMar>
            <w:vAlign w:val="center"/>
          </w:tcPr>
          <w:p w14:paraId="52AD6E55">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0.7560</w:t>
            </w:r>
          </w:p>
        </w:tc>
        <w:tc>
          <w:tcPr>
            <w:tcW w:w="509" w:type="pct"/>
            <w:noWrap/>
            <w:tcMar>
              <w:top w:w="15" w:type="dxa"/>
              <w:left w:w="15" w:type="dxa"/>
              <w:right w:w="15" w:type="dxa"/>
            </w:tcMar>
            <w:vAlign w:val="center"/>
          </w:tcPr>
          <w:p w14:paraId="7049841B">
            <w:pPr>
              <w:keepNext w:val="0"/>
              <w:keepLines w:val="0"/>
              <w:suppressLineNumbers w:val="0"/>
              <w:spacing w:before="0" w:beforeAutospacing="0" w:after="0" w:afterAutospacing="0"/>
              <w:ind w:left="0" w:right="0"/>
              <w:jc w:val="center"/>
              <w:rPr>
                <w:rFonts w:hint="default"/>
                <w:color w:val="000000"/>
                <w:sz w:val="22"/>
              </w:rPr>
            </w:pPr>
          </w:p>
        </w:tc>
      </w:tr>
      <w:tr w14:paraId="28E6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6BFD04A3">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3C89EEB7">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3</w:t>
            </w:r>
          </w:p>
        </w:tc>
        <w:tc>
          <w:tcPr>
            <w:tcW w:w="305" w:type="pct"/>
            <w:noWrap/>
            <w:tcMar>
              <w:top w:w="15" w:type="dxa"/>
              <w:left w:w="15" w:type="dxa"/>
              <w:right w:w="15" w:type="dxa"/>
            </w:tcMar>
            <w:vAlign w:val="center"/>
          </w:tcPr>
          <w:p w14:paraId="6C1066A3">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589.4</w:t>
            </w:r>
          </w:p>
        </w:tc>
        <w:tc>
          <w:tcPr>
            <w:tcW w:w="305" w:type="pct"/>
            <w:noWrap/>
            <w:tcMar>
              <w:top w:w="15" w:type="dxa"/>
              <w:left w:w="15" w:type="dxa"/>
              <w:right w:w="15" w:type="dxa"/>
            </w:tcMar>
            <w:vAlign w:val="center"/>
          </w:tcPr>
          <w:p w14:paraId="52E7F0FB">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22.6</w:t>
            </w:r>
          </w:p>
        </w:tc>
        <w:tc>
          <w:tcPr>
            <w:tcW w:w="665" w:type="pct"/>
            <w:noWrap/>
            <w:tcMar>
              <w:top w:w="15" w:type="dxa"/>
              <w:left w:w="15" w:type="dxa"/>
              <w:right w:w="15" w:type="dxa"/>
            </w:tcMar>
            <w:vAlign w:val="center"/>
          </w:tcPr>
          <w:p w14:paraId="7B4E828C">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3.693</w:t>
            </w:r>
          </w:p>
        </w:tc>
        <w:tc>
          <w:tcPr>
            <w:tcW w:w="701" w:type="pct"/>
            <w:noWrap/>
            <w:tcMar>
              <w:top w:w="15" w:type="dxa"/>
              <w:left w:w="15" w:type="dxa"/>
              <w:right w:w="15" w:type="dxa"/>
            </w:tcMar>
            <w:vAlign w:val="center"/>
          </w:tcPr>
          <w:p w14:paraId="2C1E8C1A">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3.391</w:t>
            </w:r>
          </w:p>
        </w:tc>
        <w:tc>
          <w:tcPr>
            <w:tcW w:w="701" w:type="pct"/>
            <w:noWrap/>
            <w:tcMar>
              <w:top w:w="15" w:type="dxa"/>
              <w:left w:w="15" w:type="dxa"/>
              <w:right w:w="15" w:type="dxa"/>
            </w:tcMar>
            <w:vAlign w:val="center"/>
          </w:tcPr>
          <w:p w14:paraId="44006821">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3.386</w:t>
            </w:r>
          </w:p>
        </w:tc>
        <w:tc>
          <w:tcPr>
            <w:tcW w:w="888" w:type="pct"/>
            <w:noWrap/>
            <w:tcMar>
              <w:top w:w="15" w:type="dxa"/>
              <w:left w:w="15" w:type="dxa"/>
              <w:right w:w="15" w:type="dxa"/>
            </w:tcMar>
            <w:vAlign w:val="center"/>
          </w:tcPr>
          <w:p w14:paraId="0D79EC14">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0.7501</w:t>
            </w:r>
          </w:p>
        </w:tc>
        <w:tc>
          <w:tcPr>
            <w:tcW w:w="509" w:type="pct"/>
            <w:noWrap/>
            <w:tcMar>
              <w:top w:w="15" w:type="dxa"/>
              <w:left w:w="15" w:type="dxa"/>
              <w:right w:w="15" w:type="dxa"/>
            </w:tcMar>
            <w:vAlign w:val="center"/>
          </w:tcPr>
          <w:p w14:paraId="5EBE9716">
            <w:pPr>
              <w:keepNext w:val="0"/>
              <w:keepLines w:val="0"/>
              <w:suppressLineNumbers w:val="0"/>
              <w:spacing w:before="0" w:beforeAutospacing="0" w:after="0" w:afterAutospacing="0"/>
              <w:ind w:left="0" w:right="0"/>
              <w:jc w:val="center"/>
              <w:rPr>
                <w:rFonts w:hint="default"/>
                <w:color w:val="000000"/>
                <w:sz w:val="22"/>
              </w:rPr>
            </w:pPr>
          </w:p>
        </w:tc>
      </w:tr>
      <w:tr w14:paraId="4529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095F1291">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54C6FC13">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4</w:t>
            </w:r>
          </w:p>
        </w:tc>
        <w:tc>
          <w:tcPr>
            <w:tcW w:w="305" w:type="pct"/>
            <w:noWrap/>
            <w:tcMar>
              <w:top w:w="15" w:type="dxa"/>
              <w:left w:w="15" w:type="dxa"/>
              <w:right w:w="15" w:type="dxa"/>
            </w:tcMar>
            <w:vAlign w:val="center"/>
          </w:tcPr>
          <w:p w14:paraId="09BB4794">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629.4</w:t>
            </w:r>
          </w:p>
        </w:tc>
        <w:tc>
          <w:tcPr>
            <w:tcW w:w="305" w:type="pct"/>
            <w:noWrap/>
            <w:tcMar>
              <w:top w:w="15" w:type="dxa"/>
              <w:left w:w="15" w:type="dxa"/>
              <w:right w:w="15" w:type="dxa"/>
            </w:tcMar>
            <w:vAlign w:val="center"/>
          </w:tcPr>
          <w:p w14:paraId="10783EF3">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23.5</w:t>
            </w:r>
          </w:p>
        </w:tc>
        <w:tc>
          <w:tcPr>
            <w:tcW w:w="665" w:type="pct"/>
            <w:noWrap/>
            <w:tcMar>
              <w:top w:w="15" w:type="dxa"/>
              <w:left w:w="15" w:type="dxa"/>
              <w:right w:w="15" w:type="dxa"/>
            </w:tcMar>
            <w:vAlign w:val="center"/>
          </w:tcPr>
          <w:p w14:paraId="286A9593">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3.599</w:t>
            </w:r>
          </w:p>
        </w:tc>
        <w:tc>
          <w:tcPr>
            <w:tcW w:w="701" w:type="pct"/>
            <w:noWrap/>
            <w:tcMar>
              <w:top w:w="15" w:type="dxa"/>
              <w:left w:w="15" w:type="dxa"/>
              <w:right w:w="15" w:type="dxa"/>
            </w:tcMar>
            <w:vAlign w:val="center"/>
          </w:tcPr>
          <w:p w14:paraId="0EC0D71B">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3.350</w:t>
            </w:r>
          </w:p>
        </w:tc>
        <w:tc>
          <w:tcPr>
            <w:tcW w:w="701" w:type="pct"/>
            <w:noWrap/>
            <w:tcMar>
              <w:top w:w="15" w:type="dxa"/>
              <w:left w:w="15" w:type="dxa"/>
              <w:right w:w="15" w:type="dxa"/>
            </w:tcMar>
            <w:vAlign w:val="center"/>
          </w:tcPr>
          <w:p w14:paraId="06A9EE78">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3.296</w:t>
            </w:r>
          </w:p>
        </w:tc>
        <w:tc>
          <w:tcPr>
            <w:tcW w:w="888" w:type="pct"/>
            <w:noWrap/>
            <w:tcMar>
              <w:top w:w="15" w:type="dxa"/>
              <w:left w:w="15" w:type="dxa"/>
              <w:right w:w="15" w:type="dxa"/>
            </w:tcMar>
            <w:vAlign w:val="center"/>
          </w:tcPr>
          <w:p w14:paraId="2F1DE562">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0.7558</w:t>
            </w:r>
          </w:p>
        </w:tc>
        <w:tc>
          <w:tcPr>
            <w:tcW w:w="509" w:type="pct"/>
            <w:noWrap/>
            <w:tcMar>
              <w:top w:w="15" w:type="dxa"/>
              <w:left w:w="15" w:type="dxa"/>
              <w:right w:w="15" w:type="dxa"/>
            </w:tcMar>
            <w:vAlign w:val="center"/>
          </w:tcPr>
          <w:p w14:paraId="70086EA5">
            <w:pPr>
              <w:keepNext w:val="0"/>
              <w:keepLines w:val="0"/>
              <w:suppressLineNumbers w:val="0"/>
              <w:spacing w:before="0" w:beforeAutospacing="0" w:after="0" w:afterAutospacing="0"/>
              <w:ind w:left="0" w:right="0"/>
              <w:jc w:val="center"/>
              <w:rPr>
                <w:rFonts w:hint="default"/>
                <w:color w:val="000000"/>
                <w:sz w:val="22"/>
              </w:rPr>
            </w:pPr>
          </w:p>
        </w:tc>
      </w:tr>
      <w:tr w14:paraId="6B9F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restart"/>
            <w:noWrap/>
            <w:tcMar>
              <w:top w:w="15" w:type="dxa"/>
              <w:left w:w="15" w:type="dxa"/>
              <w:right w:w="15" w:type="dxa"/>
            </w:tcMar>
            <w:vAlign w:val="center"/>
          </w:tcPr>
          <w:p w14:paraId="44611114">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5~6</w:t>
            </w:r>
          </w:p>
        </w:tc>
        <w:tc>
          <w:tcPr>
            <w:tcW w:w="281" w:type="pct"/>
            <w:noWrap/>
            <w:tcMar>
              <w:top w:w="15" w:type="dxa"/>
              <w:left w:w="15" w:type="dxa"/>
              <w:right w:w="15" w:type="dxa"/>
            </w:tcMar>
            <w:vAlign w:val="center"/>
          </w:tcPr>
          <w:p w14:paraId="0F0D986A">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1</w:t>
            </w:r>
          </w:p>
        </w:tc>
        <w:tc>
          <w:tcPr>
            <w:tcW w:w="305" w:type="pct"/>
            <w:noWrap/>
            <w:tcMar>
              <w:top w:w="15" w:type="dxa"/>
              <w:left w:w="15" w:type="dxa"/>
              <w:right w:w="15" w:type="dxa"/>
            </w:tcMar>
            <w:vAlign w:val="center"/>
          </w:tcPr>
          <w:p w14:paraId="0704BD53">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609.2</w:t>
            </w:r>
          </w:p>
        </w:tc>
        <w:tc>
          <w:tcPr>
            <w:tcW w:w="305" w:type="pct"/>
            <w:noWrap/>
            <w:tcMar>
              <w:top w:w="15" w:type="dxa"/>
              <w:left w:w="15" w:type="dxa"/>
              <w:right w:w="15" w:type="dxa"/>
            </w:tcMar>
            <w:vAlign w:val="center"/>
          </w:tcPr>
          <w:p w14:paraId="10E7301F">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36.9</w:t>
            </w:r>
          </w:p>
        </w:tc>
        <w:tc>
          <w:tcPr>
            <w:tcW w:w="665" w:type="pct"/>
            <w:noWrap/>
            <w:tcMar>
              <w:top w:w="15" w:type="dxa"/>
              <w:left w:w="15" w:type="dxa"/>
              <w:right w:w="15" w:type="dxa"/>
            </w:tcMar>
            <w:vAlign w:val="center"/>
          </w:tcPr>
          <w:p w14:paraId="3627257D">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5.711</w:t>
            </w:r>
          </w:p>
        </w:tc>
        <w:tc>
          <w:tcPr>
            <w:tcW w:w="701" w:type="pct"/>
            <w:noWrap/>
            <w:tcMar>
              <w:top w:w="15" w:type="dxa"/>
              <w:left w:w="15" w:type="dxa"/>
              <w:right w:w="15" w:type="dxa"/>
            </w:tcMar>
            <w:vAlign w:val="center"/>
          </w:tcPr>
          <w:p w14:paraId="528E0F8B">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5.307</w:t>
            </w:r>
          </w:p>
        </w:tc>
        <w:tc>
          <w:tcPr>
            <w:tcW w:w="701" w:type="pct"/>
            <w:noWrap/>
            <w:tcMar>
              <w:top w:w="15" w:type="dxa"/>
              <w:left w:w="15" w:type="dxa"/>
              <w:right w:w="15" w:type="dxa"/>
            </w:tcMar>
            <w:vAlign w:val="center"/>
          </w:tcPr>
          <w:p w14:paraId="53BE5571">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5.259</w:t>
            </w:r>
          </w:p>
        </w:tc>
        <w:tc>
          <w:tcPr>
            <w:tcW w:w="888" w:type="pct"/>
            <w:noWrap/>
            <w:tcMar>
              <w:top w:w="15" w:type="dxa"/>
              <w:left w:w="15" w:type="dxa"/>
              <w:right w:w="15" w:type="dxa"/>
            </w:tcMar>
            <w:vAlign w:val="center"/>
          </w:tcPr>
          <w:p w14:paraId="1D2F46E8">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0.7510</w:t>
            </w:r>
          </w:p>
        </w:tc>
        <w:tc>
          <w:tcPr>
            <w:tcW w:w="509" w:type="pct"/>
            <w:noWrap/>
            <w:tcMar>
              <w:top w:w="15" w:type="dxa"/>
              <w:left w:w="15" w:type="dxa"/>
              <w:right w:w="15" w:type="dxa"/>
            </w:tcMar>
            <w:vAlign w:val="center"/>
          </w:tcPr>
          <w:p w14:paraId="3E582F38">
            <w:pPr>
              <w:keepNext w:val="0"/>
              <w:keepLines w:val="0"/>
              <w:suppressLineNumbers w:val="0"/>
              <w:spacing w:before="0" w:beforeAutospacing="0" w:after="0" w:afterAutospacing="0"/>
              <w:ind w:left="0" w:right="0"/>
              <w:jc w:val="center"/>
              <w:rPr>
                <w:rFonts w:hint="default"/>
                <w:color w:val="000000"/>
                <w:sz w:val="22"/>
              </w:rPr>
            </w:pPr>
          </w:p>
        </w:tc>
      </w:tr>
      <w:tr w14:paraId="6502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2061E1F7">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30990BFB">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2</w:t>
            </w:r>
          </w:p>
        </w:tc>
        <w:tc>
          <w:tcPr>
            <w:tcW w:w="305" w:type="pct"/>
            <w:noWrap/>
            <w:tcMar>
              <w:top w:w="15" w:type="dxa"/>
              <w:left w:w="15" w:type="dxa"/>
              <w:right w:w="15" w:type="dxa"/>
            </w:tcMar>
            <w:vAlign w:val="center"/>
          </w:tcPr>
          <w:p w14:paraId="58AB44B7">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607.7</w:t>
            </w:r>
          </w:p>
        </w:tc>
        <w:tc>
          <w:tcPr>
            <w:tcW w:w="305" w:type="pct"/>
            <w:noWrap/>
            <w:tcMar>
              <w:top w:w="15" w:type="dxa"/>
              <w:left w:w="15" w:type="dxa"/>
              <w:right w:w="15" w:type="dxa"/>
            </w:tcMar>
            <w:vAlign w:val="center"/>
          </w:tcPr>
          <w:p w14:paraId="0B3A9952">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37.0</w:t>
            </w:r>
          </w:p>
        </w:tc>
        <w:tc>
          <w:tcPr>
            <w:tcW w:w="665" w:type="pct"/>
            <w:noWrap/>
            <w:tcMar>
              <w:top w:w="15" w:type="dxa"/>
              <w:left w:w="15" w:type="dxa"/>
              <w:right w:w="15" w:type="dxa"/>
            </w:tcMar>
            <w:vAlign w:val="center"/>
          </w:tcPr>
          <w:p w14:paraId="75C64AD0">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5.739</w:t>
            </w:r>
          </w:p>
        </w:tc>
        <w:tc>
          <w:tcPr>
            <w:tcW w:w="701" w:type="pct"/>
            <w:noWrap/>
            <w:tcMar>
              <w:top w:w="15" w:type="dxa"/>
              <w:left w:w="15" w:type="dxa"/>
              <w:right w:w="15" w:type="dxa"/>
            </w:tcMar>
            <w:vAlign w:val="center"/>
          </w:tcPr>
          <w:p w14:paraId="62665D99">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5.322</w:t>
            </w:r>
          </w:p>
        </w:tc>
        <w:tc>
          <w:tcPr>
            <w:tcW w:w="701" w:type="pct"/>
            <w:noWrap/>
            <w:tcMar>
              <w:top w:w="15" w:type="dxa"/>
              <w:left w:w="15" w:type="dxa"/>
              <w:right w:w="15" w:type="dxa"/>
            </w:tcMar>
            <w:vAlign w:val="center"/>
          </w:tcPr>
          <w:p w14:paraId="1C3CDE04">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5.436</w:t>
            </w:r>
          </w:p>
        </w:tc>
        <w:tc>
          <w:tcPr>
            <w:tcW w:w="888" w:type="pct"/>
            <w:noWrap/>
            <w:tcMar>
              <w:top w:w="15" w:type="dxa"/>
              <w:left w:w="15" w:type="dxa"/>
              <w:right w:w="15" w:type="dxa"/>
            </w:tcMar>
            <w:vAlign w:val="center"/>
          </w:tcPr>
          <w:p w14:paraId="2AC3D863">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0.7565</w:t>
            </w:r>
          </w:p>
        </w:tc>
        <w:tc>
          <w:tcPr>
            <w:tcW w:w="509" w:type="pct"/>
            <w:noWrap/>
            <w:tcMar>
              <w:top w:w="15" w:type="dxa"/>
              <w:left w:w="15" w:type="dxa"/>
              <w:right w:w="15" w:type="dxa"/>
            </w:tcMar>
            <w:vAlign w:val="center"/>
          </w:tcPr>
          <w:p w14:paraId="6F78E2C2">
            <w:pPr>
              <w:keepNext w:val="0"/>
              <w:keepLines w:val="0"/>
              <w:suppressLineNumbers w:val="0"/>
              <w:spacing w:before="0" w:beforeAutospacing="0" w:after="0" w:afterAutospacing="0"/>
              <w:ind w:left="0" w:right="0"/>
              <w:jc w:val="center"/>
              <w:rPr>
                <w:rFonts w:hint="default"/>
                <w:color w:val="000000"/>
                <w:sz w:val="22"/>
              </w:rPr>
            </w:pPr>
          </w:p>
        </w:tc>
      </w:tr>
      <w:tr w14:paraId="510C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6DF150EC">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4D377C47">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3</w:t>
            </w:r>
          </w:p>
        </w:tc>
        <w:tc>
          <w:tcPr>
            <w:tcW w:w="305" w:type="pct"/>
            <w:noWrap/>
            <w:tcMar>
              <w:top w:w="15" w:type="dxa"/>
              <w:left w:w="15" w:type="dxa"/>
              <w:right w:w="15" w:type="dxa"/>
            </w:tcMar>
            <w:vAlign w:val="center"/>
          </w:tcPr>
          <w:p w14:paraId="06EED73D">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609.6</w:t>
            </w:r>
          </w:p>
        </w:tc>
        <w:tc>
          <w:tcPr>
            <w:tcW w:w="305" w:type="pct"/>
            <w:noWrap/>
            <w:tcMar>
              <w:top w:w="15" w:type="dxa"/>
              <w:left w:w="15" w:type="dxa"/>
              <w:right w:w="15" w:type="dxa"/>
            </w:tcMar>
            <w:vAlign w:val="center"/>
          </w:tcPr>
          <w:p w14:paraId="2D0F7AA5">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38.2</w:t>
            </w:r>
          </w:p>
        </w:tc>
        <w:tc>
          <w:tcPr>
            <w:tcW w:w="665" w:type="pct"/>
            <w:noWrap/>
            <w:tcMar>
              <w:top w:w="15" w:type="dxa"/>
              <w:left w:w="15" w:type="dxa"/>
              <w:right w:w="15" w:type="dxa"/>
            </w:tcMar>
            <w:vAlign w:val="center"/>
          </w:tcPr>
          <w:p w14:paraId="58082E61">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5.897</w:t>
            </w:r>
          </w:p>
        </w:tc>
        <w:tc>
          <w:tcPr>
            <w:tcW w:w="701" w:type="pct"/>
            <w:noWrap/>
            <w:tcMar>
              <w:top w:w="15" w:type="dxa"/>
              <w:left w:w="15" w:type="dxa"/>
              <w:right w:w="15" w:type="dxa"/>
            </w:tcMar>
            <w:vAlign w:val="center"/>
          </w:tcPr>
          <w:p w14:paraId="70D3C565">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5.421</w:t>
            </w:r>
          </w:p>
        </w:tc>
        <w:tc>
          <w:tcPr>
            <w:tcW w:w="701" w:type="pct"/>
            <w:noWrap/>
            <w:tcMar>
              <w:top w:w="15" w:type="dxa"/>
              <w:left w:w="15" w:type="dxa"/>
              <w:right w:w="15" w:type="dxa"/>
            </w:tcMar>
            <w:vAlign w:val="center"/>
          </w:tcPr>
          <w:p w14:paraId="6BCA6449">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5.407</w:t>
            </w:r>
          </w:p>
        </w:tc>
        <w:tc>
          <w:tcPr>
            <w:tcW w:w="888" w:type="pct"/>
            <w:noWrap/>
            <w:tcMar>
              <w:top w:w="15" w:type="dxa"/>
              <w:left w:w="15" w:type="dxa"/>
              <w:right w:w="15" w:type="dxa"/>
            </w:tcMar>
            <w:vAlign w:val="center"/>
          </w:tcPr>
          <w:p w14:paraId="322DD9C3">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0.7508</w:t>
            </w:r>
          </w:p>
        </w:tc>
        <w:tc>
          <w:tcPr>
            <w:tcW w:w="509" w:type="pct"/>
            <w:noWrap/>
            <w:tcMar>
              <w:top w:w="15" w:type="dxa"/>
              <w:left w:w="15" w:type="dxa"/>
              <w:right w:w="15" w:type="dxa"/>
            </w:tcMar>
            <w:vAlign w:val="center"/>
          </w:tcPr>
          <w:p w14:paraId="240A82A3">
            <w:pPr>
              <w:keepNext w:val="0"/>
              <w:keepLines w:val="0"/>
              <w:suppressLineNumbers w:val="0"/>
              <w:spacing w:before="0" w:beforeAutospacing="0" w:after="0" w:afterAutospacing="0"/>
              <w:ind w:left="0" w:right="0"/>
              <w:jc w:val="center"/>
              <w:rPr>
                <w:rFonts w:hint="default"/>
                <w:color w:val="000000"/>
                <w:sz w:val="22"/>
              </w:rPr>
            </w:pPr>
          </w:p>
        </w:tc>
      </w:tr>
      <w:tr w14:paraId="2590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56B326E2">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0F8342AD">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4</w:t>
            </w:r>
          </w:p>
        </w:tc>
        <w:tc>
          <w:tcPr>
            <w:tcW w:w="305" w:type="pct"/>
            <w:noWrap/>
            <w:tcMar>
              <w:top w:w="15" w:type="dxa"/>
              <w:left w:w="15" w:type="dxa"/>
              <w:right w:w="15" w:type="dxa"/>
            </w:tcMar>
            <w:vAlign w:val="center"/>
          </w:tcPr>
          <w:p w14:paraId="6E18E524">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604.0</w:t>
            </w:r>
          </w:p>
        </w:tc>
        <w:tc>
          <w:tcPr>
            <w:tcW w:w="305" w:type="pct"/>
            <w:noWrap/>
            <w:tcMar>
              <w:top w:w="15" w:type="dxa"/>
              <w:left w:w="15" w:type="dxa"/>
              <w:right w:w="15" w:type="dxa"/>
            </w:tcMar>
            <w:vAlign w:val="center"/>
          </w:tcPr>
          <w:p w14:paraId="47BA2A01">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37.9</w:t>
            </w:r>
          </w:p>
        </w:tc>
        <w:tc>
          <w:tcPr>
            <w:tcW w:w="665" w:type="pct"/>
            <w:noWrap/>
            <w:tcMar>
              <w:top w:w="15" w:type="dxa"/>
              <w:left w:w="15" w:type="dxa"/>
              <w:right w:w="15" w:type="dxa"/>
            </w:tcMar>
            <w:vAlign w:val="center"/>
          </w:tcPr>
          <w:p w14:paraId="67DCBBF0">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5.904</w:t>
            </w:r>
          </w:p>
        </w:tc>
        <w:tc>
          <w:tcPr>
            <w:tcW w:w="701" w:type="pct"/>
            <w:noWrap/>
            <w:tcMar>
              <w:top w:w="15" w:type="dxa"/>
              <w:left w:w="15" w:type="dxa"/>
              <w:right w:w="15" w:type="dxa"/>
            </w:tcMar>
            <w:vAlign w:val="center"/>
          </w:tcPr>
          <w:p w14:paraId="487792F7">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5.520</w:t>
            </w:r>
          </w:p>
        </w:tc>
        <w:tc>
          <w:tcPr>
            <w:tcW w:w="701" w:type="pct"/>
            <w:noWrap/>
            <w:tcMar>
              <w:top w:w="15" w:type="dxa"/>
              <w:left w:w="15" w:type="dxa"/>
              <w:right w:w="15" w:type="dxa"/>
            </w:tcMar>
            <w:vAlign w:val="center"/>
          </w:tcPr>
          <w:p w14:paraId="7A41796D">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5.537</w:t>
            </w:r>
          </w:p>
        </w:tc>
        <w:tc>
          <w:tcPr>
            <w:tcW w:w="888" w:type="pct"/>
            <w:noWrap/>
            <w:tcMar>
              <w:top w:w="15" w:type="dxa"/>
              <w:left w:w="15" w:type="dxa"/>
              <w:right w:w="15" w:type="dxa"/>
            </w:tcMar>
            <w:vAlign w:val="center"/>
          </w:tcPr>
          <w:p w14:paraId="0EE91E2F">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0.7562</w:t>
            </w:r>
          </w:p>
        </w:tc>
        <w:tc>
          <w:tcPr>
            <w:tcW w:w="509" w:type="pct"/>
            <w:noWrap/>
            <w:tcMar>
              <w:top w:w="15" w:type="dxa"/>
              <w:left w:w="15" w:type="dxa"/>
              <w:right w:w="15" w:type="dxa"/>
            </w:tcMar>
            <w:vAlign w:val="center"/>
          </w:tcPr>
          <w:p w14:paraId="62AB3842">
            <w:pPr>
              <w:keepNext w:val="0"/>
              <w:keepLines w:val="0"/>
              <w:suppressLineNumbers w:val="0"/>
              <w:spacing w:before="0" w:beforeAutospacing="0" w:after="0" w:afterAutospacing="0"/>
              <w:ind w:left="0" w:right="0"/>
              <w:jc w:val="center"/>
              <w:rPr>
                <w:rFonts w:hint="default"/>
                <w:color w:val="000000"/>
                <w:sz w:val="22"/>
              </w:rPr>
            </w:pPr>
          </w:p>
        </w:tc>
      </w:tr>
      <w:tr w14:paraId="0FFA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restart"/>
            <w:noWrap/>
            <w:tcMar>
              <w:top w:w="15" w:type="dxa"/>
              <w:left w:w="15" w:type="dxa"/>
              <w:right w:w="15" w:type="dxa"/>
            </w:tcMar>
            <w:vAlign w:val="center"/>
          </w:tcPr>
          <w:p w14:paraId="195103DF">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6~7</w:t>
            </w:r>
          </w:p>
        </w:tc>
        <w:tc>
          <w:tcPr>
            <w:tcW w:w="281" w:type="pct"/>
            <w:noWrap/>
            <w:tcMar>
              <w:top w:w="15" w:type="dxa"/>
              <w:left w:w="15" w:type="dxa"/>
              <w:right w:w="15" w:type="dxa"/>
            </w:tcMar>
            <w:vAlign w:val="center"/>
          </w:tcPr>
          <w:p w14:paraId="09A5085A">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1</w:t>
            </w:r>
          </w:p>
        </w:tc>
        <w:tc>
          <w:tcPr>
            <w:tcW w:w="305" w:type="pct"/>
            <w:noWrap/>
            <w:tcMar>
              <w:top w:w="15" w:type="dxa"/>
              <w:left w:w="15" w:type="dxa"/>
              <w:right w:w="15" w:type="dxa"/>
            </w:tcMar>
            <w:vAlign w:val="center"/>
          </w:tcPr>
          <w:p w14:paraId="06C4F964">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650.9</w:t>
            </w:r>
          </w:p>
        </w:tc>
        <w:tc>
          <w:tcPr>
            <w:tcW w:w="305" w:type="pct"/>
            <w:noWrap/>
            <w:tcMar>
              <w:top w:w="15" w:type="dxa"/>
              <w:left w:w="15" w:type="dxa"/>
              <w:right w:w="15" w:type="dxa"/>
            </w:tcMar>
            <w:vAlign w:val="center"/>
          </w:tcPr>
          <w:p w14:paraId="10A43303">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46.8</w:t>
            </w:r>
          </w:p>
        </w:tc>
        <w:tc>
          <w:tcPr>
            <w:tcW w:w="665" w:type="pct"/>
            <w:noWrap/>
            <w:tcMar>
              <w:top w:w="15" w:type="dxa"/>
              <w:left w:w="15" w:type="dxa"/>
              <w:right w:w="15" w:type="dxa"/>
            </w:tcMar>
            <w:vAlign w:val="center"/>
          </w:tcPr>
          <w:p w14:paraId="28693407">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6.708</w:t>
            </w:r>
          </w:p>
        </w:tc>
        <w:tc>
          <w:tcPr>
            <w:tcW w:w="701" w:type="pct"/>
            <w:noWrap/>
            <w:tcMar>
              <w:top w:w="15" w:type="dxa"/>
              <w:left w:w="15" w:type="dxa"/>
              <w:right w:w="15" w:type="dxa"/>
            </w:tcMar>
            <w:vAlign w:val="center"/>
          </w:tcPr>
          <w:p w14:paraId="30C9148E">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6.198</w:t>
            </w:r>
          </w:p>
        </w:tc>
        <w:tc>
          <w:tcPr>
            <w:tcW w:w="701" w:type="pct"/>
            <w:noWrap/>
            <w:tcMar>
              <w:top w:w="15" w:type="dxa"/>
              <w:left w:w="15" w:type="dxa"/>
              <w:right w:w="15" w:type="dxa"/>
            </w:tcMar>
            <w:vAlign w:val="center"/>
          </w:tcPr>
          <w:p w14:paraId="38582947">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6.277</w:t>
            </w:r>
          </w:p>
        </w:tc>
        <w:tc>
          <w:tcPr>
            <w:tcW w:w="888" w:type="pct"/>
            <w:noWrap/>
            <w:tcMar>
              <w:top w:w="15" w:type="dxa"/>
              <w:left w:w="15" w:type="dxa"/>
              <w:right w:w="15" w:type="dxa"/>
            </w:tcMar>
            <w:vAlign w:val="center"/>
          </w:tcPr>
          <w:p w14:paraId="27B2CA62">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0.7501</w:t>
            </w:r>
          </w:p>
        </w:tc>
        <w:tc>
          <w:tcPr>
            <w:tcW w:w="509" w:type="pct"/>
            <w:noWrap/>
            <w:tcMar>
              <w:top w:w="15" w:type="dxa"/>
              <w:left w:w="15" w:type="dxa"/>
              <w:right w:w="15" w:type="dxa"/>
            </w:tcMar>
            <w:vAlign w:val="center"/>
          </w:tcPr>
          <w:p w14:paraId="24F31C4D">
            <w:pPr>
              <w:keepNext w:val="0"/>
              <w:keepLines w:val="0"/>
              <w:suppressLineNumbers w:val="0"/>
              <w:spacing w:before="0" w:beforeAutospacing="0" w:after="0" w:afterAutospacing="0"/>
              <w:ind w:left="0" w:right="0"/>
              <w:jc w:val="center"/>
              <w:rPr>
                <w:rFonts w:hint="default"/>
                <w:color w:val="000000"/>
                <w:sz w:val="22"/>
              </w:rPr>
            </w:pPr>
          </w:p>
        </w:tc>
      </w:tr>
      <w:tr w14:paraId="2388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19D546C7">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3450AD7A">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2</w:t>
            </w:r>
          </w:p>
        </w:tc>
        <w:tc>
          <w:tcPr>
            <w:tcW w:w="305" w:type="pct"/>
            <w:noWrap/>
            <w:tcMar>
              <w:top w:w="15" w:type="dxa"/>
              <w:left w:w="15" w:type="dxa"/>
              <w:right w:w="15" w:type="dxa"/>
            </w:tcMar>
            <w:vAlign w:val="center"/>
          </w:tcPr>
          <w:p w14:paraId="0B5B1550">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645.2</w:t>
            </w:r>
          </w:p>
        </w:tc>
        <w:tc>
          <w:tcPr>
            <w:tcW w:w="305" w:type="pct"/>
            <w:noWrap/>
            <w:tcMar>
              <w:top w:w="15" w:type="dxa"/>
              <w:left w:w="15" w:type="dxa"/>
              <w:right w:w="15" w:type="dxa"/>
            </w:tcMar>
            <w:vAlign w:val="center"/>
          </w:tcPr>
          <w:p w14:paraId="23DCAB98">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46.3</w:t>
            </w:r>
          </w:p>
        </w:tc>
        <w:tc>
          <w:tcPr>
            <w:tcW w:w="665" w:type="pct"/>
            <w:noWrap/>
            <w:tcMar>
              <w:top w:w="15" w:type="dxa"/>
              <w:left w:w="15" w:type="dxa"/>
              <w:right w:w="15" w:type="dxa"/>
            </w:tcMar>
            <w:vAlign w:val="center"/>
          </w:tcPr>
          <w:p w14:paraId="36C14C94">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6.696</w:t>
            </w:r>
          </w:p>
        </w:tc>
        <w:tc>
          <w:tcPr>
            <w:tcW w:w="701" w:type="pct"/>
            <w:noWrap/>
            <w:tcMar>
              <w:top w:w="15" w:type="dxa"/>
              <w:left w:w="15" w:type="dxa"/>
              <w:right w:w="15" w:type="dxa"/>
            </w:tcMar>
            <w:vAlign w:val="center"/>
          </w:tcPr>
          <w:p w14:paraId="2D00B0BC">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6.224</w:t>
            </w:r>
          </w:p>
        </w:tc>
        <w:tc>
          <w:tcPr>
            <w:tcW w:w="701" w:type="pct"/>
            <w:noWrap/>
            <w:tcMar>
              <w:top w:w="15" w:type="dxa"/>
              <w:left w:w="15" w:type="dxa"/>
              <w:right w:w="15" w:type="dxa"/>
            </w:tcMar>
            <w:vAlign w:val="center"/>
          </w:tcPr>
          <w:p w14:paraId="27C6F2BC">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6.362</w:t>
            </w:r>
          </w:p>
        </w:tc>
        <w:tc>
          <w:tcPr>
            <w:tcW w:w="888" w:type="pct"/>
            <w:noWrap/>
            <w:tcMar>
              <w:top w:w="15" w:type="dxa"/>
              <w:left w:w="15" w:type="dxa"/>
              <w:right w:w="15" w:type="dxa"/>
            </w:tcMar>
            <w:vAlign w:val="center"/>
          </w:tcPr>
          <w:p w14:paraId="48D2F42B">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0.7559</w:t>
            </w:r>
          </w:p>
        </w:tc>
        <w:tc>
          <w:tcPr>
            <w:tcW w:w="509" w:type="pct"/>
            <w:noWrap/>
            <w:tcMar>
              <w:top w:w="15" w:type="dxa"/>
              <w:left w:w="15" w:type="dxa"/>
              <w:right w:w="15" w:type="dxa"/>
            </w:tcMar>
            <w:vAlign w:val="center"/>
          </w:tcPr>
          <w:p w14:paraId="2EFFCE17">
            <w:pPr>
              <w:keepNext w:val="0"/>
              <w:keepLines w:val="0"/>
              <w:suppressLineNumbers w:val="0"/>
              <w:spacing w:before="0" w:beforeAutospacing="0" w:after="0" w:afterAutospacing="0"/>
              <w:ind w:left="0" w:right="0"/>
              <w:jc w:val="center"/>
              <w:rPr>
                <w:rFonts w:hint="default"/>
                <w:color w:val="000000"/>
                <w:sz w:val="22"/>
              </w:rPr>
            </w:pPr>
          </w:p>
        </w:tc>
      </w:tr>
      <w:tr w14:paraId="2131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460B8F68">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2DB6E352">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3</w:t>
            </w:r>
          </w:p>
        </w:tc>
        <w:tc>
          <w:tcPr>
            <w:tcW w:w="305" w:type="pct"/>
            <w:noWrap/>
            <w:tcMar>
              <w:top w:w="15" w:type="dxa"/>
              <w:left w:w="15" w:type="dxa"/>
              <w:right w:w="15" w:type="dxa"/>
            </w:tcMar>
            <w:vAlign w:val="center"/>
          </w:tcPr>
          <w:p w14:paraId="55823A62">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605.7</w:t>
            </w:r>
          </w:p>
        </w:tc>
        <w:tc>
          <w:tcPr>
            <w:tcW w:w="305" w:type="pct"/>
            <w:noWrap/>
            <w:tcMar>
              <w:top w:w="15" w:type="dxa"/>
              <w:left w:w="15" w:type="dxa"/>
              <w:right w:w="15" w:type="dxa"/>
            </w:tcMar>
            <w:vAlign w:val="center"/>
          </w:tcPr>
          <w:p w14:paraId="72003A4C">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44.2</w:t>
            </w:r>
          </w:p>
        </w:tc>
        <w:tc>
          <w:tcPr>
            <w:tcW w:w="665" w:type="pct"/>
            <w:noWrap/>
            <w:tcMar>
              <w:top w:w="15" w:type="dxa"/>
              <w:left w:w="15" w:type="dxa"/>
              <w:right w:w="15" w:type="dxa"/>
            </w:tcMar>
            <w:vAlign w:val="center"/>
          </w:tcPr>
          <w:p w14:paraId="7E4395C1">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6.801</w:t>
            </w:r>
          </w:p>
        </w:tc>
        <w:tc>
          <w:tcPr>
            <w:tcW w:w="701" w:type="pct"/>
            <w:noWrap/>
            <w:tcMar>
              <w:top w:w="15" w:type="dxa"/>
              <w:left w:w="15" w:type="dxa"/>
              <w:right w:w="15" w:type="dxa"/>
            </w:tcMar>
            <w:vAlign w:val="center"/>
          </w:tcPr>
          <w:p w14:paraId="237A8DE8">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6.316</w:t>
            </w:r>
          </w:p>
        </w:tc>
        <w:tc>
          <w:tcPr>
            <w:tcW w:w="701" w:type="pct"/>
            <w:noWrap/>
            <w:tcMar>
              <w:top w:w="15" w:type="dxa"/>
              <w:left w:w="15" w:type="dxa"/>
              <w:right w:w="15" w:type="dxa"/>
            </w:tcMar>
            <w:vAlign w:val="center"/>
          </w:tcPr>
          <w:p w14:paraId="41BC099B">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6.454</w:t>
            </w:r>
          </w:p>
        </w:tc>
        <w:tc>
          <w:tcPr>
            <w:tcW w:w="888" w:type="pct"/>
            <w:noWrap/>
            <w:tcMar>
              <w:top w:w="15" w:type="dxa"/>
              <w:left w:w="15" w:type="dxa"/>
              <w:right w:w="15" w:type="dxa"/>
            </w:tcMar>
            <w:vAlign w:val="center"/>
          </w:tcPr>
          <w:p w14:paraId="724465E9">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0.7508</w:t>
            </w:r>
          </w:p>
        </w:tc>
        <w:tc>
          <w:tcPr>
            <w:tcW w:w="509" w:type="pct"/>
            <w:noWrap/>
            <w:tcMar>
              <w:top w:w="15" w:type="dxa"/>
              <w:left w:w="15" w:type="dxa"/>
              <w:right w:w="15" w:type="dxa"/>
            </w:tcMar>
            <w:vAlign w:val="center"/>
          </w:tcPr>
          <w:p w14:paraId="1FAC98FC">
            <w:pPr>
              <w:keepNext w:val="0"/>
              <w:keepLines w:val="0"/>
              <w:suppressLineNumbers w:val="0"/>
              <w:spacing w:before="0" w:beforeAutospacing="0" w:after="0" w:afterAutospacing="0"/>
              <w:ind w:left="0" w:right="0"/>
              <w:jc w:val="center"/>
              <w:rPr>
                <w:rFonts w:hint="default"/>
                <w:color w:val="000000"/>
                <w:sz w:val="22"/>
              </w:rPr>
            </w:pPr>
          </w:p>
        </w:tc>
      </w:tr>
      <w:tr w14:paraId="544D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38" w:type="pct"/>
            <w:vMerge w:val="continue"/>
            <w:noWrap/>
            <w:tcMar>
              <w:top w:w="15" w:type="dxa"/>
              <w:left w:w="15" w:type="dxa"/>
              <w:right w:w="15" w:type="dxa"/>
            </w:tcMar>
            <w:vAlign w:val="center"/>
          </w:tcPr>
          <w:p w14:paraId="289AC0A2">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309E5E24">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4</w:t>
            </w:r>
          </w:p>
        </w:tc>
        <w:tc>
          <w:tcPr>
            <w:tcW w:w="305" w:type="pct"/>
            <w:noWrap/>
            <w:tcMar>
              <w:top w:w="15" w:type="dxa"/>
              <w:left w:w="15" w:type="dxa"/>
              <w:right w:w="15" w:type="dxa"/>
            </w:tcMar>
            <w:vAlign w:val="center"/>
          </w:tcPr>
          <w:p w14:paraId="41BDA362">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642.0</w:t>
            </w:r>
          </w:p>
        </w:tc>
        <w:tc>
          <w:tcPr>
            <w:tcW w:w="305" w:type="pct"/>
            <w:noWrap/>
            <w:tcMar>
              <w:top w:w="15" w:type="dxa"/>
              <w:left w:w="15" w:type="dxa"/>
              <w:right w:w="15" w:type="dxa"/>
            </w:tcMar>
            <w:vAlign w:val="center"/>
          </w:tcPr>
          <w:p w14:paraId="359CC0DA">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47.7</w:t>
            </w:r>
          </w:p>
        </w:tc>
        <w:tc>
          <w:tcPr>
            <w:tcW w:w="665" w:type="pct"/>
            <w:noWrap/>
            <w:tcMar>
              <w:top w:w="15" w:type="dxa"/>
              <w:left w:w="15" w:type="dxa"/>
              <w:right w:w="15" w:type="dxa"/>
            </w:tcMar>
            <w:vAlign w:val="center"/>
          </w:tcPr>
          <w:p w14:paraId="53ED0C0D">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6.916</w:t>
            </w:r>
          </w:p>
        </w:tc>
        <w:tc>
          <w:tcPr>
            <w:tcW w:w="701" w:type="pct"/>
            <w:noWrap/>
            <w:tcMar>
              <w:top w:w="15" w:type="dxa"/>
              <w:left w:w="15" w:type="dxa"/>
              <w:right w:w="15" w:type="dxa"/>
            </w:tcMar>
            <w:vAlign w:val="center"/>
          </w:tcPr>
          <w:p w14:paraId="61FC7246">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6.236</w:t>
            </w:r>
          </w:p>
        </w:tc>
        <w:tc>
          <w:tcPr>
            <w:tcW w:w="701" w:type="pct"/>
            <w:noWrap/>
            <w:tcMar>
              <w:top w:w="15" w:type="dxa"/>
              <w:left w:w="15" w:type="dxa"/>
              <w:right w:w="15" w:type="dxa"/>
            </w:tcMar>
            <w:vAlign w:val="center"/>
          </w:tcPr>
          <w:p w14:paraId="273F072B">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6.303</w:t>
            </w:r>
          </w:p>
        </w:tc>
        <w:tc>
          <w:tcPr>
            <w:tcW w:w="888" w:type="pct"/>
            <w:noWrap/>
            <w:tcMar>
              <w:top w:w="15" w:type="dxa"/>
              <w:left w:w="15" w:type="dxa"/>
              <w:right w:w="15" w:type="dxa"/>
            </w:tcMar>
            <w:vAlign w:val="center"/>
          </w:tcPr>
          <w:p w14:paraId="79BB7B75">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0.7566</w:t>
            </w:r>
          </w:p>
        </w:tc>
        <w:tc>
          <w:tcPr>
            <w:tcW w:w="509" w:type="pct"/>
            <w:noWrap/>
            <w:tcMar>
              <w:top w:w="15" w:type="dxa"/>
              <w:left w:w="15" w:type="dxa"/>
              <w:right w:w="15" w:type="dxa"/>
            </w:tcMar>
            <w:vAlign w:val="center"/>
          </w:tcPr>
          <w:p w14:paraId="13BCB013">
            <w:pPr>
              <w:keepNext w:val="0"/>
              <w:keepLines w:val="0"/>
              <w:suppressLineNumbers w:val="0"/>
              <w:spacing w:before="0" w:beforeAutospacing="0" w:after="0" w:afterAutospacing="0"/>
              <w:ind w:left="0" w:right="0"/>
              <w:jc w:val="center"/>
              <w:rPr>
                <w:rFonts w:hint="default"/>
                <w:color w:val="000000"/>
                <w:sz w:val="22"/>
              </w:rPr>
            </w:pPr>
          </w:p>
        </w:tc>
      </w:tr>
    </w:tbl>
    <w:p w14:paraId="62944600">
      <w:pPr>
        <w:spacing w:before="156" w:beforeLines="50" w:line="360" w:lineRule="auto"/>
        <w:jc w:val="left"/>
        <w:rPr>
          <w:sz w:val="24"/>
          <w:szCs w:val="32"/>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40"/>
        <w:gridCol w:w="468"/>
        <w:gridCol w:w="509"/>
        <w:gridCol w:w="509"/>
        <w:gridCol w:w="1109"/>
        <w:gridCol w:w="1169"/>
        <w:gridCol w:w="1169"/>
        <w:gridCol w:w="1531"/>
        <w:gridCol w:w="832"/>
      </w:tblGrid>
      <w:tr w14:paraId="653B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500" w:type="pct"/>
            <w:gridSpan w:val="8"/>
            <w:noWrap/>
            <w:tcMar>
              <w:top w:w="15" w:type="dxa"/>
              <w:left w:w="15" w:type="dxa"/>
              <w:right w:w="15" w:type="dxa"/>
            </w:tcMar>
            <w:vAlign w:val="center"/>
          </w:tcPr>
          <w:p w14:paraId="5D02CCA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sz w:val="22"/>
              </w:rPr>
              <w:t>配</w:t>
            </w:r>
            <w:r>
              <w:rPr>
                <w:rFonts w:hint="eastAsia"/>
                <w:color w:val="000000"/>
                <w:sz w:val="22"/>
              </w:rPr>
              <w:t>制</w:t>
            </w:r>
            <w:r>
              <w:rPr>
                <w:rFonts w:hint="default"/>
                <w:color w:val="000000"/>
                <w:sz w:val="22"/>
              </w:rPr>
              <w:t>情况</w:t>
            </w:r>
          </w:p>
        </w:tc>
        <w:tc>
          <w:tcPr>
            <w:tcW w:w="499" w:type="pct"/>
            <w:noWrap/>
            <w:tcMar>
              <w:top w:w="15" w:type="dxa"/>
              <w:left w:w="15" w:type="dxa"/>
              <w:right w:w="15" w:type="dxa"/>
            </w:tcMar>
            <w:vAlign w:val="center"/>
          </w:tcPr>
          <w:p w14:paraId="49DEF201">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sz w:val="22"/>
              </w:rPr>
              <w:t>备注</w:t>
            </w:r>
          </w:p>
        </w:tc>
      </w:tr>
      <w:tr w14:paraId="5570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24" w:type="pct"/>
            <w:noWrap/>
            <w:tcMar>
              <w:top w:w="15" w:type="dxa"/>
              <w:left w:w="15" w:type="dxa"/>
              <w:right w:w="15" w:type="dxa"/>
            </w:tcMar>
            <w:vAlign w:val="center"/>
          </w:tcPr>
          <w:p w14:paraId="4AA646EC">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 w:val="22"/>
              </w:rPr>
              <w:t>目标浓度</w:t>
            </w:r>
          </w:p>
        </w:tc>
        <w:tc>
          <w:tcPr>
            <w:tcW w:w="281" w:type="pct"/>
            <w:noWrap/>
            <w:tcMar>
              <w:top w:w="15" w:type="dxa"/>
              <w:left w:w="15" w:type="dxa"/>
              <w:right w:w="15" w:type="dxa"/>
            </w:tcMar>
            <w:vAlign w:val="center"/>
          </w:tcPr>
          <w:p w14:paraId="716D25D8">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序号</w:t>
            </w:r>
          </w:p>
        </w:tc>
        <w:tc>
          <w:tcPr>
            <w:tcW w:w="305" w:type="pct"/>
            <w:noWrap/>
            <w:tcMar>
              <w:top w:w="15" w:type="dxa"/>
              <w:left w:w="15" w:type="dxa"/>
              <w:right w:w="15" w:type="dxa"/>
            </w:tcMar>
            <w:vAlign w:val="center"/>
          </w:tcPr>
          <w:p w14:paraId="696A3608">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sz w:val="22"/>
              </w:rPr>
              <w:t>组分</w:t>
            </w:r>
          </w:p>
        </w:tc>
        <w:tc>
          <w:tcPr>
            <w:tcW w:w="305" w:type="pct"/>
            <w:noWrap/>
            <w:tcMar>
              <w:top w:w="15" w:type="dxa"/>
              <w:left w:w="15" w:type="dxa"/>
              <w:right w:w="15" w:type="dxa"/>
            </w:tcMar>
            <w:vAlign w:val="center"/>
          </w:tcPr>
          <w:p w14:paraId="76931605">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sz w:val="22"/>
              </w:rPr>
              <w:t>乙醇</w:t>
            </w:r>
          </w:p>
        </w:tc>
        <w:tc>
          <w:tcPr>
            <w:tcW w:w="665" w:type="pct"/>
            <w:noWrap/>
            <w:tcMar>
              <w:top w:w="15" w:type="dxa"/>
              <w:left w:w="15" w:type="dxa"/>
              <w:right w:w="15" w:type="dxa"/>
            </w:tcMar>
            <w:vAlign w:val="center"/>
          </w:tcPr>
          <w:p w14:paraId="0A764AED">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22"/>
              </w:rPr>
              <w:t>浓度（w）</w:t>
            </w:r>
          </w:p>
        </w:tc>
        <w:tc>
          <w:tcPr>
            <w:tcW w:w="701" w:type="pct"/>
            <w:noWrap/>
            <w:tcMar>
              <w:top w:w="15" w:type="dxa"/>
              <w:left w:w="15" w:type="dxa"/>
              <w:right w:w="15" w:type="dxa"/>
            </w:tcMar>
            <w:vAlign w:val="center"/>
          </w:tcPr>
          <w:p w14:paraId="461835B7">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22"/>
              </w:rPr>
              <w:t>气相数据1</w:t>
            </w:r>
          </w:p>
        </w:tc>
        <w:tc>
          <w:tcPr>
            <w:tcW w:w="701" w:type="pct"/>
            <w:noWrap/>
            <w:tcMar>
              <w:top w:w="15" w:type="dxa"/>
              <w:left w:w="15" w:type="dxa"/>
              <w:right w:w="15" w:type="dxa"/>
            </w:tcMar>
            <w:vAlign w:val="center"/>
          </w:tcPr>
          <w:p w14:paraId="706D1010">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22"/>
              </w:rPr>
              <w:t>气相数据2</w:t>
            </w:r>
          </w:p>
        </w:tc>
        <w:tc>
          <w:tcPr>
            <w:tcW w:w="913" w:type="pct"/>
            <w:noWrap/>
            <w:tcMar>
              <w:top w:w="15" w:type="dxa"/>
              <w:left w:w="15" w:type="dxa"/>
              <w:right w:w="15" w:type="dxa"/>
            </w:tcMar>
            <w:vAlign w:val="center"/>
          </w:tcPr>
          <w:p w14:paraId="0262F2B9">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22"/>
              </w:rPr>
              <w:t>密度（20℃）</w:t>
            </w:r>
          </w:p>
        </w:tc>
        <w:tc>
          <w:tcPr>
            <w:tcW w:w="499" w:type="pct"/>
            <w:noWrap/>
            <w:tcMar>
              <w:top w:w="15" w:type="dxa"/>
              <w:left w:w="15" w:type="dxa"/>
              <w:right w:w="15" w:type="dxa"/>
            </w:tcMar>
            <w:vAlign w:val="center"/>
          </w:tcPr>
          <w:p w14:paraId="1F161712">
            <w:pPr>
              <w:keepNext w:val="0"/>
              <w:keepLines w:val="0"/>
              <w:suppressLineNumbers w:val="0"/>
              <w:spacing w:before="0" w:beforeAutospacing="0" w:after="0" w:afterAutospacing="0"/>
              <w:ind w:left="0" w:right="0"/>
              <w:jc w:val="center"/>
              <w:rPr>
                <w:rFonts w:hint="default"/>
                <w:color w:val="000000"/>
                <w:sz w:val="22"/>
              </w:rPr>
            </w:pPr>
          </w:p>
        </w:tc>
      </w:tr>
      <w:tr w14:paraId="26AF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24" w:type="pct"/>
            <w:vMerge w:val="restart"/>
            <w:noWrap/>
            <w:tcMar>
              <w:top w:w="15" w:type="dxa"/>
              <w:left w:w="15" w:type="dxa"/>
              <w:right w:w="15" w:type="dxa"/>
            </w:tcMar>
            <w:vAlign w:val="center"/>
          </w:tcPr>
          <w:p w14:paraId="34BE309B">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8~12</w:t>
            </w:r>
          </w:p>
        </w:tc>
        <w:tc>
          <w:tcPr>
            <w:tcW w:w="281" w:type="pct"/>
            <w:noWrap/>
            <w:tcMar>
              <w:top w:w="15" w:type="dxa"/>
              <w:left w:w="15" w:type="dxa"/>
              <w:right w:w="15" w:type="dxa"/>
            </w:tcMar>
            <w:vAlign w:val="center"/>
          </w:tcPr>
          <w:p w14:paraId="0CD66F77">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1</w:t>
            </w:r>
          </w:p>
        </w:tc>
        <w:tc>
          <w:tcPr>
            <w:tcW w:w="4093" w:type="pct"/>
            <w:gridSpan w:val="7"/>
            <w:vMerge w:val="restart"/>
            <w:noWrap/>
            <w:tcMar>
              <w:top w:w="15" w:type="dxa"/>
              <w:left w:w="15" w:type="dxa"/>
              <w:right w:w="15" w:type="dxa"/>
            </w:tcMar>
            <w:vAlign w:val="center"/>
          </w:tcPr>
          <w:p w14:paraId="7DE4C5D2">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22"/>
              </w:rPr>
              <w:t>实际</w:t>
            </w:r>
          </w:p>
          <w:p w14:paraId="10BB6A52">
            <w:pPr>
              <w:keepNext w:val="0"/>
              <w:keepLines w:val="0"/>
              <w:suppressLineNumbers w:val="0"/>
              <w:spacing w:before="0" w:beforeAutospacing="0" w:after="0" w:afterAutospacing="0"/>
              <w:ind w:left="0" w:right="0"/>
              <w:jc w:val="center"/>
              <w:rPr>
                <w:rFonts w:hint="default"/>
                <w:color w:val="000000"/>
                <w:sz w:val="22"/>
              </w:rPr>
            </w:pPr>
            <w:r>
              <w:rPr>
                <w:rFonts w:hint="default"/>
                <w:color w:val="000000"/>
                <w:sz w:val="22"/>
              </w:rPr>
              <w:t>油品</w:t>
            </w:r>
          </w:p>
        </w:tc>
      </w:tr>
      <w:tr w14:paraId="27E9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24" w:type="pct"/>
            <w:vMerge w:val="continue"/>
            <w:noWrap/>
            <w:tcMar>
              <w:top w:w="15" w:type="dxa"/>
              <w:left w:w="15" w:type="dxa"/>
              <w:right w:w="15" w:type="dxa"/>
            </w:tcMar>
            <w:vAlign w:val="center"/>
          </w:tcPr>
          <w:p w14:paraId="5C2BA18E">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2392606C">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2</w:t>
            </w:r>
          </w:p>
        </w:tc>
        <w:tc>
          <w:tcPr>
            <w:tcW w:w="4093" w:type="pct"/>
            <w:gridSpan w:val="7"/>
            <w:vMerge w:val="continue"/>
            <w:noWrap/>
            <w:tcMar>
              <w:top w:w="15" w:type="dxa"/>
              <w:left w:w="15" w:type="dxa"/>
              <w:right w:w="15" w:type="dxa"/>
            </w:tcMar>
            <w:vAlign w:val="center"/>
          </w:tcPr>
          <w:p w14:paraId="04203C93">
            <w:pPr>
              <w:keepNext w:val="0"/>
              <w:keepLines w:val="0"/>
              <w:suppressLineNumbers w:val="0"/>
              <w:spacing w:before="0" w:beforeAutospacing="0" w:after="0" w:afterAutospacing="0"/>
              <w:ind w:left="0" w:right="0"/>
              <w:rPr>
                <w:rFonts w:hint="default"/>
                <w:color w:val="000000"/>
                <w:sz w:val="22"/>
              </w:rPr>
            </w:pPr>
          </w:p>
        </w:tc>
      </w:tr>
      <w:tr w14:paraId="0E26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24" w:type="pct"/>
            <w:vMerge w:val="continue"/>
            <w:noWrap/>
            <w:tcMar>
              <w:top w:w="15" w:type="dxa"/>
              <w:left w:w="15" w:type="dxa"/>
              <w:right w:w="15" w:type="dxa"/>
            </w:tcMar>
            <w:vAlign w:val="center"/>
          </w:tcPr>
          <w:p w14:paraId="02EE3860">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2AA47D04">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3</w:t>
            </w:r>
          </w:p>
        </w:tc>
        <w:tc>
          <w:tcPr>
            <w:tcW w:w="4093" w:type="pct"/>
            <w:gridSpan w:val="7"/>
            <w:vMerge w:val="continue"/>
            <w:noWrap/>
            <w:tcMar>
              <w:top w:w="15" w:type="dxa"/>
              <w:left w:w="15" w:type="dxa"/>
              <w:right w:w="15" w:type="dxa"/>
            </w:tcMar>
            <w:vAlign w:val="center"/>
          </w:tcPr>
          <w:p w14:paraId="5E937635">
            <w:pPr>
              <w:keepNext w:val="0"/>
              <w:keepLines w:val="0"/>
              <w:suppressLineNumbers w:val="0"/>
              <w:spacing w:before="0" w:beforeAutospacing="0" w:after="0" w:afterAutospacing="0"/>
              <w:ind w:left="0" w:right="0"/>
              <w:rPr>
                <w:rFonts w:hint="default"/>
                <w:color w:val="000000"/>
                <w:sz w:val="22"/>
              </w:rPr>
            </w:pPr>
          </w:p>
        </w:tc>
      </w:tr>
      <w:tr w14:paraId="0062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24" w:type="pct"/>
            <w:vMerge w:val="continue"/>
            <w:noWrap/>
            <w:tcMar>
              <w:top w:w="15" w:type="dxa"/>
              <w:left w:w="15" w:type="dxa"/>
              <w:right w:w="15" w:type="dxa"/>
            </w:tcMar>
            <w:vAlign w:val="center"/>
          </w:tcPr>
          <w:p w14:paraId="06DD07B2">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281" w:type="pct"/>
            <w:noWrap/>
            <w:tcMar>
              <w:top w:w="15" w:type="dxa"/>
              <w:left w:w="15" w:type="dxa"/>
              <w:right w:w="15" w:type="dxa"/>
            </w:tcMar>
            <w:vAlign w:val="center"/>
          </w:tcPr>
          <w:p w14:paraId="08816FCF">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4</w:t>
            </w:r>
          </w:p>
        </w:tc>
        <w:tc>
          <w:tcPr>
            <w:tcW w:w="4093" w:type="pct"/>
            <w:gridSpan w:val="7"/>
            <w:vMerge w:val="continue"/>
            <w:noWrap/>
            <w:tcMar>
              <w:top w:w="15" w:type="dxa"/>
              <w:left w:w="15" w:type="dxa"/>
              <w:right w:w="15" w:type="dxa"/>
            </w:tcMar>
            <w:vAlign w:val="center"/>
          </w:tcPr>
          <w:p w14:paraId="6C0776B0">
            <w:pPr>
              <w:keepNext w:val="0"/>
              <w:keepLines w:val="0"/>
              <w:suppressLineNumbers w:val="0"/>
              <w:spacing w:before="0" w:beforeAutospacing="0" w:after="0" w:afterAutospacing="0"/>
              <w:ind w:left="0" w:right="0"/>
              <w:rPr>
                <w:rFonts w:hint="default"/>
                <w:color w:val="000000"/>
                <w:sz w:val="22"/>
              </w:rPr>
            </w:pPr>
          </w:p>
        </w:tc>
      </w:tr>
      <w:tr w14:paraId="7EF6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24" w:type="pct"/>
            <w:vMerge w:val="restart"/>
            <w:noWrap/>
            <w:tcMar>
              <w:top w:w="15" w:type="dxa"/>
              <w:left w:w="15" w:type="dxa"/>
              <w:right w:w="15" w:type="dxa"/>
            </w:tcMar>
            <w:vAlign w:val="center"/>
          </w:tcPr>
          <w:p w14:paraId="1ADDEF5A">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13~15</w:t>
            </w:r>
          </w:p>
        </w:tc>
        <w:tc>
          <w:tcPr>
            <w:tcW w:w="281" w:type="pct"/>
            <w:noWrap/>
            <w:tcMar>
              <w:top w:w="15" w:type="dxa"/>
              <w:left w:w="15" w:type="dxa"/>
              <w:right w:w="15" w:type="dxa"/>
            </w:tcMar>
            <w:vAlign w:val="center"/>
          </w:tcPr>
          <w:p w14:paraId="6F737C37">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1</w:t>
            </w:r>
          </w:p>
        </w:tc>
        <w:tc>
          <w:tcPr>
            <w:tcW w:w="305" w:type="pct"/>
            <w:noWrap/>
            <w:tcMar>
              <w:top w:w="15" w:type="dxa"/>
              <w:left w:w="15" w:type="dxa"/>
              <w:right w:w="15" w:type="dxa"/>
            </w:tcMar>
            <w:vAlign w:val="center"/>
          </w:tcPr>
          <w:p w14:paraId="44438C2F">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612.7</w:t>
            </w:r>
          </w:p>
        </w:tc>
        <w:tc>
          <w:tcPr>
            <w:tcW w:w="305" w:type="pct"/>
            <w:noWrap/>
            <w:tcMar>
              <w:top w:w="15" w:type="dxa"/>
              <w:left w:w="15" w:type="dxa"/>
              <w:right w:w="15" w:type="dxa"/>
            </w:tcMar>
            <w:vAlign w:val="center"/>
          </w:tcPr>
          <w:p w14:paraId="3C8B460C">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104.7</w:t>
            </w:r>
          </w:p>
        </w:tc>
        <w:tc>
          <w:tcPr>
            <w:tcW w:w="665" w:type="pct"/>
            <w:noWrap/>
            <w:tcMar>
              <w:top w:w="15" w:type="dxa"/>
              <w:left w:w="15" w:type="dxa"/>
              <w:right w:w="15" w:type="dxa"/>
            </w:tcMar>
            <w:vAlign w:val="center"/>
          </w:tcPr>
          <w:p w14:paraId="0B1BA21C">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14.594</w:t>
            </w:r>
          </w:p>
        </w:tc>
        <w:tc>
          <w:tcPr>
            <w:tcW w:w="701" w:type="pct"/>
            <w:noWrap/>
            <w:tcMar>
              <w:top w:w="15" w:type="dxa"/>
              <w:left w:w="15" w:type="dxa"/>
              <w:right w:w="15" w:type="dxa"/>
            </w:tcMar>
            <w:vAlign w:val="center"/>
          </w:tcPr>
          <w:p w14:paraId="6A6B7599">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13.72</w:t>
            </w:r>
          </w:p>
        </w:tc>
        <w:tc>
          <w:tcPr>
            <w:tcW w:w="701" w:type="pct"/>
            <w:noWrap/>
            <w:tcMar>
              <w:top w:w="15" w:type="dxa"/>
              <w:left w:w="15" w:type="dxa"/>
              <w:right w:w="15" w:type="dxa"/>
            </w:tcMar>
            <w:vAlign w:val="center"/>
          </w:tcPr>
          <w:p w14:paraId="7F7FEDD2">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13.75</w:t>
            </w:r>
          </w:p>
        </w:tc>
        <w:tc>
          <w:tcPr>
            <w:tcW w:w="913" w:type="pct"/>
            <w:noWrap/>
            <w:tcMar>
              <w:top w:w="15" w:type="dxa"/>
              <w:left w:w="15" w:type="dxa"/>
              <w:right w:w="15" w:type="dxa"/>
            </w:tcMar>
            <w:vAlign w:val="center"/>
          </w:tcPr>
          <w:p w14:paraId="02668D02">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0.7537</w:t>
            </w:r>
          </w:p>
        </w:tc>
        <w:tc>
          <w:tcPr>
            <w:tcW w:w="499" w:type="pct"/>
            <w:noWrap/>
            <w:tcMar>
              <w:top w:w="15" w:type="dxa"/>
              <w:left w:w="15" w:type="dxa"/>
              <w:right w:w="15" w:type="dxa"/>
            </w:tcMar>
            <w:vAlign w:val="center"/>
          </w:tcPr>
          <w:p w14:paraId="76418A85">
            <w:pPr>
              <w:keepNext w:val="0"/>
              <w:keepLines w:val="0"/>
              <w:suppressLineNumbers w:val="0"/>
              <w:spacing w:before="0" w:beforeAutospacing="0" w:after="0" w:afterAutospacing="0"/>
              <w:ind w:left="0" w:right="0"/>
              <w:rPr>
                <w:rFonts w:hint="default"/>
                <w:color w:val="000000"/>
                <w:sz w:val="22"/>
              </w:rPr>
            </w:pPr>
          </w:p>
        </w:tc>
      </w:tr>
      <w:tr w14:paraId="4793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24" w:type="pct"/>
            <w:vMerge w:val="continue"/>
            <w:noWrap w:val="0"/>
            <w:vAlign w:val="top"/>
          </w:tcPr>
          <w:p w14:paraId="23FD1163">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0" w:type="auto"/>
            <w:noWrap w:val="0"/>
            <w:vAlign w:val="center"/>
          </w:tcPr>
          <w:p w14:paraId="19D035DC">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2</w:t>
            </w:r>
          </w:p>
        </w:tc>
        <w:tc>
          <w:tcPr>
            <w:tcW w:w="0" w:type="auto"/>
            <w:noWrap w:val="0"/>
            <w:vAlign w:val="center"/>
          </w:tcPr>
          <w:p w14:paraId="5665F42B">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611.2</w:t>
            </w:r>
          </w:p>
        </w:tc>
        <w:tc>
          <w:tcPr>
            <w:tcW w:w="0" w:type="auto"/>
            <w:noWrap w:val="0"/>
            <w:vAlign w:val="center"/>
          </w:tcPr>
          <w:p w14:paraId="69BF5C58">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104.5</w:t>
            </w:r>
          </w:p>
        </w:tc>
        <w:tc>
          <w:tcPr>
            <w:tcW w:w="0" w:type="auto"/>
            <w:noWrap w:val="0"/>
            <w:vAlign w:val="center"/>
          </w:tcPr>
          <w:p w14:paraId="598F435A">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14.601</w:t>
            </w:r>
          </w:p>
        </w:tc>
        <w:tc>
          <w:tcPr>
            <w:tcW w:w="0" w:type="auto"/>
            <w:noWrap w:val="0"/>
            <w:vAlign w:val="center"/>
          </w:tcPr>
          <w:p w14:paraId="24B152CA">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13.85</w:t>
            </w:r>
          </w:p>
        </w:tc>
        <w:tc>
          <w:tcPr>
            <w:tcW w:w="0" w:type="auto"/>
            <w:noWrap w:val="0"/>
            <w:vAlign w:val="center"/>
          </w:tcPr>
          <w:p w14:paraId="1772F961">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13.68</w:t>
            </w:r>
          </w:p>
        </w:tc>
        <w:tc>
          <w:tcPr>
            <w:tcW w:w="0" w:type="auto"/>
            <w:noWrap w:val="0"/>
            <w:vAlign w:val="center"/>
          </w:tcPr>
          <w:p w14:paraId="3A4A5942">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0.7590</w:t>
            </w:r>
          </w:p>
        </w:tc>
        <w:tc>
          <w:tcPr>
            <w:tcW w:w="0" w:type="auto"/>
            <w:noWrap w:val="0"/>
            <w:vAlign w:val="center"/>
          </w:tcPr>
          <w:p w14:paraId="71062A58">
            <w:pPr>
              <w:keepNext w:val="0"/>
              <w:keepLines w:val="0"/>
              <w:suppressLineNumbers w:val="0"/>
              <w:spacing w:before="0" w:beforeAutospacing="0" w:after="0" w:afterAutospacing="0"/>
              <w:ind w:left="0" w:right="0"/>
              <w:rPr>
                <w:rFonts w:hint="default"/>
                <w:color w:val="000000"/>
                <w:sz w:val="22"/>
              </w:rPr>
            </w:pPr>
          </w:p>
        </w:tc>
      </w:tr>
      <w:tr w14:paraId="3815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24" w:type="pct"/>
            <w:vMerge w:val="continue"/>
            <w:noWrap w:val="0"/>
            <w:vAlign w:val="top"/>
          </w:tcPr>
          <w:p w14:paraId="344BA0C3">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0" w:type="auto"/>
            <w:noWrap w:val="0"/>
            <w:vAlign w:val="center"/>
          </w:tcPr>
          <w:p w14:paraId="2CD6F466">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3</w:t>
            </w:r>
          </w:p>
        </w:tc>
        <w:tc>
          <w:tcPr>
            <w:tcW w:w="0" w:type="auto"/>
            <w:noWrap w:val="0"/>
            <w:vAlign w:val="center"/>
          </w:tcPr>
          <w:p w14:paraId="26C122DC">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604.7</w:t>
            </w:r>
          </w:p>
        </w:tc>
        <w:tc>
          <w:tcPr>
            <w:tcW w:w="0" w:type="auto"/>
            <w:noWrap w:val="0"/>
            <w:vAlign w:val="center"/>
          </w:tcPr>
          <w:p w14:paraId="4D8D4184">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104.2</w:t>
            </w:r>
          </w:p>
        </w:tc>
        <w:tc>
          <w:tcPr>
            <w:tcW w:w="0" w:type="auto"/>
            <w:noWrap w:val="0"/>
            <w:vAlign w:val="center"/>
          </w:tcPr>
          <w:p w14:paraId="6B9D05ED">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14.699</w:t>
            </w:r>
          </w:p>
        </w:tc>
        <w:tc>
          <w:tcPr>
            <w:tcW w:w="0" w:type="auto"/>
            <w:noWrap w:val="0"/>
            <w:vAlign w:val="center"/>
          </w:tcPr>
          <w:p w14:paraId="7CF0606B">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13.77</w:t>
            </w:r>
          </w:p>
        </w:tc>
        <w:tc>
          <w:tcPr>
            <w:tcW w:w="0" w:type="auto"/>
            <w:noWrap w:val="0"/>
            <w:vAlign w:val="center"/>
          </w:tcPr>
          <w:p w14:paraId="22E1D8EB">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13.71</w:t>
            </w:r>
          </w:p>
        </w:tc>
        <w:tc>
          <w:tcPr>
            <w:tcW w:w="0" w:type="auto"/>
            <w:noWrap w:val="0"/>
            <w:vAlign w:val="center"/>
          </w:tcPr>
          <w:p w14:paraId="5984007E">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0.7536</w:t>
            </w:r>
          </w:p>
        </w:tc>
        <w:tc>
          <w:tcPr>
            <w:tcW w:w="0" w:type="auto"/>
            <w:noWrap w:val="0"/>
            <w:vAlign w:val="center"/>
          </w:tcPr>
          <w:p w14:paraId="3AD30A72">
            <w:pPr>
              <w:keepNext w:val="0"/>
              <w:keepLines w:val="0"/>
              <w:suppressLineNumbers w:val="0"/>
              <w:spacing w:before="0" w:beforeAutospacing="0" w:after="0" w:afterAutospacing="0"/>
              <w:ind w:left="0" w:right="0"/>
              <w:rPr>
                <w:rFonts w:hint="default"/>
                <w:color w:val="000000"/>
                <w:sz w:val="22"/>
              </w:rPr>
            </w:pPr>
          </w:p>
        </w:tc>
      </w:tr>
      <w:tr w14:paraId="1989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24" w:type="pct"/>
            <w:vMerge w:val="continue"/>
            <w:noWrap w:val="0"/>
            <w:vAlign w:val="top"/>
          </w:tcPr>
          <w:p w14:paraId="1347B9E5">
            <w:pPr>
              <w:keepNext w:val="0"/>
              <w:keepLines w:val="0"/>
              <w:widowControl/>
              <w:suppressLineNumbers w:val="0"/>
              <w:spacing w:before="0" w:beforeAutospacing="0" w:after="0" w:afterAutospacing="0"/>
              <w:ind w:left="0" w:right="0"/>
              <w:jc w:val="center"/>
              <w:textAlignment w:val="center"/>
              <w:rPr>
                <w:rFonts w:hint="default"/>
                <w:color w:val="000000"/>
                <w:szCs w:val="21"/>
              </w:rPr>
            </w:pPr>
          </w:p>
        </w:tc>
        <w:tc>
          <w:tcPr>
            <w:tcW w:w="0" w:type="auto"/>
            <w:noWrap w:val="0"/>
            <w:vAlign w:val="center"/>
          </w:tcPr>
          <w:p w14:paraId="7E004706">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szCs w:val="21"/>
              </w:rPr>
              <w:t>4</w:t>
            </w:r>
          </w:p>
        </w:tc>
        <w:tc>
          <w:tcPr>
            <w:tcW w:w="0" w:type="auto"/>
            <w:noWrap w:val="0"/>
            <w:vAlign w:val="center"/>
          </w:tcPr>
          <w:p w14:paraId="05FB97B2">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592.0</w:t>
            </w:r>
          </w:p>
        </w:tc>
        <w:tc>
          <w:tcPr>
            <w:tcW w:w="0" w:type="auto"/>
            <w:noWrap w:val="0"/>
            <w:vAlign w:val="center"/>
          </w:tcPr>
          <w:p w14:paraId="5EECC925">
            <w:pPr>
              <w:keepNext w:val="0"/>
              <w:keepLines w:val="0"/>
              <w:widowControl/>
              <w:suppressLineNumbers w:val="0"/>
              <w:spacing w:before="0" w:beforeAutospacing="0" w:after="0" w:afterAutospacing="0"/>
              <w:ind w:left="0" w:right="0"/>
              <w:jc w:val="center"/>
              <w:textAlignment w:val="center"/>
              <w:rPr>
                <w:rFonts w:hint="default"/>
                <w:color w:val="000000"/>
                <w:sz w:val="16"/>
                <w:szCs w:val="16"/>
              </w:rPr>
            </w:pPr>
            <w:r>
              <w:rPr>
                <w:rFonts w:hint="default"/>
                <w:color w:val="000000"/>
                <w:sz w:val="16"/>
                <w:szCs w:val="16"/>
              </w:rPr>
              <w:t>102.1</w:t>
            </w:r>
          </w:p>
        </w:tc>
        <w:tc>
          <w:tcPr>
            <w:tcW w:w="0" w:type="auto"/>
            <w:noWrap w:val="0"/>
            <w:vAlign w:val="center"/>
          </w:tcPr>
          <w:p w14:paraId="23CF7ABE">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14.710</w:t>
            </w:r>
          </w:p>
        </w:tc>
        <w:tc>
          <w:tcPr>
            <w:tcW w:w="0" w:type="auto"/>
            <w:noWrap w:val="0"/>
            <w:vAlign w:val="center"/>
          </w:tcPr>
          <w:p w14:paraId="315943EA">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13.96</w:t>
            </w:r>
          </w:p>
        </w:tc>
        <w:tc>
          <w:tcPr>
            <w:tcW w:w="0" w:type="auto"/>
            <w:noWrap w:val="0"/>
            <w:vAlign w:val="center"/>
          </w:tcPr>
          <w:p w14:paraId="4FE4548C">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13.92</w:t>
            </w:r>
          </w:p>
        </w:tc>
        <w:tc>
          <w:tcPr>
            <w:tcW w:w="0" w:type="auto"/>
            <w:noWrap w:val="0"/>
            <w:vAlign w:val="center"/>
          </w:tcPr>
          <w:p w14:paraId="4BC3DF71">
            <w:pPr>
              <w:keepNext w:val="0"/>
              <w:keepLines w:val="0"/>
              <w:suppressLineNumbers w:val="0"/>
              <w:spacing w:before="0" w:beforeAutospacing="0" w:after="0" w:afterAutospacing="0"/>
              <w:ind w:left="0" w:right="0"/>
              <w:jc w:val="center"/>
              <w:rPr>
                <w:rFonts w:hint="default"/>
                <w:color w:val="000000"/>
                <w:sz w:val="16"/>
                <w:szCs w:val="16"/>
              </w:rPr>
            </w:pPr>
            <w:r>
              <w:rPr>
                <w:rFonts w:hint="default"/>
                <w:color w:val="000000"/>
                <w:sz w:val="16"/>
                <w:szCs w:val="16"/>
              </w:rPr>
              <w:t>0.7589</w:t>
            </w:r>
          </w:p>
        </w:tc>
        <w:tc>
          <w:tcPr>
            <w:tcW w:w="0" w:type="auto"/>
            <w:noWrap w:val="0"/>
            <w:vAlign w:val="center"/>
          </w:tcPr>
          <w:p w14:paraId="28A25E74">
            <w:pPr>
              <w:keepNext w:val="0"/>
              <w:keepLines w:val="0"/>
              <w:suppressLineNumbers w:val="0"/>
              <w:spacing w:before="0" w:beforeAutospacing="0" w:after="0" w:afterAutospacing="0"/>
              <w:ind w:left="0" w:right="0"/>
              <w:rPr>
                <w:rFonts w:hint="default"/>
                <w:color w:val="000000"/>
                <w:sz w:val="22"/>
              </w:rPr>
            </w:pPr>
          </w:p>
        </w:tc>
      </w:tr>
    </w:tbl>
    <w:p w14:paraId="2CFBB3BA">
      <w:pPr>
        <w:spacing w:line="360" w:lineRule="auto"/>
        <w:ind w:firstLine="480" w:firstLineChars="200"/>
        <w:jc w:val="left"/>
        <w:rPr>
          <w:rFonts w:hint="eastAsia"/>
          <w:sz w:val="24"/>
          <w:szCs w:val="24"/>
        </w:rPr>
      </w:pPr>
      <w:r>
        <w:rPr>
          <w:sz w:val="24"/>
          <w:szCs w:val="24"/>
        </w:rPr>
        <w:t>指定第一次测定顺序。按反向顺序检测第二次（双份）。顺序中的浓度应尽可能随机排列</w:t>
      </w:r>
      <w:r>
        <w:rPr>
          <w:rFonts w:hint="eastAsia"/>
          <w:sz w:val="24"/>
          <w:szCs w:val="24"/>
        </w:rPr>
        <w:t>。第一次测定顺序为1~2-1、1~2-2......至13~15-4。</w:t>
      </w:r>
    </w:p>
    <w:p w14:paraId="3BF03101">
      <w:pPr>
        <w:spacing w:line="360" w:lineRule="auto"/>
        <w:ind w:firstLine="480" w:firstLineChars="200"/>
        <w:jc w:val="left"/>
        <w:rPr>
          <w:rFonts w:hint="eastAsia"/>
          <w:sz w:val="24"/>
          <w:szCs w:val="24"/>
        </w:rPr>
      </w:pPr>
      <w:r>
        <w:rPr>
          <w:rFonts w:hint="eastAsia"/>
          <w:sz w:val="24"/>
          <w:szCs w:val="24"/>
        </w:rPr>
        <w:t>折光检测与参比方法检测同时进行。检测数据见</w:t>
      </w:r>
      <w:r>
        <w:rPr>
          <w:rFonts w:hint="eastAsia"/>
          <w:sz w:val="24"/>
          <w:szCs w:val="24"/>
          <w:lang w:eastAsia="zh-CN"/>
        </w:rPr>
        <w:t>表</w:t>
      </w:r>
      <w:r>
        <w:rPr>
          <w:rFonts w:hint="eastAsia"/>
          <w:sz w:val="24"/>
          <w:szCs w:val="24"/>
          <w:lang w:val="en-US" w:eastAsia="zh-CN"/>
        </w:rPr>
        <w:t>十</w:t>
      </w:r>
      <w:r>
        <w:rPr>
          <w:rFonts w:hint="eastAsia"/>
          <w:sz w:val="24"/>
          <w:szCs w:val="24"/>
        </w:rPr>
        <w:t>。</w:t>
      </w:r>
    </w:p>
    <w:p w14:paraId="416E16FF">
      <w:pPr>
        <w:autoSpaceDE w:val="0"/>
        <w:autoSpaceDN w:val="0"/>
        <w:adjustRightInd w:val="0"/>
        <w:spacing w:line="240" w:lineRule="auto"/>
        <w:jc w:val="center"/>
        <w:rPr>
          <w:rFonts w:hint="eastAsia"/>
          <w:sz w:val="24"/>
          <w:szCs w:val="24"/>
          <w:lang w:val="en-US" w:eastAsia="zh-CN"/>
        </w:rPr>
      </w:pPr>
      <w:r>
        <w:rPr>
          <w:rFonts w:hint="eastAsia"/>
          <w:sz w:val="24"/>
          <w:szCs w:val="24"/>
          <w:lang w:val="en-US" w:eastAsia="zh-CN"/>
        </w:rPr>
        <w:t>表十 折光法及参比法检测结果汇总</w:t>
      </w:r>
    </w:p>
    <w:tbl>
      <w:tblPr>
        <w:tblStyle w:val="15"/>
        <w:tblpPr w:leftFromText="180" w:rightFromText="180" w:vertAnchor="text" w:horzAnchor="page" w:tblpXSpec="center" w:tblpY="321"/>
        <w:tblOverlap w:val="never"/>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9"/>
        <w:gridCol w:w="927"/>
        <w:gridCol w:w="1008"/>
        <w:gridCol w:w="1008"/>
        <w:gridCol w:w="1051"/>
        <w:gridCol w:w="1051"/>
        <w:gridCol w:w="1051"/>
        <w:gridCol w:w="1051"/>
      </w:tblGrid>
      <w:tr w14:paraId="2AC1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189" w:type="dxa"/>
            <w:vMerge w:val="restart"/>
            <w:noWrap/>
            <w:tcMar>
              <w:top w:w="15" w:type="dxa"/>
              <w:left w:w="15" w:type="dxa"/>
              <w:right w:w="15" w:type="dxa"/>
            </w:tcMar>
            <w:vAlign w:val="center"/>
          </w:tcPr>
          <w:p w14:paraId="2975C39A">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序号</w:t>
            </w:r>
          </w:p>
        </w:tc>
        <w:tc>
          <w:tcPr>
            <w:tcW w:w="927" w:type="dxa"/>
            <w:vMerge w:val="restart"/>
            <w:noWrap/>
            <w:tcMar>
              <w:top w:w="15" w:type="dxa"/>
              <w:left w:w="15" w:type="dxa"/>
              <w:right w:w="15" w:type="dxa"/>
            </w:tcMar>
            <w:vAlign w:val="center"/>
          </w:tcPr>
          <w:p w14:paraId="14EFDA21">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样品号j</w:t>
            </w:r>
          </w:p>
        </w:tc>
        <w:tc>
          <w:tcPr>
            <w:tcW w:w="3067" w:type="dxa"/>
            <w:gridSpan w:val="3"/>
            <w:noWrap/>
            <w:tcMar>
              <w:top w:w="15" w:type="dxa"/>
              <w:left w:w="15" w:type="dxa"/>
              <w:right w:w="15" w:type="dxa"/>
            </w:tcMar>
            <w:vAlign w:val="center"/>
          </w:tcPr>
          <w:p w14:paraId="48483281">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参比方法（</w:t>
            </w:r>
            <w:r>
              <w:rPr>
                <w:rFonts w:hint="eastAsia"/>
                <w:color w:val="000000"/>
                <w:kern w:val="0"/>
                <w:sz w:val="22"/>
                <w:lang w:bidi="ar"/>
              </w:rPr>
              <w:t xml:space="preserve">SH/T </w:t>
            </w:r>
            <w:r>
              <w:rPr>
                <w:rFonts w:hint="default"/>
                <w:color w:val="000000"/>
                <w:kern w:val="0"/>
                <w:sz w:val="22"/>
                <w:lang w:bidi="ar"/>
              </w:rPr>
              <w:t>0663）</w:t>
            </w:r>
          </w:p>
        </w:tc>
        <w:tc>
          <w:tcPr>
            <w:tcW w:w="3153" w:type="dxa"/>
            <w:gridSpan w:val="3"/>
            <w:noWrap/>
            <w:tcMar>
              <w:top w:w="15" w:type="dxa"/>
              <w:left w:w="15" w:type="dxa"/>
              <w:right w:w="15" w:type="dxa"/>
            </w:tcMar>
            <w:vAlign w:val="center"/>
          </w:tcPr>
          <w:p w14:paraId="42B78E81">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待评方法（折光法）</w:t>
            </w:r>
          </w:p>
        </w:tc>
      </w:tr>
      <w:tr w14:paraId="147F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189" w:type="dxa"/>
            <w:vMerge w:val="continue"/>
            <w:noWrap/>
            <w:tcMar>
              <w:top w:w="15" w:type="dxa"/>
              <w:left w:w="15" w:type="dxa"/>
              <w:right w:w="15" w:type="dxa"/>
            </w:tcMar>
            <w:vAlign w:val="center"/>
          </w:tcPr>
          <w:p w14:paraId="3444BA23">
            <w:pPr>
              <w:keepNext w:val="0"/>
              <w:keepLines w:val="0"/>
              <w:widowControl/>
              <w:suppressLineNumbers w:val="0"/>
              <w:spacing w:before="0" w:beforeAutospacing="0" w:after="0" w:afterAutospacing="0"/>
              <w:ind w:left="0" w:right="0"/>
              <w:jc w:val="center"/>
              <w:textAlignment w:val="center"/>
              <w:rPr>
                <w:rFonts w:hint="default"/>
                <w:color w:val="000000"/>
                <w:sz w:val="22"/>
              </w:rPr>
            </w:pPr>
          </w:p>
        </w:tc>
        <w:tc>
          <w:tcPr>
            <w:tcW w:w="927" w:type="dxa"/>
            <w:vMerge w:val="continue"/>
            <w:noWrap/>
            <w:tcMar>
              <w:top w:w="15" w:type="dxa"/>
              <w:left w:w="15" w:type="dxa"/>
              <w:right w:w="15" w:type="dxa"/>
            </w:tcMar>
            <w:vAlign w:val="center"/>
          </w:tcPr>
          <w:p w14:paraId="5AE51352">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p>
        </w:tc>
        <w:tc>
          <w:tcPr>
            <w:tcW w:w="1008" w:type="dxa"/>
            <w:noWrap/>
            <w:tcMar>
              <w:top w:w="15" w:type="dxa"/>
              <w:left w:w="15" w:type="dxa"/>
              <w:right w:w="15" w:type="dxa"/>
            </w:tcMar>
            <w:vAlign w:val="center"/>
          </w:tcPr>
          <w:p w14:paraId="4455D94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X</w:t>
            </w:r>
            <w:r>
              <w:rPr>
                <w:rFonts w:hint="default"/>
                <w:color w:val="000000"/>
                <w:kern w:val="0"/>
                <w:sz w:val="22"/>
                <w:vertAlign w:val="subscript"/>
                <w:lang w:bidi="ar"/>
              </w:rPr>
              <w:t>i1</w:t>
            </w:r>
          </w:p>
        </w:tc>
        <w:tc>
          <w:tcPr>
            <w:tcW w:w="1008" w:type="dxa"/>
            <w:noWrap/>
            <w:tcMar>
              <w:top w:w="15" w:type="dxa"/>
              <w:left w:w="15" w:type="dxa"/>
              <w:right w:w="15" w:type="dxa"/>
            </w:tcMar>
            <w:vAlign w:val="center"/>
          </w:tcPr>
          <w:p w14:paraId="210B4EEC">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X</w:t>
            </w:r>
            <w:r>
              <w:rPr>
                <w:rFonts w:hint="default"/>
                <w:color w:val="000000"/>
                <w:kern w:val="0"/>
                <w:sz w:val="22"/>
                <w:vertAlign w:val="subscript"/>
                <w:lang w:bidi="ar"/>
              </w:rPr>
              <w:t>i2</w:t>
            </w:r>
          </w:p>
        </w:tc>
        <w:tc>
          <w:tcPr>
            <w:tcW w:w="1051" w:type="dxa"/>
            <w:noWrap/>
            <w:tcMar>
              <w:top w:w="15" w:type="dxa"/>
              <w:left w:w="15" w:type="dxa"/>
              <w:right w:w="15" w:type="dxa"/>
            </w:tcMar>
            <w:vAlign w:val="center"/>
          </w:tcPr>
          <w:p w14:paraId="62540E73">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均值</w:t>
            </w:r>
            <w:r>
              <w:rPr>
                <w:rStyle w:val="19"/>
                <w:rFonts w:hint="default" w:ascii="Times New Roman" w:hAnsi="Times New Roman" w:cs="Times New Roman"/>
                <w:sz w:val="22"/>
                <w:szCs w:val="22"/>
                <w:lang w:bidi="ar"/>
              </w:rPr>
              <w:t>`</w:t>
            </w:r>
            <w:r>
              <w:rPr>
                <w:rStyle w:val="20"/>
                <w:rFonts w:hint="default" w:ascii="Times New Roman" w:hAnsi="Times New Roman" w:cs="Times New Roman"/>
                <w:sz w:val="22"/>
                <w:szCs w:val="22"/>
                <w:lang w:bidi="ar"/>
              </w:rPr>
              <w:t>X</w:t>
            </w:r>
            <w:r>
              <w:rPr>
                <w:rStyle w:val="20"/>
                <w:rFonts w:hint="default" w:ascii="Times New Roman" w:hAnsi="Times New Roman" w:cs="Times New Roman"/>
                <w:sz w:val="22"/>
                <w:szCs w:val="22"/>
                <w:vertAlign w:val="subscript"/>
                <w:lang w:bidi="ar"/>
              </w:rPr>
              <w:t>i</w:t>
            </w:r>
          </w:p>
        </w:tc>
        <w:tc>
          <w:tcPr>
            <w:tcW w:w="1051" w:type="dxa"/>
            <w:noWrap/>
            <w:tcMar>
              <w:top w:w="15" w:type="dxa"/>
              <w:left w:w="15" w:type="dxa"/>
              <w:right w:w="15" w:type="dxa"/>
            </w:tcMar>
            <w:vAlign w:val="center"/>
          </w:tcPr>
          <w:p w14:paraId="52547C59">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Y</w:t>
            </w:r>
            <w:r>
              <w:rPr>
                <w:rFonts w:hint="default"/>
                <w:color w:val="000000"/>
                <w:kern w:val="0"/>
                <w:sz w:val="22"/>
                <w:vertAlign w:val="subscript"/>
                <w:lang w:bidi="ar"/>
              </w:rPr>
              <w:t>i1</w:t>
            </w:r>
          </w:p>
        </w:tc>
        <w:tc>
          <w:tcPr>
            <w:tcW w:w="1051" w:type="dxa"/>
            <w:noWrap/>
            <w:tcMar>
              <w:top w:w="15" w:type="dxa"/>
              <w:left w:w="15" w:type="dxa"/>
              <w:right w:w="15" w:type="dxa"/>
            </w:tcMar>
            <w:vAlign w:val="center"/>
          </w:tcPr>
          <w:p w14:paraId="0B753702">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Y</w:t>
            </w:r>
            <w:r>
              <w:rPr>
                <w:rFonts w:hint="default"/>
                <w:color w:val="000000"/>
                <w:kern w:val="0"/>
                <w:sz w:val="22"/>
                <w:vertAlign w:val="subscript"/>
                <w:lang w:bidi="ar"/>
              </w:rPr>
              <w:t>i2</w:t>
            </w:r>
          </w:p>
        </w:tc>
        <w:tc>
          <w:tcPr>
            <w:tcW w:w="1051" w:type="dxa"/>
            <w:noWrap/>
            <w:tcMar>
              <w:top w:w="15" w:type="dxa"/>
              <w:left w:w="15" w:type="dxa"/>
              <w:right w:w="15" w:type="dxa"/>
            </w:tcMar>
            <w:vAlign w:val="center"/>
          </w:tcPr>
          <w:p w14:paraId="109DF8CA">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均值`Y</w:t>
            </w:r>
            <w:r>
              <w:rPr>
                <w:rFonts w:hint="default"/>
                <w:color w:val="000000"/>
                <w:kern w:val="0"/>
                <w:sz w:val="22"/>
                <w:vertAlign w:val="subscript"/>
                <w:lang w:bidi="ar"/>
              </w:rPr>
              <w:t>i</w:t>
            </w:r>
          </w:p>
        </w:tc>
      </w:tr>
      <w:tr w14:paraId="01AD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7D7C8508">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1~2-1</w:t>
            </w:r>
          </w:p>
        </w:tc>
        <w:tc>
          <w:tcPr>
            <w:tcW w:w="927" w:type="dxa"/>
            <w:noWrap/>
            <w:tcMar>
              <w:top w:w="15" w:type="dxa"/>
              <w:left w:w="15" w:type="dxa"/>
              <w:right w:w="15" w:type="dxa"/>
            </w:tcMar>
            <w:vAlign w:val="center"/>
          </w:tcPr>
          <w:p w14:paraId="49C2DCB0">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w:t>
            </w:r>
          </w:p>
        </w:tc>
        <w:tc>
          <w:tcPr>
            <w:tcW w:w="1008" w:type="dxa"/>
            <w:noWrap/>
            <w:tcMar>
              <w:top w:w="15" w:type="dxa"/>
              <w:left w:w="15" w:type="dxa"/>
              <w:right w:w="15" w:type="dxa"/>
            </w:tcMar>
            <w:vAlign w:val="center"/>
          </w:tcPr>
          <w:p w14:paraId="58E68E33">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1.242</w:t>
            </w:r>
          </w:p>
        </w:tc>
        <w:tc>
          <w:tcPr>
            <w:tcW w:w="1008" w:type="dxa"/>
            <w:noWrap/>
            <w:tcMar>
              <w:top w:w="15" w:type="dxa"/>
              <w:left w:w="15" w:type="dxa"/>
              <w:right w:w="15" w:type="dxa"/>
            </w:tcMar>
            <w:vAlign w:val="center"/>
          </w:tcPr>
          <w:p w14:paraId="5CCA0FC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1.251</w:t>
            </w:r>
          </w:p>
        </w:tc>
        <w:tc>
          <w:tcPr>
            <w:tcW w:w="1051" w:type="dxa"/>
            <w:noWrap/>
            <w:tcMar>
              <w:top w:w="15" w:type="dxa"/>
              <w:left w:w="15" w:type="dxa"/>
              <w:right w:w="15" w:type="dxa"/>
            </w:tcMar>
            <w:vAlign w:val="center"/>
          </w:tcPr>
          <w:p w14:paraId="6BC1E0C5">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1.247</w:t>
            </w:r>
          </w:p>
        </w:tc>
        <w:tc>
          <w:tcPr>
            <w:tcW w:w="1051" w:type="dxa"/>
            <w:noWrap/>
            <w:tcMar>
              <w:top w:w="15" w:type="dxa"/>
              <w:left w:w="15" w:type="dxa"/>
              <w:right w:w="15" w:type="dxa"/>
            </w:tcMar>
            <w:vAlign w:val="center"/>
          </w:tcPr>
          <w:p w14:paraId="5DFF457E">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1.300</w:t>
            </w:r>
          </w:p>
        </w:tc>
        <w:tc>
          <w:tcPr>
            <w:tcW w:w="1051" w:type="dxa"/>
            <w:noWrap/>
            <w:tcMar>
              <w:top w:w="15" w:type="dxa"/>
              <w:left w:w="15" w:type="dxa"/>
              <w:right w:w="15" w:type="dxa"/>
            </w:tcMar>
            <w:vAlign w:val="center"/>
          </w:tcPr>
          <w:p w14:paraId="79B5DD4C">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1.300</w:t>
            </w:r>
          </w:p>
        </w:tc>
        <w:tc>
          <w:tcPr>
            <w:tcW w:w="1051" w:type="dxa"/>
            <w:noWrap/>
            <w:tcMar>
              <w:top w:w="15" w:type="dxa"/>
              <w:left w:w="15" w:type="dxa"/>
              <w:right w:w="15" w:type="dxa"/>
            </w:tcMar>
            <w:vAlign w:val="center"/>
          </w:tcPr>
          <w:p w14:paraId="4ABA00D7">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1.300</w:t>
            </w:r>
          </w:p>
        </w:tc>
      </w:tr>
      <w:tr w14:paraId="0AD4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63F72454">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1~2-2</w:t>
            </w:r>
          </w:p>
        </w:tc>
        <w:tc>
          <w:tcPr>
            <w:tcW w:w="927" w:type="dxa"/>
            <w:noWrap/>
            <w:tcMar>
              <w:top w:w="15" w:type="dxa"/>
              <w:left w:w="15" w:type="dxa"/>
              <w:right w:w="15" w:type="dxa"/>
            </w:tcMar>
            <w:vAlign w:val="center"/>
          </w:tcPr>
          <w:p w14:paraId="774BCBA7">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2</w:t>
            </w:r>
          </w:p>
        </w:tc>
        <w:tc>
          <w:tcPr>
            <w:tcW w:w="1008" w:type="dxa"/>
            <w:noWrap/>
            <w:tcMar>
              <w:top w:w="15" w:type="dxa"/>
              <w:left w:w="15" w:type="dxa"/>
              <w:right w:w="15" w:type="dxa"/>
            </w:tcMar>
            <w:vAlign w:val="center"/>
          </w:tcPr>
          <w:p w14:paraId="018D8CCD">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1.293</w:t>
            </w:r>
          </w:p>
        </w:tc>
        <w:tc>
          <w:tcPr>
            <w:tcW w:w="1008" w:type="dxa"/>
            <w:noWrap/>
            <w:tcMar>
              <w:top w:w="15" w:type="dxa"/>
              <w:left w:w="15" w:type="dxa"/>
              <w:right w:w="15" w:type="dxa"/>
            </w:tcMar>
            <w:vAlign w:val="center"/>
          </w:tcPr>
          <w:p w14:paraId="30C28CD9">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1.263</w:t>
            </w:r>
          </w:p>
        </w:tc>
        <w:tc>
          <w:tcPr>
            <w:tcW w:w="1051" w:type="dxa"/>
            <w:noWrap/>
            <w:tcMar>
              <w:top w:w="15" w:type="dxa"/>
              <w:left w:w="15" w:type="dxa"/>
              <w:right w:w="15" w:type="dxa"/>
            </w:tcMar>
            <w:vAlign w:val="center"/>
          </w:tcPr>
          <w:p w14:paraId="32D5CD83">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1.278</w:t>
            </w:r>
          </w:p>
        </w:tc>
        <w:tc>
          <w:tcPr>
            <w:tcW w:w="1051" w:type="dxa"/>
            <w:noWrap/>
            <w:tcMar>
              <w:top w:w="15" w:type="dxa"/>
              <w:left w:w="15" w:type="dxa"/>
              <w:right w:w="15" w:type="dxa"/>
            </w:tcMar>
            <w:vAlign w:val="center"/>
          </w:tcPr>
          <w:p w14:paraId="63E2FFAB">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1.560</w:t>
            </w:r>
          </w:p>
        </w:tc>
        <w:tc>
          <w:tcPr>
            <w:tcW w:w="1051" w:type="dxa"/>
            <w:noWrap/>
            <w:tcMar>
              <w:top w:w="15" w:type="dxa"/>
              <w:left w:w="15" w:type="dxa"/>
              <w:right w:w="15" w:type="dxa"/>
            </w:tcMar>
            <w:vAlign w:val="center"/>
          </w:tcPr>
          <w:p w14:paraId="21FADB4F">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1.510</w:t>
            </w:r>
          </w:p>
        </w:tc>
        <w:tc>
          <w:tcPr>
            <w:tcW w:w="1051" w:type="dxa"/>
            <w:noWrap/>
            <w:tcMar>
              <w:top w:w="15" w:type="dxa"/>
              <w:left w:w="15" w:type="dxa"/>
              <w:right w:w="15" w:type="dxa"/>
            </w:tcMar>
            <w:vAlign w:val="center"/>
          </w:tcPr>
          <w:p w14:paraId="7BC395E8">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1.535</w:t>
            </w:r>
          </w:p>
        </w:tc>
      </w:tr>
      <w:tr w14:paraId="459E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1C6F2642">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1~2-3</w:t>
            </w:r>
          </w:p>
        </w:tc>
        <w:tc>
          <w:tcPr>
            <w:tcW w:w="927" w:type="dxa"/>
            <w:noWrap/>
            <w:tcMar>
              <w:top w:w="15" w:type="dxa"/>
              <w:left w:w="15" w:type="dxa"/>
              <w:right w:w="15" w:type="dxa"/>
            </w:tcMar>
            <w:vAlign w:val="center"/>
          </w:tcPr>
          <w:p w14:paraId="19F4C73B">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3</w:t>
            </w:r>
          </w:p>
        </w:tc>
        <w:tc>
          <w:tcPr>
            <w:tcW w:w="1008" w:type="dxa"/>
            <w:noWrap/>
            <w:tcMar>
              <w:top w:w="15" w:type="dxa"/>
              <w:left w:w="15" w:type="dxa"/>
              <w:right w:w="15" w:type="dxa"/>
            </w:tcMar>
            <w:vAlign w:val="center"/>
          </w:tcPr>
          <w:p w14:paraId="19C34A8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1.336</w:t>
            </w:r>
          </w:p>
        </w:tc>
        <w:tc>
          <w:tcPr>
            <w:tcW w:w="1008" w:type="dxa"/>
            <w:noWrap/>
            <w:tcMar>
              <w:top w:w="15" w:type="dxa"/>
              <w:left w:w="15" w:type="dxa"/>
              <w:right w:w="15" w:type="dxa"/>
            </w:tcMar>
            <w:vAlign w:val="center"/>
          </w:tcPr>
          <w:p w14:paraId="3505717C">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1.355</w:t>
            </w:r>
          </w:p>
        </w:tc>
        <w:tc>
          <w:tcPr>
            <w:tcW w:w="1051" w:type="dxa"/>
            <w:noWrap/>
            <w:tcMar>
              <w:top w:w="15" w:type="dxa"/>
              <w:left w:w="15" w:type="dxa"/>
              <w:right w:w="15" w:type="dxa"/>
            </w:tcMar>
            <w:vAlign w:val="center"/>
          </w:tcPr>
          <w:p w14:paraId="4DD2FEFF">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1.345</w:t>
            </w:r>
          </w:p>
        </w:tc>
        <w:tc>
          <w:tcPr>
            <w:tcW w:w="1051" w:type="dxa"/>
            <w:noWrap/>
            <w:tcMar>
              <w:top w:w="15" w:type="dxa"/>
              <w:left w:w="15" w:type="dxa"/>
              <w:right w:w="15" w:type="dxa"/>
            </w:tcMar>
            <w:vAlign w:val="center"/>
          </w:tcPr>
          <w:p w14:paraId="0127AA6F">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1.430</w:t>
            </w:r>
          </w:p>
        </w:tc>
        <w:tc>
          <w:tcPr>
            <w:tcW w:w="1051" w:type="dxa"/>
            <w:noWrap/>
            <w:tcMar>
              <w:top w:w="15" w:type="dxa"/>
              <w:left w:w="15" w:type="dxa"/>
              <w:right w:w="15" w:type="dxa"/>
            </w:tcMar>
            <w:vAlign w:val="center"/>
          </w:tcPr>
          <w:p w14:paraId="66F32609">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1.510</w:t>
            </w:r>
          </w:p>
        </w:tc>
        <w:tc>
          <w:tcPr>
            <w:tcW w:w="1051" w:type="dxa"/>
            <w:noWrap/>
            <w:tcMar>
              <w:top w:w="15" w:type="dxa"/>
              <w:left w:w="15" w:type="dxa"/>
              <w:right w:w="15" w:type="dxa"/>
            </w:tcMar>
            <w:vAlign w:val="center"/>
          </w:tcPr>
          <w:p w14:paraId="7E8B0058">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1.470</w:t>
            </w:r>
          </w:p>
        </w:tc>
      </w:tr>
      <w:tr w14:paraId="22E5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0AD1FA1E">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1~2-4</w:t>
            </w:r>
          </w:p>
        </w:tc>
        <w:tc>
          <w:tcPr>
            <w:tcW w:w="927" w:type="dxa"/>
            <w:noWrap/>
            <w:tcMar>
              <w:top w:w="15" w:type="dxa"/>
              <w:left w:w="15" w:type="dxa"/>
              <w:right w:w="15" w:type="dxa"/>
            </w:tcMar>
            <w:vAlign w:val="center"/>
          </w:tcPr>
          <w:p w14:paraId="58E8F353">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4</w:t>
            </w:r>
          </w:p>
        </w:tc>
        <w:tc>
          <w:tcPr>
            <w:tcW w:w="1008" w:type="dxa"/>
            <w:noWrap/>
            <w:tcMar>
              <w:top w:w="15" w:type="dxa"/>
              <w:left w:w="15" w:type="dxa"/>
              <w:right w:w="15" w:type="dxa"/>
            </w:tcMar>
            <w:vAlign w:val="center"/>
          </w:tcPr>
          <w:p w14:paraId="4EC76BC1">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1.354</w:t>
            </w:r>
          </w:p>
        </w:tc>
        <w:tc>
          <w:tcPr>
            <w:tcW w:w="1008" w:type="dxa"/>
            <w:noWrap/>
            <w:tcMar>
              <w:top w:w="15" w:type="dxa"/>
              <w:left w:w="15" w:type="dxa"/>
              <w:right w:w="15" w:type="dxa"/>
            </w:tcMar>
            <w:vAlign w:val="center"/>
          </w:tcPr>
          <w:p w14:paraId="5DEFC288">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1.368</w:t>
            </w:r>
          </w:p>
        </w:tc>
        <w:tc>
          <w:tcPr>
            <w:tcW w:w="1051" w:type="dxa"/>
            <w:noWrap/>
            <w:tcMar>
              <w:top w:w="15" w:type="dxa"/>
              <w:left w:w="15" w:type="dxa"/>
              <w:right w:w="15" w:type="dxa"/>
            </w:tcMar>
            <w:vAlign w:val="center"/>
          </w:tcPr>
          <w:p w14:paraId="68545E5C">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1.361</w:t>
            </w:r>
          </w:p>
        </w:tc>
        <w:tc>
          <w:tcPr>
            <w:tcW w:w="1051" w:type="dxa"/>
            <w:noWrap/>
            <w:tcMar>
              <w:top w:w="15" w:type="dxa"/>
              <w:left w:w="15" w:type="dxa"/>
              <w:right w:w="15" w:type="dxa"/>
            </w:tcMar>
            <w:vAlign w:val="center"/>
          </w:tcPr>
          <w:p w14:paraId="48198164">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1.530</w:t>
            </w:r>
          </w:p>
        </w:tc>
        <w:tc>
          <w:tcPr>
            <w:tcW w:w="1051" w:type="dxa"/>
            <w:noWrap/>
            <w:tcMar>
              <w:top w:w="15" w:type="dxa"/>
              <w:left w:w="15" w:type="dxa"/>
              <w:right w:w="15" w:type="dxa"/>
            </w:tcMar>
            <w:vAlign w:val="center"/>
          </w:tcPr>
          <w:p w14:paraId="55A95256">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1.530</w:t>
            </w:r>
          </w:p>
        </w:tc>
        <w:tc>
          <w:tcPr>
            <w:tcW w:w="1051" w:type="dxa"/>
            <w:noWrap/>
            <w:tcMar>
              <w:top w:w="15" w:type="dxa"/>
              <w:left w:w="15" w:type="dxa"/>
              <w:right w:w="15" w:type="dxa"/>
            </w:tcMar>
            <w:vAlign w:val="center"/>
          </w:tcPr>
          <w:p w14:paraId="04293E18">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1.530</w:t>
            </w:r>
          </w:p>
        </w:tc>
      </w:tr>
      <w:tr w14:paraId="54C4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01945756">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3~4-1</w:t>
            </w:r>
          </w:p>
        </w:tc>
        <w:tc>
          <w:tcPr>
            <w:tcW w:w="927" w:type="dxa"/>
            <w:noWrap/>
            <w:tcMar>
              <w:top w:w="15" w:type="dxa"/>
              <w:left w:w="15" w:type="dxa"/>
              <w:right w:w="15" w:type="dxa"/>
            </w:tcMar>
            <w:vAlign w:val="center"/>
          </w:tcPr>
          <w:p w14:paraId="1ED4360D">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5</w:t>
            </w:r>
          </w:p>
        </w:tc>
        <w:tc>
          <w:tcPr>
            <w:tcW w:w="1008" w:type="dxa"/>
            <w:noWrap/>
            <w:tcMar>
              <w:top w:w="15" w:type="dxa"/>
              <w:left w:w="15" w:type="dxa"/>
              <w:right w:w="15" w:type="dxa"/>
            </w:tcMar>
            <w:vAlign w:val="center"/>
          </w:tcPr>
          <w:p w14:paraId="352CD863">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3.139</w:t>
            </w:r>
          </w:p>
        </w:tc>
        <w:tc>
          <w:tcPr>
            <w:tcW w:w="1008" w:type="dxa"/>
            <w:noWrap/>
            <w:tcMar>
              <w:top w:w="15" w:type="dxa"/>
              <w:left w:w="15" w:type="dxa"/>
              <w:right w:w="15" w:type="dxa"/>
            </w:tcMar>
            <w:vAlign w:val="center"/>
          </w:tcPr>
          <w:p w14:paraId="070607A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3.140</w:t>
            </w:r>
          </w:p>
        </w:tc>
        <w:tc>
          <w:tcPr>
            <w:tcW w:w="1051" w:type="dxa"/>
            <w:noWrap/>
            <w:tcMar>
              <w:top w:w="15" w:type="dxa"/>
              <w:left w:w="15" w:type="dxa"/>
              <w:right w:w="15" w:type="dxa"/>
            </w:tcMar>
            <w:vAlign w:val="center"/>
          </w:tcPr>
          <w:p w14:paraId="276756F5">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3.139</w:t>
            </w:r>
          </w:p>
        </w:tc>
        <w:tc>
          <w:tcPr>
            <w:tcW w:w="1051" w:type="dxa"/>
            <w:noWrap/>
            <w:tcMar>
              <w:top w:w="15" w:type="dxa"/>
              <w:left w:w="15" w:type="dxa"/>
              <w:right w:w="15" w:type="dxa"/>
            </w:tcMar>
            <w:vAlign w:val="center"/>
          </w:tcPr>
          <w:p w14:paraId="57BDE0FB">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3.030</w:t>
            </w:r>
          </w:p>
        </w:tc>
        <w:tc>
          <w:tcPr>
            <w:tcW w:w="1051" w:type="dxa"/>
            <w:noWrap/>
            <w:tcMar>
              <w:top w:w="15" w:type="dxa"/>
              <w:left w:w="15" w:type="dxa"/>
              <w:right w:w="15" w:type="dxa"/>
            </w:tcMar>
            <w:vAlign w:val="center"/>
          </w:tcPr>
          <w:p w14:paraId="1FAC933B">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3.080</w:t>
            </w:r>
          </w:p>
        </w:tc>
        <w:tc>
          <w:tcPr>
            <w:tcW w:w="1051" w:type="dxa"/>
            <w:noWrap/>
            <w:tcMar>
              <w:top w:w="15" w:type="dxa"/>
              <w:left w:w="15" w:type="dxa"/>
              <w:right w:w="15" w:type="dxa"/>
            </w:tcMar>
            <w:vAlign w:val="center"/>
          </w:tcPr>
          <w:p w14:paraId="65E8FAE6">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3.055</w:t>
            </w:r>
          </w:p>
        </w:tc>
      </w:tr>
      <w:tr w14:paraId="09E6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4EC7401A">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3~4-2</w:t>
            </w:r>
          </w:p>
        </w:tc>
        <w:tc>
          <w:tcPr>
            <w:tcW w:w="927" w:type="dxa"/>
            <w:noWrap/>
            <w:tcMar>
              <w:top w:w="15" w:type="dxa"/>
              <w:left w:w="15" w:type="dxa"/>
              <w:right w:w="15" w:type="dxa"/>
            </w:tcMar>
            <w:vAlign w:val="center"/>
          </w:tcPr>
          <w:p w14:paraId="535E1085">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6</w:t>
            </w:r>
          </w:p>
        </w:tc>
        <w:tc>
          <w:tcPr>
            <w:tcW w:w="1008" w:type="dxa"/>
            <w:noWrap/>
            <w:tcMar>
              <w:top w:w="15" w:type="dxa"/>
              <w:left w:w="15" w:type="dxa"/>
              <w:right w:w="15" w:type="dxa"/>
            </w:tcMar>
            <w:vAlign w:val="center"/>
          </w:tcPr>
          <w:p w14:paraId="1F646A4F">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3.219</w:t>
            </w:r>
          </w:p>
        </w:tc>
        <w:tc>
          <w:tcPr>
            <w:tcW w:w="1008" w:type="dxa"/>
            <w:noWrap/>
            <w:tcMar>
              <w:top w:w="15" w:type="dxa"/>
              <w:left w:w="15" w:type="dxa"/>
              <w:right w:w="15" w:type="dxa"/>
            </w:tcMar>
            <w:vAlign w:val="center"/>
          </w:tcPr>
          <w:p w14:paraId="0B46357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3.170</w:t>
            </w:r>
          </w:p>
        </w:tc>
        <w:tc>
          <w:tcPr>
            <w:tcW w:w="1051" w:type="dxa"/>
            <w:noWrap/>
            <w:tcMar>
              <w:top w:w="15" w:type="dxa"/>
              <w:left w:w="15" w:type="dxa"/>
              <w:right w:w="15" w:type="dxa"/>
            </w:tcMar>
            <w:vAlign w:val="center"/>
          </w:tcPr>
          <w:p w14:paraId="56DB22E1">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3.194</w:t>
            </w:r>
          </w:p>
        </w:tc>
        <w:tc>
          <w:tcPr>
            <w:tcW w:w="1051" w:type="dxa"/>
            <w:noWrap/>
            <w:tcMar>
              <w:top w:w="15" w:type="dxa"/>
              <w:left w:w="15" w:type="dxa"/>
              <w:right w:w="15" w:type="dxa"/>
            </w:tcMar>
            <w:vAlign w:val="center"/>
          </w:tcPr>
          <w:p w14:paraId="218A2944">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3.060</w:t>
            </w:r>
          </w:p>
        </w:tc>
        <w:tc>
          <w:tcPr>
            <w:tcW w:w="1051" w:type="dxa"/>
            <w:noWrap/>
            <w:tcMar>
              <w:top w:w="15" w:type="dxa"/>
              <w:left w:w="15" w:type="dxa"/>
              <w:right w:w="15" w:type="dxa"/>
            </w:tcMar>
            <w:vAlign w:val="center"/>
          </w:tcPr>
          <w:p w14:paraId="73CBDD5C">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3.010</w:t>
            </w:r>
          </w:p>
        </w:tc>
        <w:tc>
          <w:tcPr>
            <w:tcW w:w="1051" w:type="dxa"/>
            <w:noWrap/>
            <w:tcMar>
              <w:top w:w="15" w:type="dxa"/>
              <w:left w:w="15" w:type="dxa"/>
              <w:right w:w="15" w:type="dxa"/>
            </w:tcMar>
            <w:vAlign w:val="center"/>
          </w:tcPr>
          <w:p w14:paraId="3CD1212F">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3.035</w:t>
            </w:r>
          </w:p>
        </w:tc>
      </w:tr>
      <w:tr w14:paraId="002F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09043467">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3~4-3</w:t>
            </w:r>
          </w:p>
        </w:tc>
        <w:tc>
          <w:tcPr>
            <w:tcW w:w="927" w:type="dxa"/>
            <w:noWrap/>
            <w:tcMar>
              <w:top w:w="15" w:type="dxa"/>
              <w:left w:w="15" w:type="dxa"/>
              <w:right w:w="15" w:type="dxa"/>
            </w:tcMar>
            <w:vAlign w:val="center"/>
          </w:tcPr>
          <w:p w14:paraId="2E8C32C1">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7</w:t>
            </w:r>
          </w:p>
        </w:tc>
        <w:tc>
          <w:tcPr>
            <w:tcW w:w="1008" w:type="dxa"/>
            <w:noWrap/>
            <w:tcMar>
              <w:top w:w="15" w:type="dxa"/>
              <w:left w:w="15" w:type="dxa"/>
              <w:right w:w="15" w:type="dxa"/>
            </w:tcMar>
            <w:vAlign w:val="center"/>
          </w:tcPr>
          <w:p w14:paraId="2A8A544B">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3.222</w:t>
            </w:r>
          </w:p>
        </w:tc>
        <w:tc>
          <w:tcPr>
            <w:tcW w:w="1008" w:type="dxa"/>
            <w:noWrap/>
            <w:tcMar>
              <w:top w:w="15" w:type="dxa"/>
              <w:left w:w="15" w:type="dxa"/>
              <w:right w:w="15" w:type="dxa"/>
            </w:tcMar>
            <w:vAlign w:val="center"/>
          </w:tcPr>
          <w:p w14:paraId="4B54D9FA">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3.217</w:t>
            </w:r>
          </w:p>
        </w:tc>
        <w:tc>
          <w:tcPr>
            <w:tcW w:w="1051" w:type="dxa"/>
            <w:noWrap/>
            <w:tcMar>
              <w:top w:w="15" w:type="dxa"/>
              <w:left w:w="15" w:type="dxa"/>
              <w:right w:w="15" w:type="dxa"/>
            </w:tcMar>
            <w:vAlign w:val="center"/>
          </w:tcPr>
          <w:p w14:paraId="03A549A8">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3.220</w:t>
            </w:r>
          </w:p>
        </w:tc>
        <w:tc>
          <w:tcPr>
            <w:tcW w:w="1051" w:type="dxa"/>
            <w:noWrap/>
            <w:tcMar>
              <w:top w:w="15" w:type="dxa"/>
              <w:left w:w="15" w:type="dxa"/>
              <w:right w:w="15" w:type="dxa"/>
            </w:tcMar>
            <w:vAlign w:val="center"/>
          </w:tcPr>
          <w:p w14:paraId="7C40FD09">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3.060</w:t>
            </w:r>
          </w:p>
        </w:tc>
        <w:tc>
          <w:tcPr>
            <w:tcW w:w="1051" w:type="dxa"/>
            <w:noWrap/>
            <w:tcMar>
              <w:top w:w="15" w:type="dxa"/>
              <w:left w:w="15" w:type="dxa"/>
              <w:right w:w="15" w:type="dxa"/>
            </w:tcMar>
            <w:vAlign w:val="center"/>
          </w:tcPr>
          <w:p w14:paraId="3C52BE1F">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3.190</w:t>
            </w:r>
          </w:p>
        </w:tc>
        <w:tc>
          <w:tcPr>
            <w:tcW w:w="1051" w:type="dxa"/>
            <w:noWrap/>
            <w:tcMar>
              <w:top w:w="15" w:type="dxa"/>
              <w:left w:w="15" w:type="dxa"/>
              <w:right w:w="15" w:type="dxa"/>
            </w:tcMar>
            <w:vAlign w:val="center"/>
          </w:tcPr>
          <w:p w14:paraId="1D135C46">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3.125</w:t>
            </w:r>
          </w:p>
        </w:tc>
      </w:tr>
      <w:tr w14:paraId="7582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750CB4D1">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3~4-4</w:t>
            </w:r>
          </w:p>
        </w:tc>
        <w:tc>
          <w:tcPr>
            <w:tcW w:w="927" w:type="dxa"/>
            <w:noWrap/>
            <w:tcMar>
              <w:top w:w="15" w:type="dxa"/>
              <w:left w:w="15" w:type="dxa"/>
              <w:right w:w="15" w:type="dxa"/>
            </w:tcMar>
            <w:vAlign w:val="center"/>
          </w:tcPr>
          <w:p w14:paraId="6B0396C3">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8</w:t>
            </w:r>
          </w:p>
        </w:tc>
        <w:tc>
          <w:tcPr>
            <w:tcW w:w="1008" w:type="dxa"/>
            <w:noWrap/>
            <w:tcMar>
              <w:top w:w="15" w:type="dxa"/>
              <w:left w:w="15" w:type="dxa"/>
              <w:right w:w="15" w:type="dxa"/>
            </w:tcMar>
            <w:vAlign w:val="center"/>
          </w:tcPr>
          <w:p w14:paraId="5F11156E">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3.207</w:t>
            </w:r>
          </w:p>
        </w:tc>
        <w:tc>
          <w:tcPr>
            <w:tcW w:w="1008" w:type="dxa"/>
            <w:noWrap/>
            <w:tcMar>
              <w:top w:w="15" w:type="dxa"/>
              <w:left w:w="15" w:type="dxa"/>
              <w:right w:w="15" w:type="dxa"/>
            </w:tcMar>
            <w:vAlign w:val="center"/>
          </w:tcPr>
          <w:p w14:paraId="7B1238AA">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3.156</w:t>
            </w:r>
          </w:p>
        </w:tc>
        <w:tc>
          <w:tcPr>
            <w:tcW w:w="1051" w:type="dxa"/>
            <w:noWrap/>
            <w:tcMar>
              <w:top w:w="15" w:type="dxa"/>
              <w:left w:w="15" w:type="dxa"/>
              <w:right w:w="15" w:type="dxa"/>
            </w:tcMar>
            <w:vAlign w:val="center"/>
          </w:tcPr>
          <w:p w14:paraId="0290711C">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3.182</w:t>
            </w:r>
          </w:p>
        </w:tc>
        <w:tc>
          <w:tcPr>
            <w:tcW w:w="1051" w:type="dxa"/>
            <w:noWrap/>
            <w:tcMar>
              <w:top w:w="15" w:type="dxa"/>
              <w:left w:w="15" w:type="dxa"/>
              <w:right w:w="15" w:type="dxa"/>
            </w:tcMar>
            <w:vAlign w:val="center"/>
          </w:tcPr>
          <w:p w14:paraId="002F0A82">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3.010</w:t>
            </w:r>
          </w:p>
        </w:tc>
        <w:tc>
          <w:tcPr>
            <w:tcW w:w="1051" w:type="dxa"/>
            <w:noWrap/>
            <w:tcMar>
              <w:top w:w="15" w:type="dxa"/>
              <w:left w:w="15" w:type="dxa"/>
              <w:right w:w="15" w:type="dxa"/>
            </w:tcMar>
            <w:vAlign w:val="center"/>
          </w:tcPr>
          <w:p w14:paraId="2DB534B7">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2.980</w:t>
            </w:r>
          </w:p>
        </w:tc>
        <w:tc>
          <w:tcPr>
            <w:tcW w:w="1051" w:type="dxa"/>
            <w:noWrap/>
            <w:tcMar>
              <w:top w:w="15" w:type="dxa"/>
              <w:left w:w="15" w:type="dxa"/>
              <w:right w:w="15" w:type="dxa"/>
            </w:tcMar>
            <w:vAlign w:val="center"/>
          </w:tcPr>
          <w:p w14:paraId="1A87C028">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2.995</w:t>
            </w:r>
          </w:p>
        </w:tc>
      </w:tr>
      <w:tr w14:paraId="14B3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36B52FFB">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5~6-1</w:t>
            </w:r>
          </w:p>
        </w:tc>
        <w:tc>
          <w:tcPr>
            <w:tcW w:w="927" w:type="dxa"/>
            <w:noWrap/>
            <w:tcMar>
              <w:top w:w="15" w:type="dxa"/>
              <w:left w:w="15" w:type="dxa"/>
              <w:right w:w="15" w:type="dxa"/>
            </w:tcMar>
            <w:vAlign w:val="center"/>
          </w:tcPr>
          <w:p w14:paraId="276B5904">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9</w:t>
            </w:r>
          </w:p>
        </w:tc>
        <w:tc>
          <w:tcPr>
            <w:tcW w:w="1008" w:type="dxa"/>
            <w:noWrap/>
            <w:tcMar>
              <w:top w:w="15" w:type="dxa"/>
              <w:left w:w="15" w:type="dxa"/>
              <w:right w:w="15" w:type="dxa"/>
            </w:tcMar>
            <w:vAlign w:val="center"/>
          </w:tcPr>
          <w:p w14:paraId="0E17DBE9">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5.049</w:t>
            </w:r>
          </w:p>
        </w:tc>
        <w:tc>
          <w:tcPr>
            <w:tcW w:w="1008" w:type="dxa"/>
            <w:noWrap/>
            <w:tcMar>
              <w:top w:w="15" w:type="dxa"/>
              <w:left w:w="15" w:type="dxa"/>
              <w:right w:w="15" w:type="dxa"/>
            </w:tcMar>
            <w:vAlign w:val="center"/>
          </w:tcPr>
          <w:p w14:paraId="1594BB7D">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5.003</w:t>
            </w:r>
          </w:p>
        </w:tc>
        <w:tc>
          <w:tcPr>
            <w:tcW w:w="1051" w:type="dxa"/>
            <w:noWrap/>
            <w:tcMar>
              <w:top w:w="15" w:type="dxa"/>
              <w:left w:w="15" w:type="dxa"/>
              <w:right w:w="15" w:type="dxa"/>
            </w:tcMar>
            <w:vAlign w:val="center"/>
          </w:tcPr>
          <w:p w14:paraId="1E0103E8">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5.026</w:t>
            </w:r>
          </w:p>
        </w:tc>
        <w:tc>
          <w:tcPr>
            <w:tcW w:w="1051" w:type="dxa"/>
            <w:noWrap/>
            <w:tcMar>
              <w:top w:w="15" w:type="dxa"/>
              <w:left w:w="15" w:type="dxa"/>
              <w:right w:w="15" w:type="dxa"/>
            </w:tcMar>
            <w:vAlign w:val="center"/>
          </w:tcPr>
          <w:p w14:paraId="786B0715">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5.320</w:t>
            </w:r>
          </w:p>
        </w:tc>
        <w:tc>
          <w:tcPr>
            <w:tcW w:w="1051" w:type="dxa"/>
            <w:noWrap/>
            <w:tcMar>
              <w:top w:w="15" w:type="dxa"/>
              <w:left w:w="15" w:type="dxa"/>
              <w:right w:w="15" w:type="dxa"/>
            </w:tcMar>
            <w:vAlign w:val="center"/>
          </w:tcPr>
          <w:p w14:paraId="577EA025">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5.320</w:t>
            </w:r>
          </w:p>
        </w:tc>
        <w:tc>
          <w:tcPr>
            <w:tcW w:w="1051" w:type="dxa"/>
            <w:noWrap/>
            <w:tcMar>
              <w:top w:w="15" w:type="dxa"/>
              <w:left w:w="15" w:type="dxa"/>
              <w:right w:w="15" w:type="dxa"/>
            </w:tcMar>
            <w:vAlign w:val="center"/>
          </w:tcPr>
          <w:p w14:paraId="1D129C4F">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5.320</w:t>
            </w:r>
          </w:p>
        </w:tc>
      </w:tr>
      <w:tr w14:paraId="63BF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36151082">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5~6-2</w:t>
            </w:r>
          </w:p>
        </w:tc>
        <w:tc>
          <w:tcPr>
            <w:tcW w:w="927" w:type="dxa"/>
            <w:noWrap/>
            <w:tcMar>
              <w:top w:w="15" w:type="dxa"/>
              <w:left w:w="15" w:type="dxa"/>
              <w:right w:w="15" w:type="dxa"/>
            </w:tcMar>
            <w:vAlign w:val="center"/>
          </w:tcPr>
          <w:p w14:paraId="76FA9BE0">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10</w:t>
            </w:r>
          </w:p>
        </w:tc>
        <w:tc>
          <w:tcPr>
            <w:tcW w:w="1008" w:type="dxa"/>
            <w:noWrap/>
            <w:tcMar>
              <w:top w:w="15" w:type="dxa"/>
              <w:left w:w="15" w:type="dxa"/>
              <w:right w:w="15" w:type="dxa"/>
            </w:tcMar>
            <w:vAlign w:val="center"/>
          </w:tcPr>
          <w:p w14:paraId="3954FED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5.100</w:t>
            </w:r>
          </w:p>
        </w:tc>
        <w:tc>
          <w:tcPr>
            <w:tcW w:w="1008" w:type="dxa"/>
            <w:noWrap/>
            <w:tcMar>
              <w:top w:w="15" w:type="dxa"/>
              <w:left w:w="15" w:type="dxa"/>
              <w:right w:w="15" w:type="dxa"/>
            </w:tcMar>
            <w:vAlign w:val="center"/>
          </w:tcPr>
          <w:p w14:paraId="29687B0F">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5.209</w:t>
            </w:r>
          </w:p>
        </w:tc>
        <w:tc>
          <w:tcPr>
            <w:tcW w:w="1051" w:type="dxa"/>
            <w:noWrap/>
            <w:tcMar>
              <w:top w:w="15" w:type="dxa"/>
              <w:left w:w="15" w:type="dxa"/>
              <w:right w:w="15" w:type="dxa"/>
            </w:tcMar>
            <w:vAlign w:val="center"/>
          </w:tcPr>
          <w:p w14:paraId="2917D953">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5.155</w:t>
            </w:r>
          </w:p>
        </w:tc>
        <w:tc>
          <w:tcPr>
            <w:tcW w:w="1051" w:type="dxa"/>
            <w:noWrap/>
            <w:tcMar>
              <w:top w:w="15" w:type="dxa"/>
              <w:left w:w="15" w:type="dxa"/>
              <w:right w:w="15" w:type="dxa"/>
            </w:tcMar>
            <w:vAlign w:val="center"/>
          </w:tcPr>
          <w:p w14:paraId="6279890A">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4.990</w:t>
            </w:r>
          </w:p>
        </w:tc>
        <w:tc>
          <w:tcPr>
            <w:tcW w:w="1051" w:type="dxa"/>
            <w:noWrap/>
            <w:tcMar>
              <w:top w:w="15" w:type="dxa"/>
              <w:left w:w="15" w:type="dxa"/>
              <w:right w:w="15" w:type="dxa"/>
            </w:tcMar>
            <w:vAlign w:val="center"/>
          </w:tcPr>
          <w:p w14:paraId="4B90B4C7">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4.970</w:t>
            </w:r>
          </w:p>
        </w:tc>
        <w:tc>
          <w:tcPr>
            <w:tcW w:w="1051" w:type="dxa"/>
            <w:noWrap/>
            <w:tcMar>
              <w:top w:w="15" w:type="dxa"/>
              <w:left w:w="15" w:type="dxa"/>
              <w:right w:w="15" w:type="dxa"/>
            </w:tcMar>
            <w:vAlign w:val="center"/>
          </w:tcPr>
          <w:p w14:paraId="4DC8DBA0">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4.980</w:t>
            </w:r>
          </w:p>
        </w:tc>
      </w:tr>
      <w:tr w14:paraId="419B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124C09A6">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5~6-3</w:t>
            </w:r>
          </w:p>
        </w:tc>
        <w:tc>
          <w:tcPr>
            <w:tcW w:w="927" w:type="dxa"/>
            <w:noWrap/>
            <w:tcMar>
              <w:top w:w="15" w:type="dxa"/>
              <w:left w:w="15" w:type="dxa"/>
              <w:right w:w="15" w:type="dxa"/>
            </w:tcMar>
            <w:vAlign w:val="center"/>
          </w:tcPr>
          <w:p w14:paraId="542DFB4A">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11</w:t>
            </w:r>
          </w:p>
        </w:tc>
        <w:tc>
          <w:tcPr>
            <w:tcW w:w="1008" w:type="dxa"/>
            <w:noWrap/>
            <w:tcMar>
              <w:top w:w="15" w:type="dxa"/>
              <w:left w:w="15" w:type="dxa"/>
              <w:right w:w="15" w:type="dxa"/>
            </w:tcMar>
            <w:vAlign w:val="center"/>
          </w:tcPr>
          <w:p w14:paraId="12161430">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5.156</w:t>
            </w:r>
          </w:p>
        </w:tc>
        <w:tc>
          <w:tcPr>
            <w:tcW w:w="1008" w:type="dxa"/>
            <w:noWrap/>
            <w:tcMar>
              <w:top w:w="15" w:type="dxa"/>
              <w:left w:w="15" w:type="dxa"/>
              <w:right w:w="15" w:type="dxa"/>
            </w:tcMar>
            <w:vAlign w:val="center"/>
          </w:tcPr>
          <w:p w14:paraId="3AFB39E3">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5.143</w:t>
            </w:r>
          </w:p>
        </w:tc>
        <w:tc>
          <w:tcPr>
            <w:tcW w:w="1051" w:type="dxa"/>
            <w:noWrap/>
            <w:tcMar>
              <w:top w:w="15" w:type="dxa"/>
              <w:left w:w="15" w:type="dxa"/>
              <w:right w:w="15" w:type="dxa"/>
            </w:tcMar>
            <w:vAlign w:val="center"/>
          </w:tcPr>
          <w:p w14:paraId="0B69C18D">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5.149</w:t>
            </w:r>
          </w:p>
        </w:tc>
        <w:tc>
          <w:tcPr>
            <w:tcW w:w="1051" w:type="dxa"/>
            <w:noWrap/>
            <w:tcMar>
              <w:top w:w="15" w:type="dxa"/>
              <w:left w:w="15" w:type="dxa"/>
              <w:right w:w="15" w:type="dxa"/>
            </w:tcMar>
            <w:vAlign w:val="center"/>
          </w:tcPr>
          <w:p w14:paraId="1A5E3C51">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5.490</w:t>
            </w:r>
          </w:p>
        </w:tc>
        <w:tc>
          <w:tcPr>
            <w:tcW w:w="1051" w:type="dxa"/>
            <w:noWrap/>
            <w:tcMar>
              <w:top w:w="15" w:type="dxa"/>
              <w:left w:w="15" w:type="dxa"/>
              <w:right w:w="15" w:type="dxa"/>
            </w:tcMar>
            <w:vAlign w:val="center"/>
          </w:tcPr>
          <w:p w14:paraId="3242C6E2">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5.450</w:t>
            </w:r>
          </w:p>
        </w:tc>
        <w:tc>
          <w:tcPr>
            <w:tcW w:w="1051" w:type="dxa"/>
            <w:noWrap/>
            <w:tcMar>
              <w:top w:w="15" w:type="dxa"/>
              <w:left w:w="15" w:type="dxa"/>
              <w:right w:w="15" w:type="dxa"/>
            </w:tcMar>
            <w:vAlign w:val="center"/>
          </w:tcPr>
          <w:p w14:paraId="321735BD">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5.470</w:t>
            </w:r>
          </w:p>
        </w:tc>
      </w:tr>
      <w:tr w14:paraId="4BE4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04414C47">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5~6-4</w:t>
            </w:r>
          </w:p>
        </w:tc>
        <w:tc>
          <w:tcPr>
            <w:tcW w:w="927" w:type="dxa"/>
            <w:noWrap/>
            <w:tcMar>
              <w:top w:w="15" w:type="dxa"/>
              <w:left w:w="15" w:type="dxa"/>
              <w:right w:w="15" w:type="dxa"/>
            </w:tcMar>
            <w:vAlign w:val="center"/>
          </w:tcPr>
          <w:p w14:paraId="47A6D483">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12</w:t>
            </w:r>
          </w:p>
        </w:tc>
        <w:tc>
          <w:tcPr>
            <w:tcW w:w="1008" w:type="dxa"/>
            <w:noWrap/>
            <w:tcMar>
              <w:top w:w="15" w:type="dxa"/>
              <w:left w:w="15" w:type="dxa"/>
              <w:right w:w="15" w:type="dxa"/>
            </w:tcMar>
            <w:vAlign w:val="center"/>
          </w:tcPr>
          <w:p w14:paraId="38995308">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5.288</w:t>
            </w:r>
          </w:p>
        </w:tc>
        <w:tc>
          <w:tcPr>
            <w:tcW w:w="1008" w:type="dxa"/>
            <w:noWrap/>
            <w:tcMar>
              <w:top w:w="15" w:type="dxa"/>
              <w:left w:w="15" w:type="dxa"/>
              <w:right w:w="15" w:type="dxa"/>
            </w:tcMar>
            <w:vAlign w:val="center"/>
          </w:tcPr>
          <w:p w14:paraId="6683DC1D">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5.304</w:t>
            </w:r>
          </w:p>
        </w:tc>
        <w:tc>
          <w:tcPr>
            <w:tcW w:w="1051" w:type="dxa"/>
            <w:noWrap/>
            <w:tcMar>
              <w:top w:w="15" w:type="dxa"/>
              <w:left w:w="15" w:type="dxa"/>
              <w:right w:w="15" w:type="dxa"/>
            </w:tcMar>
            <w:vAlign w:val="center"/>
          </w:tcPr>
          <w:p w14:paraId="3632411E">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5.296</w:t>
            </w:r>
          </w:p>
        </w:tc>
        <w:tc>
          <w:tcPr>
            <w:tcW w:w="1051" w:type="dxa"/>
            <w:noWrap/>
            <w:tcMar>
              <w:top w:w="15" w:type="dxa"/>
              <w:left w:w="15" w:type="dxa"/>
              <w:right w:w="15" w:type="dxa"/>
            </w:tcMar>
            <w:vAlign w:val="center"/>
          </w:tcPr>
          <w:p w14:paraId="52B00721">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5.440</w:t>
            </w:r>
          </w:p>
        </w:tc>
        <w:tc>
          <w:tcPr>
            <w:tcW w:w="1051" w:type="dxa"/>
            <w:noWrap/>
            <w:tcMar>
              <w:top w:w="15" w:type="dxa"/>
              <w:left w:w="15" w:type="dxa"/>
              <w:right w:w="15" w:type="dxa"/>
            </w:tcMar>
            <w:vAlign w:val="center"/>
          </w:tcPr>
          <w:p w14:paraId="75627FC7">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5.410</w:t>
            </w:r>
          </w:p>
        </w:tc>
        <w:tc>
          <w:tcPr>
            <w:tcW w:w="1051" w:type="dxa"/>
            <w:noWrap/>
            <w:tcMar>
              <w:top w:w="15" w:type="dxa"/>
              <w:left w:w="15" w:type="dxa"/>
              <w:right w:w="15" w:type="dxa"/>
            </w:tcMar>
            <w:vAlign w:val="center"/>
          </w:tcPr>
          <w:p w14:paraId="0FDF3E17">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5.425</w:t>
            </w:r>
          </w:p>
        </w:tc>
      </w:tr>
      <w:tr w14:paraId="13FC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6247DF72">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6~7-1</w:t>
            </w:r>
          </w:p>
        </w:tc>
        <w:tc>
          <w:tcPr>
            <w:tcW w:w="927" w:type="dxa"/>
            <w:noWrap/>
            <w:tcMar>
              <w:top w:w="15" w:type="dxa"/>
              <w:left w:w="15" w:type="dxa"/>
              <w:right w:w="15" w:type="dxa"/>
            </w:tcMar>
            <w:vAlign w:val="center"/>
          </w:tcPr>
          <w:p w14:paraId="3C86D63B">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13</w:t>
            </w:r>
          </w:p>
        </w:tc>
        <w:tc>
          <w:tcPr>
            <w:tcW w:w="1008" w:type="dxa"/>
            <w:noWrap/>
            <w:tcMar>
              <w:top w:w="15" w:type="dxa"/>
              <w:left w:w="15" w:type="dxa"/>
              <w:right w:w="15" w:type="dxa"/>
            </w:tcMar>
            <w:vAlign w:val="center"/>
          </w:tcPr>
          <w:p w14:paraId="4C67ED60">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5.889</w:t>
            </w:r>
          </w:p>
        </w:tc>
        <w:tc>
          <w:tcPr>
            <w:tcW w:w="1008" w:type="dxa"/>
            <w:noWrap/>
            <w:tcMar>
              <w:top w:w="15" w:type="dxa"/>
              <w:left w:w="15" w:type="dxa"/>
              <w:right w:w="15" w:type="dxa"/>
            </w:tcMar>
            <w:vAlign w:val="center"/>
          </w:tcPr>
          <w:p w14:paraId="6019F325">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5.965</w:t>
            </w:r>
          </w:p>
        </w:tc>
        <w:tc>
          <w:tcPr>
            <w:tcW w:w="1051" w:type="dxa"/>
            <w:noWrap/>
            <w:tcMar>
              <w:top w:w="15" w:type="dxa"/>
              <w:left w:w="15" w:type="dxa"/>
              <w:right w:w="15" w:type="dxa"/>
            </w:tcMar>
            <w:vAlign w:val="center"/>
          </w:tcPr>
          <w:p w14:paraId="0F8F954C">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5.927</w:t>
            </w:r>
          </w:p>
        </w:tc>
        <w:tc>
          <w:tcPr>
            <w:tcW w:w="1051" w:type="dxa"/>
            <w:noWrap/>
            <w:tcMar>
              <w:top w:w="15" w:type="dxa"/>
              <w:left w:w="15" w:type="dxa"/>
              <w:right w:w="15" w:type="dxa"/>
            </w:tcMar>
            <w:vAlign w:val="center"/>
          </w:tcPr>
          <w:p w14:paraId="3CADB6F4">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5.690</w:t>
            </w:r>
          </w:p>
        </w:tc>
        <w:tc>
          <w:tcPr>
            <w:tcW w:w="1051" w:type="dxa"/>
            <w:noWrap/>
            <w:tcMar>
              <w:top w:w="15" w:type="dxa"/>
              <w:left w:w="15" w:type="dxa"/>
              <w:right w:w="15" w:type="dxa"/>
            </w:tcMar>
            <w:vAlign w:val="center"/>
          </w:tcPr>
          <w:p w14:paraId="6AA47BE5">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5.630</w:t>
            </w:r>
          </w:p>
        </w:tc>
        <w:tc>
          <w:tcPr>
            <w:tcW w:w="1051" w:type="dxa"/>
            <w:noWrap/>
            <w:tcMar>
              <w:top w:w="15" w:type="dxa"/>
              <w:left w:w="15" w:type="dxa"/>
              <w:right w:w="15" w:type="dxa"/>
            </w:tcMar>
            <w:vAlign w:val="center"/>
          </w:tcPr>
          <w:p w14:paraId="5A3692FB">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5.660</w:t>
            </w:r>
          </w:p>
        </w:tc>
      </w:tr>
      <w:tr w14:paraId="6741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4AB6820F">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6~7-2</w:t>
            </w:r>
          </w:p>
        </w:tc>
        <w:tc>
          <w:tcPr>
            <w:tcW w:w="927" w:type="dxa"/>
            <w:noWrap/>
            <w:tcMar>
              <w:top w:w="15" w:type="dxa"/>
              <w:left w:w="15" w:type="dxa"/>
              <w:right w:w="15" w:type="dxa"/>
            </w:tcMar>
            <w:vAlign w:val="center"/>
          </w:tcPr>
          <w:p w14:paraId="02D1E16A">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14</w:t>
            </w:r>
          </w:p>
        </w:tc>
        <w:tc>
          <w:tcPr>
            <w:tcW w:w="1008" w:type="dxa"/>
            <w:noWrap/>
            <w:tcMar>
              <w:top w:w="15" w:type="dxa"/>
              <w:left w:w="15" w:type="dxa"/>
              <w:right w:w="15" w:type="dxa"/>
            </w:tcMar>
            <w:vAlign w:val="center"/>
          </w:tcPr>
          <w:p w14:paraId="1291AA6F">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5.960</w:t>
            </w:r>
          </w:p>
        </w:tc>
        <w:tc>
          <w:tcPr>
            <w:tcW w:w="1008" w:type="dxa"/>
            <w:noWrap/>
            <w:tcMar>
              <w:top w:w="15" w:type="dxa"/>
              <w:left w:w="15" w:type="dxa"/>
              <w:right w:w="15" w:type="dxa"/>
            </w:tcMar>
            <w:vAlign w:val="center"/>
          </w:tcPr>
          <w:p w14:paraId="071D817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6.092</w:t>
            </w:r>
          </w:p>
        </w:tc>
        <w:tc>
          <w:tcPr>
            <w:tcW w:w="1051" w:type="dxa"/>
            <w:noWrap/>
            <w:tcMar>
              <w:top w:w="15" w:type="dxa"/>
              <w:left w:w="15" w:type="dxa"/>
              <w:right w:w="15" w:type="dxa"/>
            </w:tcMar>
            <w:vAlign w:val="center"/>
          </w:tcPr>
          <w:p w14:paraId="7B3F0006">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6.026</w:t>
            </w:r>
          </w:p>
        </w:tc>
        <w:tc>
          <w:tcPr>
            <w:tcW w:w="1051" w:type="dxa"/>
            <w:noWrap/>
            <w:tcMar>
              <w:top w:w="15" w:type="dxa"/>
              <w:left w:w="15" w:type="dxa"/>
              <w:right w:w="15" w:type="dxa"/>
            </w:tcMar>
            <w:vAlign w:val="center"/>
          </w:tcPr>
          <w:p w14:paraId="5279F404">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5.880</w:t>
            </w:r>
          </w:p>
        </w:tc>
        <w:tc>
          <w:tcPr>
            <w:tcW w:w="1051" w:type="dxa"/>
            <w:noWrap/>
            <w:tcMar>
              <w:top w:w="15" w:type="dxa"/>
              <w:left w:w="15" w:type="dxa"/>
              <w:right w:w="15" w:type="dxa"/>
            </w:tcMar>
            <w:vAlign w:val="center"/>
          </w:tcPr>
          <w:p w14:paraId="7E51E9FC">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5.710</w:t>
            </w:r>
          </w:p>
        </w:tc>
        <w:tc>
          <w:tcPr>
            <w:tcW w:w="1051" w:type="dxa"/>
            <w:noWrap/>
            <w:tcMar>
              <w:top w:w="15" w:type="dxa"/>
              <w:left w:w="15" w:type="dxa"/>
              <w:right w:w="15" w:type="dxa"/>
            </w:tcMar>
            <w:vAlign w:val="center"/>
          </w:tcPr>
          <w:p w14:paraId="385C0204">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5.795</w:t>
            </w:r>
          </w:p>
        </w:tc>
      </w:tr>
      <w:tr w14:paraId="080D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40137982">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6~7-3</w:t>
            </w:r>
          </w:p>
        </w:tc>
        <w:tc>
          <w:tcPr>
            <w:tcW w:w="927" w:type="dxa"/>
            <w:noWrap/>
            <w:tcMar>
              <w:top w:w="15" w:type="dxa"/>
              <w:left w:w="15" w:type="dxa"/>
              <w:right w:w="15" w:type="dxa"/>
            </w:tcMar>
            <w:vAlign w:val="center"/>
          </w:tcPr>
          <w:p w14:paraId="41D4B0E7">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15</w:t>
            </w:r>
          </w:p>
        </w:tc>
        <w:tc>
          <w:tcPr>
            <w:tcW w:w="1008" w:type="dxa"/>
            <w:noWrap/>
            <w:tcMar>
              <w:top w:w="15" w:type="dxa"/>
              <w:left w:w="15" w:type="dxa"/>
              <w:right w:w="15" w:type="dxa"/>
            </w:tcMar>
            <w:vAlign w:val="center"/>
          </w:tcPr>
          <w:p w14:paraId="3B350A3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6.007</w:t>
            </w:r>
          </w:p>
        </w:tc>
        <w:tc>
          <w:tcPr>
            <w:tcW w:w="1008" w:type="dxa"/>
            <w:noWrap/>
            <w:tcMar>
              <w:top w:w="15" w:type="dxa"/>
              <w:left w:w="15" w:type="dxa"/>
              <w:right w:w="15" w:type="dxa"/>
            </w:tcMar>
            <w:vAlign w:val="center"/>
          </w:tcPr>
          <w:p w14:paraId="40F267F8">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6.138</w:t>
            </w:r>
          </w:p>
        </w:tc>
        <w:tc>
          <w:tcPr>
            <w:tcW w:w="1051" w:type="dxa"/>
            <w:noWrap/>
            <w:tcMar>
              <w:top w:w="15" w:type="dxa"/>
              <w:left w:w="15" w:type="dxa"/>
              <w:right w:w="15" w:type="dxa"/>
            </w:tcMar>
            <w:vAlign w:val="center"/>
          </w:tcPr>
          <w:p w14:paraId="66FA0C67">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6.073</w:t>
            </w:r>
          </w:p>
        </w:tc>
        <w:tc>
          <w:tcPr>
            <w:tcW w:w="1051" w:type="dxa"/>
            <w:noWrap/>
            <w:tcMar>
              <w:top w:w="15" w:type="dxa"/>
              <w:left w:w="15" w:type="dxa"/>
              <w:right w:w="15" w:type="dxa"/>
            </w:tcMar>
            <w:vAlign w:val="center"/>
          </w:tcPr>
          <w:p w14:paraId="535936BE">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5.740</w:t>
            </w:r>
          </w:p>
        </w:tc>
        <w:tc>
          <w:tcPr>
            <w:tcW w:w="1051" w:type="dxa"/>
            <w:noWrap/>
            <w:tcMar>
              <w:top w:w="15" w:type="dxa"/>
              <w:left w:w="15" w:type="dxa"/>
              <w:right w:w="15" w:type="dxa"/>
            </w:tcMar>
            <w:vAlign w:val="center"/>
          </w:tcPr>
          <w:p w14:paraId="58DB1DB9">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5.940</w:t>
            </w:r>
          </w:p>
        </w:tc>
        <w:tc>
          <w:tcPr>
            <w:tcW w:w="1051" w:type="dxa"/>
            <w:noWrap/>
            <w:tcMar>
              <w:top w:w="15" w:type="dxa"/>
              <w:left w:w="15" w:type="dxa"/>
              <w:right w:w="15" w:type="dxa"/>
            </w:tcMar>
            <w:vAlign w:val="center"/>
          </w:tcPr>
          <w:p w14:paraId="32638DEA">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5.840</w:t>
            </w:r>
          </w:p>
        </w:tc>
      </w:tr>
      <w:tr w14:paraId="203C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332D84A2">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color w:val="000000"/>
                <w:kern w:val="0"/>
                <w:szCs w:val="21"/>
                <w:lang w:bidi="ar"/>
              </w:rPr>
              <w:t>6~7-4</w:t>
            </w:r>
          </w:p>
        </w:tc>
        <w:tc>
          <w:tcPr>
            <w:tcW w:w="927" w:type="dxa"/>
            <w:noWrap/>
            <w:tcMar>
              <w:top w:w="15" w:type="dxa"/>
              <w:left w:w="15" w:type="dxa"/>
              <w:right w:w="15" w:type="dxa"/>
            </w:tcMar>
            <w:vAlign w:val="center"/>
          </w:tcPr>
          <w:p w14:paraId="3C33A251">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16</w:t>
            </w:r>
          </w:p>
        </w:tc>
        <w:tc>
          <w:tcPr>
            <w:tcW w:w="1008" w:type="dxa"/>
            <w:noWrap/>
            <w:tcMar>
              <w:top w:w="15" w:type="dxa"/>
              <w:left w:w="15" w:type="dxa"/>
              <w:right w:w="15" w:type="dxa"/>
            </w:tcMar>
            <w:vAlign w:val="center"/>
          </w:tcPr>
          <w:p w14:paraId="1E4FD414">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5.977</w:t>
            </w:r>
          </w:p>
        </w:tc>
        <w:tc>
          <w:tcPr>
            <w:tcW w:w="1008" w:type="dxa"/>
            <w:noWrap/>
            <w:tcMar>
              <w:top w:w="15" w:type="dxa"/>
              <w:left w:w="15" w:type="dxa"/>
              <w:right w:w="15" w:type="dxa"/>
            </w:tcMar>
            <w:vAlign w:val="center"/>
          </w:tcPr>
          <w:p w14:paraId="0B190885">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6.041</w:t>
            </w:r>
          </w:p>
        </w:tc>
        <w:tc>
          <w:tcPr>
            <w:tcW w:w="1051" w:type="dxa"/>
            <w:noWrap/>
            <w:tcMar>
              <w:top w:w="15" w:type="dxa"/>
              <w:left w:w="15" w:type="dxa"/>
              <w:right w:w="15" w:type="dxa"/>
            </w:tcMar>
            <w:vAlign w:val="center"/>
          </w:tcPr>
          <w:p w14:paraId="628E9847">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6.009</w:t>
            </w:r>
          </w:p>
        </w:tc>
        <w:tc>
          <w:tcPr>
            <w:tcW w:w="1051" w:type="dxa"/>
            <w:noWrap/>
            <w:tcMar>
              <w:top w:w="15" w:type="dxa"/>
              <w:left w:w="15" w:type="dxa"/>
              <w:right w:w="15" w:type="dxa"/>
            </w:tcMar>
            <w:vAlign w:val="center"/>
          </w:tcPr>
          <w:p w14:paraId="25D2468C">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6.050</w:t>
            </w:r>
          </w:p>
        </w:tc>
        <w:tc>
          <w:tcPr>
            <w:tcW w:w="1051" w:type="dxa"/>
            <w:noWrap/>
            <w:tcMar>
              <w:top w:w="15" w:type="dxa"/>
              <w:left w:w="15" w:type="dxa"/>
              <w:right w:w="15" w:type="dxa"/>
            </w:tcMar>
            <w:vAlign w:val="center"/>
          </w:tcPr>
          <w:p w14:paraId="522D3B8C">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5.880</w:t>
            </w:r>
          </w:p>
        </w:tc>
        <w:tc>
          <w:tcPr>
            <w:tcW w:w="1051" w:type="dxa"/>
            <w:noWrap/>
            <w:tcMar>
              <w:top w:w="15" w:type="dxa"/>
              <w:left w:w="15" w:type="dxa"/>
              <w:right w:w="15" w:type="dxa"/>
            </w:tcMar>
            <w:vAlign w:val="center"/>
          </w:tcPr>
          <w:p w14:paraId="25129AAF">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5.965</w:t>
            </w:r>
          </w:p>
        </w:tc>
      </w:tr>
      <w:tr w14:paraId="3821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val="0"/>
            <w:tcMar>
              <w:top w:w="15" w:type="dxa"/>
              <w:left w:w="15" w:type="dxa"/>
              <w:right w:w="15" w:type="dxa"/>
            </w:tcMar>
            <w:vAlign w:val="center"/>
          </w:tcPr>
          <w:p w14:paraId="0144BA27">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SJQ045</w:t>
            </w:r>
          </w:p>
        </w:tc>
        <w:tc>
          <w:tcPr>
            <w:tcW w:w="927" w:type="dxa"/>
            <w:noWrap/>
            <w:tcMar>
              <w:top w:w="15" w:type="dxa"/>
              <w:left w:w="15" w:type="dxa"/>
              <w:right w:w="15" w:type="dxa"/>
            </w:tcMar>
            <w:vAlign w:val="center"/>
          </w:tcPr>
          <w:p w14:paraId="0D406013">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17</w:t>
            </w:r>
          </w:p>
        </w:tc>
        <w:tc>
          <w:tcPr>
            <w:tcW w:w="1008" w:type="dxa"/>
            <w:noWrap/>
            <w:tcMar>
              <w:top w:w="15" w:type="dxa"/>
              <w:left w:w="15" w:type="dxa"/>
              <w:right w:w="15" w:type="dxa"/>
            </w:tcMar>
            <w:vAlign w:val="center"/>
          </w:tcPr>
          <w:p w14:paraId="225D31C6">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9.389</w:t>
            </w:r>
          </w:p>
        </w:tc>
        <w:tc>
          <w:tcPr>
            <w:tcW w:w="1008" w:type="dxa"/>
            <w:noWrap/>
            <w:tcMar>
              <w:top w:w="15" w:type="dxa"/>
              <w:left w:w="15" w:type="dxa"/>
              <w:right w:w="15" w:type="dxa"/>
            </w:tcMar>
            <w:vAlign w:val="center"/>
          </w:tcPr>
          <w:p w14:paraId="310E20F8">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9.420</w:t>
            </w:r>
          </w:p>
        </w:tc>
        <w:tc>
          <w:tcPr>
            <w:tcW w:w="1051" w:type="dxa"/>
            <w:noWrap/>
            <w:tcMar>
              <w:top w:w="15" w:type="dxa"/>
              <w:left w:w="15" w:type="dxa"/>
              <w:right w:w="15" w:type="dxa"/>
            </w:tcMar>
            <w:vAlign w:val="center"/>
          </w:tcPr>
          <w:p w14:paraId="3301E673">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9.405</w:t>
            </w:r>
          </w:p>
        </w:tc>
        <w:tc>
          <w:tcPr>
            <w:tcW w:w="1051" w:type="dxa"/>
            <w:noWrap/>
            <w:tcMar>
              <w:top w:w="15" w:type="dxa"/>
              <w:left w:w="15" w:type="dxa"/>
              <w:right w:w="15" w:type="dxa"/>
            </w:tcMar>
            <w:vAlign w:val="center"/>
          </w:tcPr>
          <w:p w14:paraId="6EB019E2">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9.530</w:t>
            </w:r>
          </w:p>
        </w:tc>
        <w:tc>
          <w:tcPr>
            <w:tcW w:w="1051" w:type="dxa"/>
            <w:noWrap/>
            <w:tcMar>
              <w:top w:w="15" w:type="dxa"/>
              <w:left w:w="15" w:type="dxa"/>
              <w:right w:w="15" w:type="dxa"/>
            </w:tcMar>
            <w:vAlign w:val="center"/>
          </w:tcPr>
          <w:p w14:paraId="193AB53A">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9.310</w:t>
            </w:r>
          </w:p>
        </w:tc>
        <w:tc>
          <w:tcPr>
            <w:tcW w:w="1051" w:type="dxa"/>
            <w:noWrap/>
            <w:tcMar>
              <w:top w:w="15" w:type="dxa"/>
              <w:left w:w="15" w:type="dxa"/>
              <w:right w:w="15" w:type="dxa"/>
            </w:tcMar>
            <w:vAlign w:val="center"/>
          </w:tcPr>
          <w:p w14:paraId="11418F6E">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9.420</w:t>
            </w:r>
          </w:p>
        </w:tc>
      </w:tr>
      <w:tr w14:paraId="2F2C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val="0"/>
            <w:tcMar>
              <w:top w:w="15" w:type="dxa"/>
              <w:left w:w="15" w:type="dxa"/>
              <w:right w:w="15" w:type="dxa"/>
            </w:tcMar>
            <w:vAlign w:val="center"/>
          </w:tcPr>
          <w:p w14:paraId="33D90451">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CJQ036</w:t>
            </w:r>
          </w:p>
        </w:tc>
        <w:tc>
          <w:tcPr>
            <w:tcW w:w="927" w:type="dxa"/>
            <w:noWrap/>
            <w:tcMar>
              <w:top w:w="15" w:type="dxa"/>
              <w:left w:w="15" w:type="dxa"/>
              <w:right w:w="15" w:type="dxa"/>
            </w:tcMar>
            <w:vAlign w:val="center"/>
          </w:tcPr>
          <w:p w14:paraId="728A8006">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18</w:t>
            </w:r>
          </w:p>
        </w:tc>
        <w:tc>
          <w:tcPr>
            <w:tcW w:w="1008" w:type="dxa"/>
            <w:noWrap/>
            <w:tcMar>
              <w:top w:w="15" w:type="dxa"/>
              <w:left w:w="15" w:type="dxa"/>
              <w:right w:w="15" w:type="dxa"/>
            </w:tcMar>
            <w:vAlign w:val="center"/>
          </w:tcPr>
          <w:p w14:paraId="44D25BD5">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8.697</w:t>
            </w:r>
          </w:p>
        </w:tc>
        <w:tc>
          <w:tcPr>
            <w:tcW w:w="1008" w:type="dxa"/>
            <w:noWrap/>
            <w:tcMar>
              <w:top w:w="15" w:type="dxa"/>
              <w:left w:w="15" w:type="dxa"/>
              <w:right w:w="15" w:type="dxa"/>
            </w:tcMar>
            <w:vAlign w:val="center"/>
          </w:tcPr>
          <w:p w14:paraId="58B38729">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8.752</w:t>
            </w:r>
          </w:p>
        </w:tc>
        <w:tc>
          <w:tcPr>
            <w:tcW w:w="1051" w:type="dxa"/>
            <w:noWrap/>
            <w:tcMar>
              <w:top w:w="15" w:type="dxa"/>
              <w:left w:w="15" w:type="dxa"/>
              <w:right w:w="15" w:type="dxa"/>
            </w:tcMar>
            <w:vAlign w:val="center"/>
          </w:tcPr>
          <w:p w14:paraId="5A93190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8.725</w:t>
            </w:r>
          </w:p>
        </w:tc>
        <w:tc>
          <w:tcPr>
            <w:tcW w:w="1051" w:type="dxa"/>
            <w:noWrap/>
            <w:tcMar>
              <w:top w:w="15" w:type="dxa"/>
              <w:left w:w="15" w:type="dxa"/>
              <w:right w:w="15" w:type="dxa"/>
            </w:tcMar>
            <w:vAlign w:val="center"/>
          </w:tcPr>
          <w:p w14:paraId="7D410195">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8.650</w:t>
            </w:r>
          </w:p>
        </w:tc>
        <w:tc>
          <w:tcPr>
            <w:tcW w:w="1051" w:type="dxa"/>
            <w:noWrap/>
            <w:tcMar>
              <w:top w:w="15" w:type="dxa"/>
              <w:left w:w="15" w:type="dxa"/>
              <w:right w:w="15" w:type="dxa"/>
            </w:tcMar>
            <w:vAlign w:val="center"/>
          </w:tcPr>
          <w:p w14:paraId="3C04F5D6">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8.650</w:t>
            </w:r>
          </w:p>
        </w:tc>
        <w:tc>
          <w:tcPr>
            <w:tcW w:w="1051" w:type="dxa"/>
            <w:noWrap/>
            <w:tcMar>
              <w:top w:w="15" w:type="dxa"/>
              <w:left w:w="15" w:type="dxa"/>
              <w:right w:w="15" w:type="dxa"/>
            </w:tcMar>
            <w:vAlign w:val="center"/>
          </w:tcPr>
          <w:p w14:paraId="6378C487">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8.650</w:t>
            </w:r>
          </w:p>
        </w:tc>
      </w:tr>
      <w:tr w14:paraId="0DC2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val="0"/>
            <w:tcMar>
              <w:top w:w="15" w:type="dxa"/>
              <w:left w:w="15" w:type="dxa"/>
              <w:right w:w="15" w:type="dxa"/>
            </w:tcMar>
            <w:vAlign w:val="center"/>
          </w:tcPr>
          <w:p w14:paraId="0D3FDDE1">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CJQ039</w:t>
            </w:r>
          </w:p>
        </w:tc>
        <w:tc>
          <w:tcPr>
            <w:tcW w:w="927" w:type="dxa"/>
            <w:noWrap/>
            <w:tcMar>
              <w:top w:w="15" w:type="dxa"/>
              <w:left w:w="15" w:type="dxa"/>
              <w:right w:w="15" w:type="dxa"/>
            </w:tcMar>
            <w:vAlign w:val="center"/>
          </w:tcPr>
          <w:p w14:paraId="4FE768E9">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19</w:t>
            </w:r>
          </w:p>
        </w:tc>
        <w:tc>
          <w:tcPr>
            <w:tcW w:w="1008" w:type="dxa"/>
            <w:noWrap/>
            <w:tcMar>
              <w:top w:w="15" w:type="dxa"/>
              <w:left w:w="15" w:type="dxa"/>
              <w:right w:w="15" w:type="dxa"/>
            </w:tcMar>
            <w:vAlign w:val="center"/>
          </w:tcPr>
          <w:p w14:paraId="78C689A5">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8.717</w:t>
            </w:r>
          </w:p>
        </w:tc>
        <w:tc>
          <w:tcPr>
            <w:tcW w:w="1008" w:type="dxa"/>
            <w:noWrap/>
            <w:tcMar>
              <w:top w:w="15" w:type="dxa"/>
              <w:left w:w="15" w:type="dxa"/>
              <w:right w:w="15" w:type="dxa"/>
            </w:tcMar>
            <w:vAlign w:val="center"/>
          </w:tcPr>
          <w:p w14:paraId="2072442A">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8.767</w:t>
            </w:r>
          </w:p>
        </w:tc>
        <w:tc>
          <w:tcPr>
            <w:tcW w:w="1051" w:type="dxa"/>
            <w:noWrap/>
            <w:tcMar>
              <w:top w:w="15" w:type="dxa"/>
              <w:left w:w="15" w:type="dxa"/>
              <w:right w:w="15" w:type="dxa"/>
            </w:tcMar>
            <w:vAlign w:val="center"/>
          </w:tcPr>
          <w:p w14:paraId="212318F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8.742</w:t>
            </w:r>
          </w:p>
        </w:tc>
        <w:tc>
          <w:tcPr>
            <w:tcW w:w="1051" w:type="dxa"/>
            <w:noWrap/>
            <w:tcMar>
              <w:top w:w="15" w:type="dxa"/>
              <w:left w:w="15" w:type="dxa"/>
              <w:right w:w="15" w:type="dxa"/>
            </w:tcMar>
            <w:vAlign w:val="center"/>
          </w:tcPr>
          <w:p w14:paraId="5006DDEE">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8.630</w:t>
            </w:r>
          </w:p>
        </w:tc>
        <w:tc>
          <w:tcPr>
            <w:tcW w:w="1051" w:type="dxa"/>
            <w:noWrap/>
            <w:tcMar>
              <w:top w:w="15" w:type="dxa"/>
              <w:left w:w="15" w:type="dxa"/>
              <w:right w:w="15" w:type="dxa"/>
            </w:tcMar>
            <w:vAlign w:val="center"/>
          </w:tcPr>
          <w:p w14:paraId="48E5678F">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8.510</w:t>
            </w:r>
          </w:p>
        </w:tc>
        <w:tc>
          <w:tcPr>
            <w:tcW w:w="1051" w:type="dxa"/>
            <w:noWrap/>
            <w:tcMar>
              <w:top w:w="15" w:type="dxa"/>
              <w:left w:w="15" w:type="dxa"/>
              <w:right w:w="15" w:type="dxa"/>
            </w:tcMar>
            <w:vAlign w:val="center"/>
          </w:tcPr>
          <w:p w14:paraId="34813680">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8.570</w:t>
            </w:r>
          </w:p>
        </w:tc>
      </w:tr>
      <w:tr w14:paraId="2622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394FAD10">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CJQ047</w:t>
            </w:r>
          </w:p>
        </w:tc>
        <w:tc>
          <w:tcPr>
            <w:tcW w:w="927" w:type="dxa"/>
            <w:noWrap/>
            <w:tcMar>
              <w:top w:w="15" w:type="dxa"/>
              <w:left w:w="15" w:type="dxa"/>
              <w:right w:w="15" w:type="dxa"/>
            </w:tcMar>
            <w:vAlign w:val="center"/>
          </w:tcPr>
          <w:p w14:paraId="26C2FF5A">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20</w:t>
            </w:r>
          </w:p>
        </w:tc>
        <w:tc>
          <w:tcPr>
            <w:tcW w:w="1008" w:type="dxa"/>
            <w:noWrap/>
            <w:tcMar>
              <w:top w:w="15" w:type="dxa"/>
              <w:left w:w="15" w:type="dxa"/>
              <w:right w:w="15" w:type="dxa"/>
            </w:tcMar>
            <w:vAlign w:val="center"/>
          </w:tcPr>
          <w:p w14:paraId="321B7579">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9.346</w:t>
            </w:r>
          </w:p>
        </w:tc>
        <w:tc>
          <w:tcPr>
            <w:tcW w:w="1008" w:type="dxa"/>
            <w:noWrap/>
            <w:tcMar>
              <w:top w:w="15" w:type="dxa"/>
              <w:left w:w="15" w:type="dxa"/>
              <w:right w:w="15" w:type="dxa"/>
            </w:tcMar>
            <w:vAlign w:val="center"/>
          </w:tcPr>
          <w:p w14:paraId="3F872FC1">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9.338</w:t>
            </w:r>
          </w:p>
        </w:tc>
        <w:tc>
          <w:tcPr>
            <w:tcW w:w="1051" w:type="dxa"/>
            <w:noWrap/>
            <w:tcMar>
              <w:top w:w="15" w:type="dxa"/>
              <w:left w:w="15" w:type="dxa"/>
              <w:right w:w="15" w:type="dxa"/>
            </w:tcMar>
            <w:vAlign w:val="center"/>
          </w:tcPr>
          <w:p w14:paraId="12BE6C9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9.342</w:t>
            </w:r>
          </w:p>
        </w:tc>
        <w:tc>
          <w:tcPr>
            <w:tcW w:w="1051" w:type="dxa"/>
            <w:noWrap/>
            <w:tcMar>
              <w:top w:w="15" w:type="dxa"/>
              <w:left w:w="15" w:type="dxa"/>
              <w:right w:w="15" w:type="dxa"/>
            </w:tcMar>
            <w:vAlign w:val="center"/>
          </w:tcPr>
          <w:p w14:paraId="170A8C3F">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9.310</w:t>
            </w:r>
          </w:p>
        </w:tc>
        <w:tc>
          <w:tcPr>
            <w:tcW w:w="1051" w:type="dxa"/>
            <w:noWrap/>
            <w:tcMar>
              <w:top w:w="15" w:type="dxa"/>
              <w:left w:w="15" w:type="dxa"/>
              <w:right w:w="15" w:type="dxa"/>
            </w:tcMar>
            <w:vAlign w:val="center"/>
          </w:tcPr>
          <w:p w14:paraId="51AE8D77">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9.380</w:t>
            </w:r>
          </w:p>
        </w:tc>
        <w:tc>
          <w:tcPr>
            <w:tcW w:w="1051" w:type="dxa"/>
            <w:noWrap/>
            <w:tcMar>
              <w:top w:w="15" w:type="dxa"/>
              <w:left w:w="15" w:type="dxa"/>
              <w:right w:w="15" w:type="dxa"/>
            </w:tcMar>
            <w:vAlign w:val="center"/>
          </w:tcPr>
          <w:p w14:paraId="4C08FCB3">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9.345</w:t>
            </w:r>
          </w:p>
        </w:tc>
      </w:tr>
      <w:tr w14:paraId="3A8C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val="0"/>
            <w:tcMar>
              <w:top w:w="15" w:type="dxa"/>
              <w:left w:w="15" w:type="dxa"/>
              <w:right w:w="15" w:type="dxa"/>
            </w:tcMar>
            <w:vAlign w:val="center"/>
          </w:tcPr>
          <w:p w14:paraId="79EFD0E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FCQ950127</w:t>
            </w:r>
          </w:p>
        </w:tc>
        <w:tc>
          <w:tcPr>
            <w:tcW w:w="927" w:type="dxa"/>
            <w:noWrap/>
            <w:tcMar>
              <w:top w:w="15" w:type="dxa"/>
              <w:left w:w="15" w:type="dxa"/>
              <w:right w:w="15" w:type="dxa"/>
            </w:tcMar>
            <w:vAlign w:val="center"/>
          </w:tcPr>
          <w:p w14:paraId="5AC04C5F">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21</w:t>
            </w:r>
          </w:p>
        </w:tc>
        <w:tc>
          <w:tcPr>
            <w:tcW w:w="1008" w:type="dxa"/>
            <w:noWrap/>
            <w:tcMar>
              <w:top w:w="15" w:type="dxa"/>
              <w:left w:w="15" w:type="dxa"/>
              <w:right w:w="15" w:type="dxa"/>
            </w:tcMar>
            <w:vAlign w:val="center"/>
          </w:tcPr>
          <w:p w14:paraId="65025C34">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8.843</w:t>
            </w:r>
          </w:p>
        </w:tc>
        <w:tc>
          <w:tcPr>
            <w:tcW w:w="1008" w:type="dxa"/>
            <w:noWrap/>
            <w:tcMar>
              <w:top w:w="15" w:type="dxa"/>
              <w:left w:w="15" w:type="dxa"/>
              <w:right w:w="15" w:type="dxa"/>
            </w:tcMar>
            <w:vAlign w:val="center"/>
          </w:tcPr>
          <w:p w14:paraId="39694B24">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9.056</w:t>
            </w:r>
          </w:p>
        </w:tc>
        <w:tc>
          <w:tcPr>
            <w:tcW w:w="1051" w:type="dxa"/>
            <w:noWrap/>
            <w:tcMar>
              <w:top w:w="15" w:type="dxa"/>
              <w:left w:w="15" w:type="dxa"/>
              <w:right w:w="15" w:type="dxa"/>
            </w:tcMar>
            <w:vAlign w:val="center"/>
          </w:tcPr>
          <w:p w14:paraId="13BCDEC0">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8.949</w:t>
            </w:r>
          </w:p>
        </w:tc>
        <w:tc>
          <w:tcPr>
            <w:tcW w:w="1051" w:type="dxa"/>
            <w:noWrap/>
            <w:tcMar>
              <w:top w:w="15" w:type="dxa"/>
              <w:left w:w="15" w:type="dxa"/>
              <w:right w:w="15" w:type="dxa"/>
            </w:tcMar>
            <w:vAlign w:val="center"/>
          </w:tcPr>
          <w:p w14:paraId="258CAE25">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8.950</w:t>
            </w:r>
          </w:p>
        </w:tc>
        <w:tc>
          <w:tcPr>
            <w:tcW w:w="1051" w:type="dxa"/>
            <w:noWrap/>
            <w:tcMar>
              <w:top w:w="15" w:type="dxa"/>
              <w:left w:w="15" w:type="dxa"/>
              <w:right w:w="15" w:type="dxa"/>
            </w:tcMar>
            <w:vAlign w:val="center"/>
          </w:tcPr>
          <w:p w14:paraId="382B2701">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8.600</w:t>
            </w:r>
          </w:p>
        </w:tc>
        <w:tc>
          <w:tcPr>
            <w:tcW w:w="1051" w:type="dxa"/>
            <w:noWrap/>
            <w:tcMar>
              <w:top w:w="15" w:type="dxa"/>
              <w:left w:w="15" w:type="dxa"/>
              <w:right w:w="15" w:type="dxa"/>
            </w:tcMar>
            <w:vAlign w:val="center"/>
          </w:tcPr>
          <w:p w14:paraId="267DA849">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8.775</w:t>
            </w:r>
          </w:p>
        </w:tc>
      </w:tr>
      <w:tr w14:paraId="301B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val="0"/>
            <w:tcMar>
              <w:top w:w="15" w:type="dxa"/>
              <w:left w:w="15" w:type="dxa"/>
              <w:right w:w="15" w:type="dxa"/>
            </w:tcMar>
            <w:vAlign w:val="center"/>
          </w:tcPr>
          <w:p w14:paraId="01537326">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FCQ920127</w:t>
            </w:r>
          </w:p>
        </w:tc>
        <w:tc>
          <w:tcPr>
            <w:tcW w:w="927" w:type="dxa"/>
            <w:noWrap/>
            <w:tcMar>
              <w:top w:w="15" w:type="dxa"/>
              <w:left w:w="15" w:type="dxa"/>
              <w:right w:w="15" w:type="dxa"/>
            </w:tcMar>
            <w:vAlign w:val="center"/>
          </w:tcPr>
          <w:p w14:paraId="52417B81">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22</w:t>
            </w:r>
          </w:p>
        </w:tc>
        <w:tc>
          <w:tcPr>
            <w:tcW w:w="1008" w:type="dxa"/>
            <w:noWrap/>
            <w:tcMar>
              <w:top w:w="15" w:type="dxa"/>
              <w:left w:w="15" w:type="dxa"/>
              <w:right w:w="15" w:type="dxa"/>
            </w:tcMar>
            <w:vAlign w:val="center"/>
          </w:tcPr>
          <w:p w14:paraId="08C488D1">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8.705</w:t>
            </w:r>
          </w:p>
        </w:tc>
        <w:tc>
          <w:tcPr>
            <w:tcW w:w="1008" w:type="dxa"/>
            <w:noWrap/>
            <w:tcMar>
              <w:top w:w="15" w:type="dxa"/>
              <w:left w:w="15" w:type="dxa"/>
              <w:right w:w="15" w:type="dxa"/>
            </w:tcMar>
            <w:vAlign w:val="center"/>
          </w:tcPr>
          <w:p w14:paraId="6C30B944">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8.671</w:t>
            </w:r>
          </w:p>
        </w:tc>
        <w:tc>
          <w:tcPr>
            <w:tcW w:w="1051" w:type="dxa"/>
            <w:noWrap/>
            <w:tcMar>
              <w:top w:w="15" w:type="dxa"/>
              <w:left w:w="15" w:type="dxa"/>
              <w:right w:w="15" w:type="dxa"/>
            </w:tcMar>
            <w:vAlign w:val="center"/>
          </w:tcPr>
          <w:p w14:paraId="61120559">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8.688</w:t>
            </w:r>
          </w:p>
        </w:tc>
        <w:tc>
          <w:tcPr>
            <w:tcW w:w="1051" w:type="dxa"/>
            <w:noWrap/>
            <w:tcMar>
              <w:top w:w="15" w:type="dxa"/>
              <w:left w:w="15" w:type="dxa"/>
              <w:right w:w="15" w:type="dxa"/>
            </w:tcMar>
            <w:vAlign w:val="center"/>
          </w:tcPr>
          <w:p w14:paraId="0485AE31">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8.600</w:t>
            </w:r>
          </w:p>
        </w:tc>
        <w:tc>
          <w:tcPr>
            <w:tcW w:w="1051" w:type="dxa"/>
            <w:noWrap/>
            <w:tcMar>
              <w:top w:w="15" w:type="dxa"/>
              <w:left w:w="15" w:type="dxa"/>
              <w:right w:w="15" w:type="dxa"/>
            </w:tcMar>
            <w:vAlign w:val="center"/>
          </w:tcPr>
          <w:p w14:paraId="23CE0979">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8.600</w:t>
            </w:r>
          </w:p>
        </w:tc>
        <w:tc>
          <w:tcPr>
            <w:tcW w:w="1051" w:type="dxa"/>
            <w:noWrap/>
            <w:tcMar>
              <w:top w:w="15" w:type="dxa"/>
              <w:left w:w="15" w:type="dxa"/>
              <w:right w:w="15" w:type="dxa"/>
            </w:tcMar>
            <w:vAlign w:val="center"/>
          </w:tcPr>
          <w:p w14:paraId="36ABE3ED">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8.600</w:t>
            </w:r>
          </w:p>
        </w:tc>
      </w:tr>
      <w:tr w14:paraId="72DB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val="0"/>
            <w:tcMar>
              <w:top w:w="15" w:type="dxa"/>
              <w:left w:w="15" w:type="dxa"/>
              <w:right w:w="15" w:type="dxa"/>
            </w:tcMar>
            <w:vAlign w:val="center"/>
          </w:tcPr>
          <w:p w14:paraId="764FBF37">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FCQ920126</w:t>
            </w:r>
          </w:p>
        </w:tc>
        <w:tc>
          <w:tcPr>
            <w:tcW w:w="927" w:type="dxa"/>
            <w:noWrap/>
            <w:tcMar>
              <w:top w:w="15" w:type="dxa"/>
              <w:left w:w="15" w:type="dxa"/>
              <w:right w:w="15" w:type="dxa"/>
            </w:tcMar>
            <w:vAlign w:val="center"/>
          </w:tcPr>
          <w:p w14:paraId="528D7AE7">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23</w:t>
            </w:r>
          </w:p>
        </w:tc>
        <w:tc>
          <w:tcPr>
            <w:tcW w:w="1008" w:type="dxa"/>
            <w:noWrap/>
            <w:tcMar>
              <w:top w:w="15" w:type="dxa"/>
              <w:left w:w="15" w:type="dxa"/>
              <w:right w:w="15" w:type="dxa"/>
            </w:tcMar>
            <w:vAlign w:val="center"/>
          </w:tcPr>
          <w:p w14:paraId="74ABEAC7">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9.244</w:t>
            </w:r>
          </w:p>
        </w:tc>
        <w:tc>
          <w:tcPr>
            <w:tcW w:w="1008" w:type="dxa"/>
            <w:noWrap/>
            <w:tcMar>
              <w:top w:w="15" w:type="dxa"/>
              <w:left w:w="15" w:type="dxa"/>
              <w:right w:w="15" w:type="dxa"/>
            </w:tcMar>
            <w:vAlign w:val="center"/>
          </w:tcPr>
          <w:p w14:paraId="6D0E0F95">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9.226</w:t>
            </w:r>
          </w:p>
        </w:tc>
        <w:tc>
          <w:tcPr>
            <w:tcW w:w="1051" w:type="dxa"/>
            <w:noWrap/>
            <w:tcMar>
              <w:top w:w="15" w:type="dxa"/>
              <w:left w:w="15" w:type="dxa"/>
              <w:right w:w="15" w:type="dxa"/>
            </w:tcMar>
            <w:vAlign w:val="center"/>
          </w:tcPr>
          <w:p w14:paraId="69E1E0E1">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9.235</w:t>
            </w:r>
          </w:p>
        </w:tc>
        <w:tc>
          <w:tcPr>
            <w:tcW w:w="1051" w:type="dxa"/>
            <w:noWrap/>
            <w:tcMar>
              <w:top w:w="15" w:type="dxa"/>
              <w:left w:w="15" w:type="dxa"/>
              <w:right w:w="15" w:type="dxa"/>
            </w:tcMar>
            <w:vAlign w:val="center"/>
          </w:tcPr>
          <w:p w14:paraId="4C9D96A3">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9.340</w:t>
            </w:r>
          </w:p>
        </w:tc>
        <w:tc>
          <w:tcPr>
            <w:tcW w:w="1051" w:type="dxa"/>
            <w:noWrap/>
            <w:tcMar>
              <w:top w:w="15" w:type="dxa"/>
              <w:left w:w="15" w:type="dxa"/>
              <w:right w:w="15" w:type="dxa"/>
            </w:tcMar>
            <w:vAlign w:val="center"/>
          </w:tcPr>
          <w:p w14:paraId="6B67D7BB">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9.530</w:t>
            </w:r>
          </w:p>
        </w:tc>
        <w:tc>
          <w:tcPr>
            <w:tcW w:w="1051" w:type="dxa"/>
            <w:noWrap/>
            <w:tcMar>
              <w:top w:w="15" w:type="dxa"/>
              <w:left w:w="15" w:type="dxa"/>
              <w:right w:w="15" w:type="dxa"/>
            </w:tcMar>
            <w:vAlign w:val="center"/>
          </w:tcPr>
          <w:p w14:paraId="2EF6BA6B">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9.435</w:t>
            </w:r>
          </w:p>
        </w:tc>
      </w:tr>
      <w:tr w14:paraId="7F57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6C544767">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13~15-1</w:t>
            </w:r>
          </w:p>
        </w:tc>
        <w:tc>
          <w:tcPr>
            <w:tcW w:w="927" w:type="dxa"/>
            <w:noWrap/>
            <w:tcMar>
              <w:top w:w="15" w:type="dxa"/>
              <w:left w:w="15" w:type="dxa"/>
              <w:right w:w="15" w:type="dxa"/>
            </w:tcMar>
            <w:vAlign w:val="center"/>
          </w:tcPr>
          <w:p w14:paraId="0D2D976C">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24</w:t>
            </w:r>
          </w:p>
        </w:tc>
        <w:tc>
          <w:tcPr>
            <w:tcW w:w="1008" w:type="dxa"/>
            <w:noWrap/>
            <w:tcMar>
              <w:top w:w="15" w:type="dxa"/>
              <w:left w:w="15" w:type="dxa"/>
              <w:right w:w="15" w:type="dxa"/>
            </w:tcMar>
            <w:vAlign w:val="center"/>
          </w:tcPr>
          <w:p w14:paraId="1B5E59A8">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13.100</w:t>
            </w:r>
          </w:p>
        </w:tc>
        <w:tc>
          <w:tcPr>
            <w:tcW w:w="1008" w:type="dxa"/>
            <w:noWrap/>
            <w:tcMar>
              <w:top w:w="15" w:type="dxa"/>
              <w:left w:w="15" w:type="dxa"/>
              <w:right w:w="15" w:type="dxa"/>
            </w:tcMar>
            <w:vAlign w:val="center"/>
          </w:tcPr>
          <w:p w14:paraId="4246F269">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13.128</w:t>
            </w:r>
          </w:p>
        </w:tc>
        <w:tc>
          <w:tcPr>
            <w:tcW w:w="1051" w:type="dxa"/>
            <w:noWrap/>
            <w:tcMar>
              <w:top w:w="15" w:type="dxa"/>
              <w:left w:w="15" w:type="dxa"/>
              <w:right w:w="15" w:type="dxa"/>
            </w:tcMar>
            <w:vAlign w:val="center"/>
          </w:tcPr>
          <w:p w14:paraId="6CC13125">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13.114</w:t>
            </w:r>
          </w:p>
        </w:tc>
        <w:tc>
          <w:tcPr>
            <w:tcW w:w="1051" w:type="dxa"/>
            <w:noWrap/>
            <w:tcMar>
              <w:top w:w="15" w:type="dxa"/>
              <w:left w:w="15" w:type="dxa"/>
              <w:right w:w="15" w:type="dxa"/>
            </w:tcMar>
            <w:vAlign w:val="center"/>
          </w:tcPr>
          <w:p w14:paraId="3CE1D4D8">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13.180</w:t>
            </w:r>
          </w:p>
        </w:tc>
        <w:tc>
          <w:tcPr>
            <w:tcW w:w="1051" w:type="dxa"/>
            <w:noWrap/>
            <w:tcMar>
              <w:top w:w="15" w:type="dxa"/>
              <w:left w:w="15" w:type="dxa"/>
              <w:right w:w="15" w:type="dxa"/>
            </w:tcMar>
            <w:vAlign w:val="center"/>
          </w:tcPr>
          <w:p w14:paraId="5D727191">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13.250</w:t>
            </w:r>
          </w:p>
        </w:tc>
        <w:tc>
          <w:tcPr>
            <w:tcW w:w="1051" w:type="dxa"/>
            <w:noWrap/>
            <w:tcMar>
              <w:top w:w="15" w:type="dxa"/>
              <w:left w:w="15" w:type="dxa"/>
              <w:right w:w="15" w:type="dxa"/>
            </w:tcMar>
            <w:vAlign w:val="center"/>
          </w:tcPr>
          <w:p w14:paraId="17E0E3AB">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13.215</w:t>
            </w:r>
          </w:p>
        </w:tc>
      </w:tr>
      <w:tr w14:paraId="2204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7B4FC238">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13~15-2</w:t>
            </w:r>
          </w:p>
        </w:tc>
        <w:tc>
          <w:tcPr>
            <w:tcW w:w="927" w:type="dxa"/>
            <w:noWrap/>
            <w:tcMar>
              <w:top w:w="15" w:type="dxa"/>
              <w:left w:w="15" w:type="dxa"/>
              <w:right w:w="15" w:type="dxa"/>
            </w:tcMar>
            <w:vAlign w:val="center"/>
          </w:tcPr>
          <w:p w14:paraId="1E479006">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25</w:t>
            </w:r>
          </w:p>
        </w:tc>
        <w:tc>
          <w:tcPr>
            <w:tcW w:w="1008" w:type="dxa"/>
            <w:noWrap/>
            <w:tcMar>
              <w:top w:w="15" w:type="dxa"/>
              <w:left w:w="15" w:type="dxa"/>
              <w:right w:w="15" w:type="dxa"/>
            </w:tcMar>
            <w:vAlign w:val="center"/>
          </w:tcPr>
          <w:p w14:paraId="4C72119E">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13.317</w:t>
            </w:r>
          </w:p>
        </w:tc>
        <w:tc>
          <w:tcPr>
            <w:tcW w:w="1008" w:type="dxa"/>
            <w:noWrap/>
            <w:tcMar>
              <w:top w:w="15" w:type="dxa"/>
              <w:left w:w="15" w:type="dxa"/>
              <w:right w:w="15" w:type="dxa"/>
            </w:tcMar>
            <w:vAlign w:val="center"/>
          </w:tcPr>
          <w:p w14:paraId="28943E76">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13.153</w:t>
            </w:r>
          </w:p>
        </w:tc>
        <w:tc>
          <w:tcPr>
            <w:tcW w:w="1051" w:type="dxa"/>
            <w:noWrap/>
            <w:tcMar>
              <w:top w:w="15" w:type="dxa"/>
              <w:left w:w="15" w:type="dxa"/>
              <w:right w:w="15" w:type="dxa"/>
            </w:tcMar>
            <w:vAlign w:val="center"/>
          </w:tcPr>
          <w:p w14:paraId="21804A2A">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13.235</w:t>
            </w:r>
          </w:p>
        </w:tc>
        <w:tc>
          <w:tcPr>
            <w:tcW w:w="1051" w:type="dxa"/>
            <w:noWrap/>
            <w:tcMar>
              <w:top w:w="15" w:type="dxa"/>
              <w:left w:w="15" w:type="dxa"/>
              <w:right w:w="15" w:type="dxa"/>
            </w:tcMar>
            <w:vAlign w:val="center"/>
          </w:tcPr>
          <w:p w14:paraId="2594EED6">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13.510</w:t>
            </w:r>
          </w:p>
        </w:tc>
        <w:tc>
          <w:tcPr>
            <w:tcW w:w="1051" w:type="dxa"/>
            <w:noWrap/>
            <w:tcMar>
              <w:top w:w="15" w:type="dxa"/>
              <w:left w:w="15" w:type="dxa"/>
              <w:right w:w="15" w:type="dxa"/>
            </w:tcMar>
            <w:vAlign w:val="center"/>
          </w:tcPr>
          <w:p w14:paraId="17894413">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13.220</w:t>
            </w:r>
          </w:p>
        </w:tc>
        <w:tc>
          <w:tcPr>
            <w:tcW w:w="1051" w:type="dxa"/>
            <w:noWrap/>
            <w:tcMar>
              <w:top w:w="15" w:type="dxa"/>
              <w:left w:w="15" w:type="dxa"/>
              <w:right w:w="15" w:type="dxa"/>
            </w:tcMar>
            <w:vAlign w:val="center"/>
          </w:tcPr>
          <w:p w14:paraId="04767B77">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13.365</w:t>
            </w:r>
          </w:p>
        </w:tc>
      </w:tr>
      <w:tr w14:paraId="0C50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7B39B678">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13~15-3</w:t>
            </w:r>
          </w:p>
        </w:tc>
        <w:tc>
          <w:tcPr>
            <w:tcW w:w="927" w:type="dxa"/>
            <w:noWrap/>
            <w:tcMar>
              <w:top w:w="15" w:type="dxa"/>
              <w:left w:w="15" w:type="dxa"/>
              <w:right w:w="15" w:type="dxa"/>
            </w:tcMar>
            <w:vAlign w:val="center"/>
          </w:tcPr>
          <w:p w14:paraId="220DF03C">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26</w:t>
            </w:r>
          </w:p>
        </w:tc>
        <w:tc>
          <w:tcPr>
            <w:tcW w:w="1008" w:type="dxa"/>
            <w:noWrap/>
            <w:tcMar>
              <w:top w:w="15" w:type="dxa"/>
              <w:left w:w="15" w:type="dxa"/>
              <w:right w:w="15" w:type="dxa"/>
            </w:tcMar>
            <w:vAlign w:val="center"/>
          </w:tcPr>
          <w:p w14:paraId="429D8095">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13.146</w:t>
            </w:r>
          </w:p>
        </w:tc>
        <w:tc>
          <w:tcPr>
            <w:tcW w:w="1008" w:type="dxa"/>
            <w:noWrap/>
            <w:tcMar>
              <w:top w:w="15" w:type="dxa"/>
              <w:left w:w="15" w:type="dxa"/>
              <w:right w:w="15" w:type="dxa"/>
            </w:tcMar>
            <w:vAlign w:val="center"/>
          </w:tcPr>
          <w:p w14:paraId="4B8BDD50">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13.088</w:t>
            </w:r>
          </w:p>
        </w:tc>
        <w:tc>
          <w:tcPr>
            <w:tcW w:w="1051" w:type="dxa"/>
            <w:noWrap/>
            <w:tcMar>
              <w:top w:w="15" w:type="dxa"/>
              <w:left w:w="15" w:type="dxa"/>
              <w:right w:w="15" w:type="dxa"/>
            </w:tcMar>
            <w:vAlign w:val="center"/>
          </w:tcPr>
          <w:p w14:paraId="789CDB7C">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13.117</w:t>
            </w:r>
          </w:p>
        </w:tc>
        <w:tc>
          <w:tcPr>
            <w:tcW w:w="1051" w:type="dxa"/>
            <w:noWrap/>
            <w:tcMar>
              <w:top w:w="15" w:type="dxa"/>
              <w:left w:w="15" w:type="dxa"/>
              <w:right w:w="15" w:type="dxa"/>
            </w:tcMar>
            <w:vAlign w:val="center"/>
          </w:tcPr>
          <w:p w14:paraId="6A90D57B">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13.280</w:t>
            </w:r>
          </w:p>
        </w:tc>
        <w:tc>
          <w:tcPr>
            <w:tcW w:w="1051" w:type="dxa"/>
            <w:noWrap/>
            <w:tcMar>
              <w:top w:w="15" w:type="dxa"/>
              <w:left w:w="15" w:type="dxa"/>
              <w:right w:w="15" w:type="dxa"/>
            </w:tcMar>
            <w:vAlign w:val="center"/>
          </w:tcPr>
          <w:p w14:paraId="1A62C7D7">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13.610</w:t>
            </w:r>
          </w:p>
        </w:tc>
        <w:tc>
          <w:tcPr>
            <w:tcW w:w="1051" w:type="dxa"/>
            <w:noWrap/>
            <w:tcMar>
              <w:top w:w="15" w:type="dxa"/>
              <w:left w:w="15" w:type="dxa"/>
              <w:right w:w="15" w:type="dxa"/>
            </w:tcMar>
            <w:vAlign w:val="center"/>
          </w:tcPr>
          <w:p w14:paraId="368DC489">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13.445</w:t>
            </w:r>
          </w:p>
        </w:tc>
      </w:tr>
      <w:tr w14:paraId="155B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9" w:type="dxa"/>
            <w:noWrap/>
            <w:tcMar>
              <w:top w:w="15" w:type="dxa"/>
              <w:left w:w="15" w:type="dxa"/>
              <w:right w:w="15" w:type="dxa"/>
            </w:tcMar>
            <w:vAlign w:val="center"/>
          </w:tcPr>
          <w:p w14:paraId="0E9FA352">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13~15-4</w:t>
            </w:r>
          </w:p>
        </w:tc>
        <w:tc>
          <w:tcPr>
            <w:tcW w:w="927" w:type="dxa"/>
            <w:noWrap/>
            <w:tcMar>
              <w:top w:w="15" w:type="dxa"/>
              <w:left w:w="15" w:type="dxa"/>
              <w:right w:w="15" w:type="dxa"/>
            </w:tcMar>
            <w:vAlign w:val="center"/>
          </w:tcPr>
          <w:p w14:paraId="3FA82302">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27</w:t>
            </w:r>
          </w:p>
        </w:tc>
        <w:tc>
          <w:tcPr>
            <w:tcW w:w="1008" w:type="dxa"/>
            <w:noWrap/>
            <w:tcMar>
              <w:top w:w="15" w:type="dxa"/>
              <w:left w:w="15" w:type="dxa"/>
              <w:right w:w="15" w:type="dxa"/>
            </w:tcMar>
            <w:vAlign w:val="center"/>
          </w:tcPr>
          <w:p w14:paraId="226728ED">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13.421</w:t>
            </w:r>
          </w:p>
        </w:tc>
        <w:tc>
          <w:tcPr>
            <w:tcW w:w="1008" w:type="dxa"/>
            <w:noWrap/>
            <w:tcMar>
              <w:top w:w="15" w:type="dxa"/>
              <w:left w:w="15" w:type="dxa"/>
              <w:right w:w="15" w:type="dxa"/>
            </w:tcMar>
            <w:vAlign w:val="center"/>
          </w:tcPr>
          <w:p w14:paraId="1D2AA4B6">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13.382</w:t>
            </w:r>
          </w:p>
        </w:tc>
        <w:tc>
          <w:tcPr>
            <w:tcW w:w="1051" w:type="dxa"/>
            <w:noWrap/>
            <w:tcMar>
              <w:top w:w="15" w:type="dxa"/>
              <w:left w:w="15" w:type="dxa"/>
              <w:right w:w="15" w:type="dxa"/>
            </w:tcMar>
            <w:vAlign w:val="center"/>
          </w:tcPr>
          <w:p w14:paraId="686F6D71">
            <w:pPr>
              <w:keepNext w:val="0"/>
              <w:keepLines w:val="0"/>
              <w:widowControl/>
              <w:suppressLineNumbers w:val="0"/>
              <w:spacing w:before="0" w:beforeAutospacing="0" w:after="0" w:afterAutospacing="0"/>
              <w:ind w:left="0" w:right="0"/>
              <w:jc w:val="center"/>
              <w:textAlignment w:val="center"/>
              <w:rPr>
                <w:rFonts w:hint="default"/>
                <w:color w:val="000000"/>
                <w:sz w:val="22"/>
              </w:rPr>
            </w:pPr>
            <w:r>
              <w:rPr>
                <w:rFonts w:hint="default"/>
                <w:color w:val="000000"/>
                <w:kern w:val="0"/>
                <w:sz w:val="22"/>
                <w:lang w:bidi="ar"/>
              </w:rPr>
              <w:t>13.401</w:t>
            </w:r>
          </w:p>
        </w:tc>
        <w:tc>
          <w:tcPr>
            <w:tcW w:w="1051" w:type="dxa"/>
            <w:noWrap/>
            <w:tcMar>
              <w:top w:w="15" w:type="dxa"/>
              <w:left w:w="15" w:type="dxa"/>
              <w:right w:w="15" w:type="dxa"/>
            </w:tcMar>
            <w:vAlign w:val="center"/>
          </w:tcPr>
          <w:p w14:paraId="44F81982">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13.410</w:t>
            </w:r>
          </w:p>
        </w:tc>
        <w:tc>
          <w:tcPr>
            <w:tcW w:w="1051" w:type="dxa"/>
            <w:noWrap/>
            <w:tcMar>
              <w:top w:w="15" w:type="dxa"/>
              <w:left w:w="15" w:type="dxa"/>
              <w:right w:w="15" w:type="dxa"/>
            </w:tcMar>
            <w:vAlign w:val="center"/>
          </w:tcPr>
          <w:p w14:paraId="5A7F338B">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13.220</w:t>
            </w:r>
          </w:p>
        </w:tc>
        <w:tc>
          <w:tcPr>
            <w:tcW w:w="1051" w:type="dxa"/>
            <w:noWrap/>
            <w:tcMar>
              <w:top w:w="15" w:type="dxa"/>
              <w:left w:w="15" w:type="dxa"/>
              <w:right w:w="15" w:type="dxa"/>
            </w:tcMar>
            <w:vAlign w:val="center"/>
          </w:tcPr>
          <w:p w14:paraId="6DC50B8C">
            <w:pPr>
              <w:keepNext w:val="0"/>
              <w:keepLines w:val="0"/>
              <w:widowControl/>
              <w:suppressLineNumbers w:val="0"/>
              <w:spacing w:before="0" w:beforeAutospacing="0" w:after="0" w:afterAutospacing="0"/>
              <w:ind w:left="0" w:right="0"/>
              <w:jc w:val="center"/>
              <w:textAlignment w:val="center"/>
              <w:rPr>
                <w:rFonts w:hint="default"/>
                <w:color w:val="000000"/>
                <w:kern w:val="0"/>
                <w:sz w:val="22"/>
                <w:lang w:bidi="ar"/>
              </w:rPr>
            </w:pPr>
            <w:r>
              <w:rPr>
                <w:rFonts w:hint="default"/>
                <w:color w:val="000000"/>
                <w:kern w:val="0"/>
                <w:sz w:val="22"/>
                <w:lang w:bidi="ar"/>
              </w:rPr>
              <w:t>13.315</w:t>
            </w:r>
          </w:p>
        </w:tc>
      </w:tr>
    </w:tbl>
    <w:p w14:paraId="40CCEE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r>
        <w:rPr>
          <w:rFonts w:hint="eastAsia"/>
          <w:sz w:val="24"/>
          <w:szCs w:val="24"/>
        </w:rPr>
        <w:t>数据作图</w:t>
      </w:r>
    </w:p>
    <w:p w14:paraId="4BAF77C7">
      <w:pPr>
        <w:spacing w:line="360" w:lineRule="auto"/>
        <w:ind w:firstLine="480" w:firstLineChars="200"/>
        <w:jc w:val="left"/>
        <w:rPr>
          <w:rFonts w:hint="eastAsia"/>
          <w:sz w:val="28"/>
          <w:szCs w:val="36"/>
        </w:rPr>
      </w:pPr>
      <w:r>
        <w:rPr>
          <w:rFonts w:hint="eastAsia"/>
          <w:sz w:val="24"/>
          <w:szCs w:val="24"/>
        </w:rPr>
        <w:t>使用</w:t>
      </w:r>
      <w:r>
        <w:rPr>
          <w:rFonts w:hint="eastAsia"/>
          <w:sz w:val="24"/>
          <w:szCs w:val="24"/>
          <w:lang w:eastAsia="zh-CN"/>
        </w:rPr>
        <w:t>表</w:t>
      </w:r>
      <w:r>
        <w:rPr>
          <w:rFonts w:hint="eastAsia"/>
          <w:sz w:val="24"/>
          <w:szCs w:val="24"/>
          <w:lang w:val="en-US" w:eastAsia="zh-CN"/>
        </w:rPr>
        <w:t>十</w:t>
      </w:r>
      <w:r>
        <w:rPr>
          <w:rFonts w:hint="eastAsia"/>
          <w:sz w:val="24"/>
          <w:szCs w:val="24"/>
        </w:rPr>
        <w:t>中数据，Y</w:t>
      </w:r>
      <w:r>
        <w:rPr>
          <w:rFonts w:hint="eastAsia"/>
          <w:sz w:val="24"/>
          <w:szCs w:val="24"/>
          <w:vertAlign w:val="subscript"/>
        </w:rPr>
        <w:t>i</w:t>
      </w:r>
      <w:r>
        <w:rPr>
          <w:rFonts w:hint="eastAsia"/>
          <w:sz w:val="24"/>
          <w:szCs w:val="24"/>
        </w:rPr>
        <w:t>对X</w:t>
      </w:r>
      <w:r>
        <w:rPr>
          <w:rFonts w:hint="eastAsia"/>
          <w:sz w:val="24"/>
          <w:szCs w:val="24"/>
          <w:vertAlign w:val="subscript"/>
        </w:rPr>
        <w:t>i</w:t>
      </w:r>
      <w:r>
        <w:rPr>
          <w:rFonts w:hint="eastAsia"/>
          <w:sz w:val="24"/>
          <w:szCs w:val="24"/>
        </w:rPr>
        <w:t>作图如图</w:t>
      </w:r>
      <w:r>
        <w:rPr>
          <w:rFonts w:hint="eastAsia"/>
          <w:sz w:val="24"/>
          <w:szCs w:val="24"/>
          <w:lang w:val="en-US" w:eastAsia="zh-CN"/>
        </w:rPr>
        <w:t>五</w:t>
      </w:r>
      <w:r>
        <w:rPr>
          <w:rFonts w:hint="eastAsia"/>
          <w:sz w:val="24"/>
          <w:szCs w:val="24"/>
        </w:rPr>
        <w:t>。</w:t>
      </w:r>
    </w:p>
    <w:p w14:paraId="23CA1C4D">
      <w:pPr>
        <w:jc w:val="center"/>
      </w:pPr>
      <w:r>
        <w:drawing>
          <wp:inline distT="0" distB="0" distL="114300" distR="114300">
            <wp:extent cx="2947670" cy="1482725"/>
            <wp:effectExtent l="0" t="0" r="8890" b="10795"/>
            <wp:docPr id="13" name="图片 18"/>
            <wp:cNvGraphicFramePr/>
            <a:graphic xmlns:a="http://schemas.openxmlformats.org/drawingml/2006/main">
              <a:graphicData uri="http://schemas.openxmlformats.org/drawingml/2006/picture">
                <pic:pic xmlns:pic="http://schemas.openxmlformats.org/drawingml/2006/picture">
                  <pic:nvPicPr>
                    <pic:cNvPr id="13" name="图片 18"/>
                    <pic:cNvPicPr/>
                  </pic:nvPicPr>
                  <pic:blipFill>
                    <a:blip r:embed="rId13"/>
                    <a:srcRect l="1871" t="11920" r="1430" b="3232"/>
                    <a:stretch>
                      <a:fillRect/>
                    </a:stretch>
                  </pic:blipFill>
                  <pic:spPr>
                    <a:xfrm>
                      <a:off x="0" y="0"/>
                      <a:ext cx="2947670" cy="1482725"/>
                    </a:xfrm>
                    <a:prstGeom prst="rect">
                      <a:avLst/>
                    </a:prstGeom>
                    <a:noFill/>
                    <a:ln>
                      <a:noFill/>
                    </a:ln>
                  </pic:spPr>
                </pic:pic>
              </a:graphicData>
            </a:graphic>
          </wp:inline>
        </w:drawing>
      </w:r>
    </w:p>
    <w:p w14:paraId="7CF01D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lang w:val="en-US" w:eastAsia="zh-CN"/>
        </w:rPr>
      </w:pPr>
      <w:r>
        <w:rPr>
          <w:rFonts w:hint="eastAsia"/>
          <w:lang w:val="en-US" w:eastAsia="zh-CN"/>
        </w:rPr>
        <w:t>图五  Yi对Xi作图</w:t>
      </w:r>
    </w:p>
    <w:p w14:paraId="236F0ED9">
      <w:pPr>
        <w:spacing w:line="360" w:lineRule="auto"/>
        <w:ind w:firstLine="480" w:firstLineChars="200"/>
        <w:jc w:val="left"/>
        <w:rPr>
          <w:rFonts w:hint="eastAsia"/>
          <w:sz w:val="24"/>
          <w:szCs w:val="24"/>
        </w:rPr>
      </w:pPr>
      <w:r>
        <w:rPr>
          <w:sz w:val="24"/>
          <w:szCs w:val="24"/>
        </w:rPr>
        <w:t>Y</w:t>
      </w:r>
      <w:r>
        <w:rPr>
          <w:sz w:val="24"/>
          <w:szCs w:val="24"/>
          <w:vertAlign w:val="subscript"/>
        </w:rPr>
        <w:t>ij</w:t>
      </w:r>
      <w:r>
        <w:rPr>
          <w:sz w:val="24"/>
          <w:szCs w:val="24"/>
        </w:rPr>
        <w:t>对X</w:t>
      </w:r>
      <w:r>
        <w:rPr>
          <w:sz w:val="24"/>
          <w:szCs w:val="24"/>
          <w:vertAlign w:val="subscript"/>
        </w:rPr>
        <w:t>i</w:t>
      </w:r>
      <w:r>
        <w:rPr>
          <w:sz w:val="24"/>
          <w:szCs w:val="24"/>
        </w:rPr>
        <w:t>作图</w:t>
      </w:r>
      <w:r>
        <w:rPr>
          <w:rFonts w:hint="eastAsia"/>
          <w:sz w:val="24"/>
          <w:szCs w:val="24"/>
        </w:rPr>
        <w:t>如图</w:t>
      </w:r>
      <w:r>
        <w:rPr>
          <w:rFonts w:hint="eastAsia"/>
          <w:sz w:val="24"/>
          <w:szCs w:val="24"/>
          <w:lang w:val="en-US" w:eastAsia="zh-CN"/>
        </w:rPr>
        <w:t>六</w:t>
      </w:r>
      <w:r>
        <w:rPr>
          <w:rFonts w:hint="eastAsia"/>
          <w:sz w:val="24"/>
          <w:szCs w:val="24"/>
        </w:rPr>
        <w:t>。</w:t>
      </w:r>
    </w:p>
    <w:p w14:paraId="1F589428">
      <w:pPr>
        <w:ind w:firstLine="420" w:firstLineChars="200"/>
        <w:jc w:val="center"/>
      </w:pPr>
      <w:r>
        <w:drawing>
          <wp:inline distT="0" distB="0" distL="114300" distR="114300">
            <wp:extent cx="3098165" cy="1504950"/>
            <wp:effectExtent l="0" t="0" r="10795" b="3810"/>
            <wp:docPr id="17" name="图片 19"/>
            <wp:cNvGraphicFramePr/>
            <a:graphic xmlns:a="http://schemas.openxmlformats.org/drawingml/2006/main">
              <a:graphicData uri="http://schemas.openxmlformats.org/drawingml/2006/picture">
                <pic:pic xmlns:pic="http://schemas.openxmlformats.org/drawingml/2006/picture">
                  <pic:nvPicPr>
                    <pic:cNvPr id="17" name="图片 19"/>
                    <pic:cNvPicPr/>
                  </pic:nvPicPr>
                  <pic:blipFill>
                    <a:blip r:embed="rId14"/>
                    <a:srcRect l="1109" t="11891" r="798" b="10866"/>
                    <a:stretch>
                      <a:fillRect/>
                    </a:stretch>
                  </pic:blipFill>
                  <pic:spPr>
                    <a:xfrm>
                      <a:off x="0" y="0"/>
                      <a:ext cx="3098165" cy="1504950"/>
                    </a:xfrm>
                    <a:prstGeom prst="rect">
                      <a:avLst/>
                    </a:prstGeom>
                    <a:noFill/>
                    <a:ln>
                      <a:noFill/>
                    </a:ln>
                  </pic:spPr>
                </pic:pic>
              </a:graphicData>
            </a:graphic>
          </wp:inline>
        </w:drawing>
      </w:r>
    </w:p>
    <w:p w14:paraId="4C506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lang w:val="en-US" w:eastAsia="zh-CN"/>
        </w:rPr>
      </w:pPr>
      <w:r>
        <w:rPr>
          <w:rFonts w:hint="eastAsia"/>
          <w:lang w:val="en-US" w:eastAsia="zh-CN"/>
        </w:rPr>
        <w:t>图六  Yij对Xi作图</w:t>
      </w:r>
    </w:p>
    <w:p w14:paraId="0CCFE88E">
      <w:pPr>
        <w:spacing w:line="360" w:lineRule="auto"/>
        <w:ind w:firstLine="480" w:firstLineChars="200"/>
        <w:jc w:val="left"/>
        <w:rPr>
          <w:rFonts w:hint="eastAsia"/>
          <w:sz w:val="24"/>
          <w:szCs w:val="24"/>
        </w:rPr>
      </w:pPr>
      <w:r>
        <w:rPr>
          <w:rFonts w:hint="eastAsia"/>
          <w:sz w:val="24"/>
          <w:szCs w:val="24"/>
        </w:rPr>
        <w:t>由图一，图二可以看出各检测结果线性较好，目测没有出现离群数据。</w:t>
      </w:r>
    </w:p>
    <w:p w14:paraId="55F936CA">
      <w:pPr>
        <w:spacing w:line="360" w:lineRule="auto"/>
        <w:ind w:firstLine="480" w:firstLineChars="200"/>
        <w:jc w:val="left"/>
        <w:rPr>
          <w:rFonts w:hint="eastAsia"/>
          <w:sz w:val="24"/>
          <w:szCs w:val="24"/>
        </w:rPr>
      </w:pPr>
      <w:r>
        <w:rPr>
          <w:rFonts w:hint="eastAsia"/>
          <w:sz w:val="24"/>
          <w:szCs w:val="24"/>
        </w:rPr>
        <w:t>（</w:t>
      </w:r>
      <w:r>
        <w:rPr>
          <w:sz w:val="24"/>
          <w:szCs w:val="24"/>
        </w:rPr>
        <w:t>Yi-Xi</w:t>
      </w:r>
      <w:r>
        <w:rPr>
          <w:rFonts w:hint="eastAsia"/>
          <w:sz w:val="24"/>
          <w:szCs w:val="24"/>
        </w:rPr>
        <w:t>）</w:t>
      </w:r>
      <w:r>
        <w:rPr>
          <w:sz w:val="24"/>
          <w:szCs w:val="24"/>
        </w:rPr>
        <w:t>相对于Xi的偏倚图</w:t>
      </w:r>
      <w:r>
        <w:rPr>
          <w:rFonts w:hint="eastAsia"/>
          <w:sz w:val="24"/>
          <w:szCs w:val="24"/>
        </w:rPr>
        <w:t>如图</w:t>
      </w:r>
      <w:r>
        <w:rPr>
          <w:rFonts w:hint="eastAsia"/>
          <w:sz w:val="24"/>
          <w:szCs w:val="24"/>
          <w:lang w:val="en-US" w:eastAsia="zh-CN"/>
        </w:rPr>
        <w:t>七</w:t>
      </w:r>
      <w:r>
        <w:rPr>
          <w:rFonts w:hint="eastAsia"/>
          <w:sz w:val="24"/>
          <w:szCs w:val="24"/>
        </w:rPr>
        <w:t>。</w:t>
      </w:r>
    </w:p>
    <w:p w14:paraId="24F85DC4">
      <w:pPr>
        <w:jc w:val="center"/>
      </w:pPr>
      <w:r>
        <w:drawing>
          <wp:inline distT="0" distB="0" distL="114300" distR="114300">
            <wp:extent cx="2982595" cy="1542415"/>
            <wp:effectExtent l="0" t="0" r="4445" b="12065"/>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pic:cNvPicPr>
                      <a:picLocks noChangeAspect="1"/>
                    </pic:cNvPicPr>
                  </pic:nvPicPr>
                  <pic:blipFill>
                    <a:blip r:embed="rId15"/>
                    <a:srcRect l="1245" t="13863" r="1134" b="2252"/>
                    <a:stretch>
                      <a:fillRect/>
                    </a:stretch>
                  </pic:blipFill>
                  <pic:spPr>
                    <a:xfrm>
                      <a:off x="0" y="0"/>
                      <a:ext cx="2982595" cy="1542415"/>
                    </a:xfrm>
                    <a:prstGeom prst="rect">
                      <a:avLst/>
                    </a:prstGeom>
                    <a:noFill/>
                    <a:ln>
                      <a:noFill/>
                    </a:ln>
                  </pic:spPr>
                </pic:pic>
              </a:graphicData>
            </a:graphic>
          </wp:inline>
        </w:drawing>
      </w:r>
    </w:p>
    <w:p w14:paraId="5B894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lang w:val="en-US" w:eastAsia="zh-CN"/>
        </w:rPr>
      </w:pPr>
      <w:r>
        <w:rPr>
          <w:rFonts w:hint="eastAsia"/>
          <w:lang w:val="en-US" w:eastAsia="zh-CN"/>
        </w:rPr>
        <w:t>图七（Yi-Xi）相对于Xi的偏倚图</w:t>
      </w:r>
    </w:p>
    <w:p w14:paraId="54453A47">
      <w:pPr>
        <w:spacing w:line="360" w:lineRule="auto"/>
        <w:ind w:firstLine="480" w:firstLineChars="200"/>
        <w:jc w:val="left"/>
        <w:rPr>
          <w:rFonts w:hint="eastAsia"/>
          <w:sz w:val="24"/>
          <w:szCs w:val="24"/>
        </w:rPr>
      </w:pPr>
      <w:r>
        <w:rPr>
          <w:rFonts w:hint="eastAsia"/>
          <w:sz w:val="24"/>
          <w:szCs w:val="24"/>
        </w:rPr>
        <w:t>由图13可以看出，各样品待评方法结果与参比方法结果的差值均匀在0刻度线分布，说明待评方法的偏倚基本上由随机误差产生，不需要引入系数对待评方法结果进行修正。</w:t>
      </w:r>
    </w:p>
    <w:p w14:paraId="02AA3D82">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sz w:val="28"/>
          <w:szCs w:val="36"/>
        </w:rPr>
      </w:pPr>
      <w:r>
        <w:rPr>
          <w:rFonts w:hint="eastAsia"/>
          <w:sz w:val="24"/>
          <w:szCs w:val="24"/>
        </w:rPr>
        <w:t>偏差计算及分析</w:t>
      </w:r>
    </w:p>
    <w:p w14:paraId="6058DB68">
      <w:pPr>
        <w:spacing w:line="360" w:lineRule="auto"/>
        <w:ind w:firstLine="480" w:firstLineChars="200"/>
        <w:jc w:val="left"/>
        <w:rPr>
          <w:rFonts w:hint="eastAsia"/>
          <w:sz w:val="24"/>
          <w:szCs w:val="24"/>
        </w:rPr>
      </w:pPr>
      <w:r>
        <w:rPr>
          <w:sz w:val="24"/>
          <w:szCs w:val="24"/>
        </w:rPr>
        <w:t>按以下公式计算斜率b及截距a</w:t>
      </w:r>
      <w:r>
        <w:rPr>
          <w:rFonts w:hint="eastAsia"/>
          <w:sz w:val="24"/>
          <w:szCs w:val="24"/>
        </w:rPr>
        <w:t>。</w:t>
      </w:r>
    </w:p>
    <w:p w14:paraId="4B584E26">
      <w:pPr>
        <w:jc w:val="center"/>
        <w:rPr>
          <w:sz w:val="16"/>
          <w:szCs w:val="20"/>
        </w:rPr>
      </w:pPr>
      <w:r>
        <w:rPr>
          <w:position w:val="-64"/>
          <w:sz w:val="11"/>
          <w:szCs w:val="13"/>
        </w:rPr>
        <w:object>
          <v:shape id="_x0000_i1025" o:spt="75" type="#_x0000_t75" style="height:56.65pt;width:243.1pt;" o:ole="t" filled="f" o:preferrelative="t" stroked="f" coordsize="21600,21600">
            <v:path/>
            <v:fill on="f" focussize="0,0"/>
            <v:stroke on="f" weight="3pt"/>
            <v:imagedata r:id="rId17" o:title=""/>
            <o:lock v:ext="edit" aspectratio="f"/>
            <w10:wrap type="none"/>
            <w10:anchorlock/>
          </v:shape>
          <o:OLEObject Type="Embed" ProgID="Equation.3" ShapeID="_x0000_i1025" DrawAspect="Content" ObjectID="_1468075725" r:id="rId16">
            <o:LockedField>false</o:LockedField>
          </o:OLEObject>
        </w:object>
      </w:r>
    </w:p>
    <w:p w14:paraId="75B5B175">
      <w:pPr>
        <w:ind w:firstLine="220" w:firstLineChars="200"/>
        <w:jc w:val="center"/>
        <w:rPr>
          <w:sz w:val="11"/>
          <w:szCs w:val="13"/>
        </w:rPr>
      </w:pPr>
      <w:r>
        <w:rPr>
          <w:sz w:val="11"/>
          <w:szCs w:val="13"/>
        </w:rPr>
        <w:object>
          <v:shape id="_x0000_i1026" o:spt="75" type="#_x0000_t75" style="height:19.5pt;width:120.75pt;" o:ole="t" filled="f" o:preferrelative="t" stroked="f" coordsize="21600,21600">
            <v:path/>
            <v:fill on="f" focussize="0,0"/>
            <v:stroke on="f" weight="3pt"/>
            <v:imagedata r:id="rId19" o:title=""/>
            <o:lock v:ext="edit" aspectratio="f"/>
            <w10:wrap type="none"/>
            <w10:anchorlock/>
          </v:shape>
          <o:OLEObject Type="Embed" ProgID="Equation.3" ShapeID="_x0000_i1026" DrawAspect="Content" ObjectID="_1468075726" r:id="rId18">
            <o:LockedField>false</o:LockedField>
          </o:OLEObject>
        </w:object>
      </w:r>
    </w:p>
    <w:p w14:paraId="4291685A">
      <w:pPr>
        <w:spacing w:line="360" w:lineRule="auto"/>
        <w:ind w:firstLine="480" w:firstLineChars="200"/>
        <w:jc w:val="left"/>
        <w:rPr>
          <w:rFonts w:hint="eastAsia"/>
          <w:sz w:val="24"/>
          <w:szCs w:val="24"/>
        </w:rPr>
      </w:pPr>
      <w:r>
        <w:rPr>
          <w:rFonts w:hint="eastAsia"/>
          <w:sz w:val="24"/>
          <w:szCs w:val="24"/>
        </w:rPr>
        <w:t>本次验证实验中，a=3.291，b=0.503。</w:t>
      </w:r>
    </w:p>
    <w:p w14:paraId="08214EA7">
      <w:pPr>
        <w:spacing w:line="360" w:lineRule="auto"/>
        <w:ind w:firstLine="480" w:firstLineChars="200"/>
        <w:jc w:val="left"/>
        <w:rPr>
          <w:rFonts w:hint="eastAsia"/>
          <w:sz w:val="24"/>
          <w:szCs w:val="24"/>
        </w:rPr>
      </w:pPr>
      <w:r>
        <w:rPr>
          <w:rFonts w:hint="eastAsia"/>
          <w:sz w:val="24"/>
          <w:szCs w:val="24"/>
        </w:rPr>
        <w:t>选择决定水平Xc，依据《GB 18351车用乙醇汽油(E10) 》中乙醇含量要求，选择Xc1=8，Xc2=6.5。选择再现性作为可接受水平。</w:t>
      </w:r>
    </w:p>
    <w:p w14:paraId="5A6DB430">
      <w:pPr>
        <w:spacing w:line="360" w:lineRule="auto"/>
        <w:ind w:firstLine="480" w:firstLineChars="200"/>
        <w:jc w:val="left"/>
        <w:rPr>
          <w:sz w:val="24"/>
          <w:szCs w:val="24"/>
        </w:rPr>
      </w:pPr>
      <w:r>
        <w:rPr>
          <w:sz w:val="24"/>
          <w:szCs w:val="24"/>
        </w:rPr>
        <w:t>决定水平Xc上的预期偏倚（Bc）估计值，按下式计算：</w:t>
      </w:r>
    </w:p>
    <w:p w14:paraId="37E373F1">
      <w:pPr>
        <w:spacing w:line="360" w:lineRule="auto"/>
        <w:ind w:firstLine="480" w:firstLineChars="200"/>
        <w:jc w:val="center"/>
        <w:rPr>
          <w:rFonts w:hint="eastAsia"/>
          <w:sz w:val="24"/>
          <w:szCs w:val="24"/>
        </w:rPr>
      </w:pPr>
      <w:r>
        <w:rPr>
          <w:rFonts w:hint="eastAsia"/>
          <w:sz w:val="24"/>
          <w:szCs w:val="24"/>
        </w:rPr>
        <w:object>
          <v:shape id="_x0000_i1027" o:spt="75" type="#_x0000_t75" style="height:14.75pt;width:157pt;" o:ole="t" filled="f" o:preferrelative="t" stroked="f" coordsize="21600,21600">
            <v:path/>
            <v:fill on="f" focussize="0,0"/>
            <v:stroke on="f" weight="3pt"/>
            <v:imagedata r:id="rId21" o:title=""/>
            <o:lock v:ext="edit" aspectratio="f"/>
            <w10:wrap type="none"/>
            <w10:anchorlock/>
          </v:shape>
          <o:OLEObject Type="Embed" ProgID="Equation.3" ShapeID="_x0000_i1027" DrawAspect="Content" ObjectID="_1468075727" r:id="rId20">
            <o:LockedField>false</o:LockedField>
          </o:OLEObject>
        </w:object>
      </w:r>
    </w:p>
    <w:p w14:paraId="3F10AAA3">
      <w:pPr>
        <w:spacing w:line="360" w:lineRule="auto"/>
        <w:ind w:firstLine="480" w:firstLineChars="200"/>
        <w:jc w:val="left"/>
        <w:rPr>
          <w:sz w:val="24"/>
          <w:szCs w:val="24"/>
        </w:rPr>
      </w:pPr>
      <w:r>
        <w:rPr>
          <w:sz w:val="24"/>
          <w:szCs w:val="24"/>
        </w:rPr>
        <w:t>Bc的95%可信区间（在Xc上的真正偏倚）按下式计算：</w:t>
      </w:r>
    </w:p>
    <w:p w14:paraId="26057D15">
      <w:pPr>
        <w:ind w:firstLine="420" w:firstLineChars="200"/>
        <w:jc w:val="left"/>
        <w:rPr>
          <w:position w:val="-46"/>
        </w:rPr>
      </w:pPr>
      <w:r>
        <w:rPr>
          <w:position w:val="-46"/>
        </w:rPr>
        <w:object>
          <v:shape id="_x0000_i1028" o:spt="75" type="#_x0000_t75" style="height:42.35pt;width:346pt;" o:ole="t" filled="f" o:preferrelative="t" stroked="f" coordsize="21600,21600">
            <v:path/>
            <v:fill on="f" focussize="0,0"/>
            <v:stroke on="f" weight="3pt"/>
            <v:imagedata r:id="rId23" o:title=""/>
            <o:lock v:ext="edit" aspectratio="f"/>
            <w10:wrap type="none"/>
            <w10:anchorlock/>
          </v:shape>
          <o:OLEObject Type="Embed" ProgID="Equation.3" ShapeID="_x0000_i1028" DrawAspect="Content" ObjectID="_1468075728" r:id="rId22">
            <o:LockedField>false</o:LockedField>
          </o:OLEObject>
        </w:object>
      </w:r>
    </w:p>
    <w:p w14:paraId="14213E8A">
      <w:pPr>
        <w:spacing w:line="360" w:lineRule="auto"/>
        <w:ind w:firstLine="480" w:firstLineChars="200"/>
        <w:jc w:val="left"/>
        <w:rPr>
          <w:sz w:val="24"/>
          <w:szCs w:val="24"/>
        </w:rPr>
      </w:pPr>
      <w:r>
        <w:rPr>
          <w:rFonts w:hint="eastAsia"/>
          <w:sz w:val="24"/>
          <w:szCs w:val="24"/>
        </w:rPr>
        <w:t>其中：</w:t>
      </w:r>
    </w:p>
    <w:p w14:paraId="1CC91B68">
      <w:pPr>
        <w:ind w:firstLine="420" w:firstLineChars="200"/>
        <w:jc w:val="center"/>
      </w:pPr>
      <w:r>
        <w:object>
          <v:shape id="_x0000_i1029" o:spt="75" type="#_x0000_t75" style="height:45.05pt;width:258.5pt;" o:ole="t" filled="f" o:preferrelative="t" stroked="f" coordsize="21600,21600">
            <v:path/>
            <v:fill on="f" focussize="0,0"/>
            <v:stroke on="f" weight="3pt"/>
            <v:imagedata r:id="rId25" o:title=""/>
            <o:lock v:ext="edit" aspectratio="f"/>
            <w10:wrap type="none"/>
            <w10:anchorlock/>
          </v:shape>
          <o:OLEObject Type="Embed" ProgID="Equation.3" ShapeID="_x0000_i1029" DrawAspect="Content" ObjectID="_1468075729" r:id="rId24">
            <o:LockedField>false</o:LockedField>
          </o:OLEObject>
        </w:object>
      </w:r>
    </w:p>
    <w:p w14:paraId="3D6E255F">
      <w:pPr>
        <w:spacing w:line="360" w:lineRule="auto"/>
        <w:ind w:firstLine="480" w:firstLineChars="200"/>
        <w:jc w:val="left"/>
        <w:rPr>
          <w:rFonts w:hint="eastAsia"/>
          <w:sz w:val="24"/>
          <w:szCs w:val="24"/>
        </w:rPr>
      </w:pPr>
      <w:r>
        <w:rPr>
          <w:rFonts w:hint="eastAsia"/>
          <w:sz w:val="24"/>
          <w:szCs w:val="24"/>
        </w:rPr>
        <w:t>本报告中各数据计算结果见</w:t>
      </w:r>
      <w:r>
        <w:rPr>
          <w:rFonts w:hint="eastAsia"/>
          <w:sz w:val="24"/>
          <w:szCs w:val="24"/>
          <w:lang w:eastAsia="zh-CN"/>
        </w:rPr>
        <w:t>表</w:t>
      </w:r>
      <w:r>
        <w:rPr>
          <w:rFonts w:hint="eastAsia"/>
          <w:sz w:val="24"/>
          <w:szCs w:val="24"/>
          <w:lang w:val="en-US" w:eastAsia="zh-CN"/>
        </w:rPr>
        <w:t>十一</w:t>
      </w:r>
      <w:r>
        <w:rPr>
          <w:rFonts w:hint="eastAsia"/>
          <w:sz w:val="24"/>
          <w:szCs w:val="24"/>
        </w:rPr>
        <w:t>。</w:t>
      </w:r>
    </w:p>
    <w:p w14:paraId="76F6C00E">
      <w:pPr>
        <w:autoSpaceDE w:val="0"/>
        <w:autoSpaceDN w:val="0"/>
        <w:adjustRightInd w:val="0"/>
        <w:spacing w:line="240" w:lineRule="auto"/>
        <w:jc w:val="center"/>
        <w:rPr>
          <w:rFonts w:hint="eastAsia"/>
          <w:sz w:val="24"/>
          <w:szCs w:val="24"/>
          <w:lang w:val="en-US" w:eastAsia="zh-CN"/>
        </w:rPr>
      </w:pPr>
      <w:r>
        <w:rPr>
          <w:rFonts w:hint="eastAsia"/>
          <w:sz w:val="24"/>
          <w:szCs w:val="24"/>
          <w:lang w:val="en-US" w:eastAsia="zh-CN"/>
        </w:rPr>
        <w:t>表十一 偏倚评估比较表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9"/>
        <w:gridCol w:w="1820"/>
        <w:gridCol w:w="1575"/>
        <w:gridCol w:w="1576"/>
        <w:gridCol w:w="1529"/>
      </w:tblGrid>
      <w:tr w14:paraId="1AE7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pct"/>
            <w:vMerge w:val="restart"/>
            <w:noWrap w:val="0"/>
            <w:vAlign w:val="center"/>
          </w:tcPr>
          <w:p w14:paraId="4D26DA1C">
            <w:pPr>
              <w:keepNext w:val="0"/>
              <w:keepLines w:val="0"/>
              <w:suppressLineNumbers w:val="0"/>
              <w:spacing w:before="0" w:beforeAutospacing="0" w:after="0" w:afterAutospacing="0"/>
              <w:ind w:left="0" w:right="0"/>
              <w:jc w:val="center"/>
              <w:rPr>
                <w:rFonts w:hint="eastAsia"/>
                <w:sz w:val="24"/>
                <w:szCs w:val="24"/>
              </w:rPr>
            </w:pPr>
            <w:r>
              <w:rPr>
                <w:rFonts w:hint="default"/>
                <w:sz w:val="24"/>
                <w:szCs w:val="24"/>
              </w:rPr>
              <w:t>决定水平Xc</w:t>
            </w:r>
          </w:p>
        </w:tc>
        <w:tc>
          <w:tcPr>
            <w:tcW w:w="1068" w:type="pct"/>
            <w:vMerge w:val="restart"/>
            <w:noWrap w:val="0"/>
            <w:vAlign w:val="center"/>
          </w:tcPr>
          <w:p w14:paraId="39FFBC51">
            <w:pPr>
              <w:keepNext w:val="0"/>
              <w:keepLines w:val="0"/>
              <w:suppressLineNumbers w:val="0"/>
              <w:spacing w:before="0" w:beforeAutospacing="0" w:after="0" w:afterAutospacing="0"/>
              <w:ind w:left="0" w:right="0"/>
              <w:jc w:val="center"/>
              <w:rPr>
                <w:rFonts w:hint="eastAsia"/>
                <w:sz w:val="24"/>
                <w:szCs w:val="24"/>
              </w:rPr>
            </w:pPr>
            <w:r>
              <w:rPr>
                <w:rFonts w:hint="default"/>
                <w:sz w:val="24"/>
                <w:szCs w:val="24"/>
              </w:rPr>
              <w:t>预期偏倚Bc</w:t>
            </w:r>
          </w:p>
        </w:tc>
        <w:tc>
          <w:tcPr>
            <w:tcW w:w="1849" w:type="pct"/>
            <w:gridSpan w:val="2"/>
            <w:noWrap w:val="0"/>
            <w:vAlign w:val="center"/>
          </w:tcPr>
          <w:p w14:paraId="001F859E">
            <w:pPr>
              <w:keepNext w:val="0"/>
              <w:keepLines w:val="0"/>
              <w:suppressLineNumbers w:val="0"/>
              <w:spacing w:before="0" w:beforeAutospacing="0" w:after="0" w:afterAutospacing="0"/>
              <w:ind w:left="0" w:right="0"/>
              <w:jc w:val="center"/>
              <w:rPr>
                <w:rFonts w:hint="eastAsia"/>
                <w:sz w:val="24"/>
                <w:szCs w:val="24"/>
              </w:rPr>
            </w:pPr>
            <w:r>
              <w:rPr>
                <w:rFonts w:hint="default"/>
                <w:sz w:val="24"/>
                <w:szCs w:val="24"/>
              </w:rPr>
              <w:t>预期偏倚95% 可信区间</w:t>
            </w:r>
          </w:p>
        </w:tc>
        <w:tc>
          <w:tcPr>
            <w:tcW w:w="897" w:type="pct"/>
            <w:vMerge w:val="restart"/>
            <w:noWrap w:val="0"/>
            <w:vAlign w:val="center"/>
          </w:tcPr>
          <w:p w14:paraId="4E9B9C3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可接受</w:t>
            </w:r>
          </w:p>
          <w:p w14:paraId="6A1D1A3E">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水平</w:t>
            </w:r>
          </w:p>
        </w:tc>
      </w:tr>
      <w:tr w14:paraId="3C2E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pct"/>
            <w:vMerge w:val="continue"/>
            <w:noWrap w:val="0"/>
            <w:vAlign w:val="center"/>
          </w:tcPr>
          <w:p w14:paraId="25021AB7">
            <w:pPr>
              <w:keepNext w:val="0"/>
              <w:keepLines w:val="0"/>
              <w:suppressLineNumbers w:val="0"/>
              <w:spacing w:before="0" w:beforeAutospacing="0" w:after="0" w:afterAutospacing="0"/>
              <w:ind w:left="0" w:right="0"/>
              <w:jc w:val="center"/>
              <w:rPr>
                <w:rFonts w:hint="eastAsia"/>
                <w:sz w:val="24"/>
                <w:szCs w:val="24"/>
              </w:rPr>
            </w:pPr>
          </w:p>
        </w:tc>
        <w:tc>
          <w:tcPr>
            <w:tcW w:w="1068" w:type="pct"/>
            <w:vMerge w:val="continue"/>
            <w:noWrap w:val="0"/>
            <w:vAlign w:val="center"/>
          </w:tcPr>
          <w:p w14:paraId="7D33C20A">
            <w:pPr>
              <w:keepNext w:val="0"/>
              <w:keepLines w:val="0"/>
              <w:suppressLineNumbers w:val="0"/>
              <w:spacing w:before="0" w:beforeAutospacing="0" w:after="0" w:afterAutospacing="0"/>
              <w:ind w:left="0" w:right="0"/>
              <w:jc w:val="center"/>
              <w:rPr>
                <w:rFonts w:hint="eastAsia"/>
                <w:sz w:val="24"/>
                <w:szCs w:val="24"/>
              </w:rPr>
            </w:pPr>
          </w:p>
        </w:tc>
        <w:tc>
          <w:tcPr>
            <w:tcW w:w="924" w:type="pct"/>
            <w:noWrap w:val="0"/>
            <w:vAlign w:val="center"/>
          </w:tcPr>
          <w:p w14:paraId="577753AC">
            <w:pPr>
              <w:keepNext w:val="0"/>
              <w:keepLines w:val="0"/>
              <w:suppressLineNumbers w:val="0"/>
              <w:spacing w:before="0" w:beforeAutospacing="0" w:after="0" w:afterAutospacing="0"/>
              <w:ind w:left="0" w:right="0"/>
              <w:jc w:val="center"/>
              <w:rPr>
                <w:rFonts w:hint="eastAsia"/>
                <w:sz w:val="24"/>
                <w:szCs w:val="24"/>
              </w:rPr>
            </w:pPr>
            <w:r>
              <w:rPr>
                <w:rFonts w:hint="default"/>
                <w:sz w:val="24"/>
                <w:szCs w:val="24"/>
              </w:rPr>
              <w:t>Bc</w:t>
            </w:r>
            <w:r>
              <w:rPr>
                <w:rFonts w:hint="default"/>
                <w:sz w:val="24"/>
                <w:szCs w:val="24"/>
                <w:vertAlign w:val="subscript"/>
              </w:rPr>
              <w:t>low</w:t>
            </w:r>
          </w:p>
        </w:tc>
        <w:tc>
          <w:tcPr>
            <w:tcW w:w="924" w:type="pct"/>
            <w:noWrap w:val="0"/>
            <w:vAlign w:val="center"/>
          </w:tcPr>
          <w:p w14:paraId="3A3E5DDD">
            <w:pPr>
              <w:keepNext w:val="0"/>
              <w:keepLines w:val="0"/>
              <w:suppressLineNumbers w:val="0"/>
              <w:spacing w:before="0" w:beforeAutospacing="0" w:after="0" w:afterAutospacing="0"/>
              <w:ind w:left="0" w:right="0"/>
              <w:jc w:val="center"/>
              <w:rPr>
                <w:rFonts w:hint="eastAsia"/>
                <w:sz w:val="24"/>
                <w:szCs w:val="24"/>
              </w:rPr>
            </w:pPr>
            <w:r>
              <w:rPr>
                <w:rFonts w:hint="default"/>
                <w:sz w:val="24"/>
                <w:szCs w:val="24"/>
              </w:rPr>
              <w:t>Bc</w:t>
            </w:r>
            <w:r>
              <w:rPr>
                <w:rFonts w:hint="default"/>
                <w:sz w:val="24"/>
                <w:szCs w:val="24"/>
                <w:vertAlign w:val="subscript"/>
              </w:rPr>
              <w:t>hIg</w:t>
            </w:r>
          </w:p>
        </w:tc>
        <w:tc>
          <w:tcPr>
            <w:tcW w:w="897" w:type="pct"/>
            <w:vMerge w:val="continue"/>
            <w:noWrap w:val="0"/>
            <w:vAlign w:val="center"/>
          </w:tcPr>
          <w:p w14:paraId="5DB6081A">
            <w:pPr>
              <w:keepNext w:val="0"/>
              <w:keepLines w:val="0"/>
              <w:suppressLineNumbers w:val="0"/>
              <w:spacing w:before="0" w:beforeAutospacing="0" w:after="0" w:afterAutospacing="0"/>
              <w:ind w:left="0" w:right="0"/>
              <w:jc w:val="center"/>
              <w:rPr>
                <w:rFonts w:hint="eastAsia"/>
                <w:sz w:val="24"/>
                <w:szCs w:val="24"/>
              </w:rPr>
            </w:pPr>
          </w:p>
        </w:tc>
      </w:tr>
      <w:tr w14:paraId="2631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pct"/>
            <w:noWrap w:val="0"/>
            <w:vAlign w:val="center"/>
          </w:tcPr>
          <w:p w14:paraId="2F8CDE7C">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Xc1=8</w:t>
            </w:r>
          </w:p>
          <w:p w14:paraId="49F304B2">
            <w:pPr>
              <w:keepNext w:val="0"/>
              <w:keepLines w:val="0"/>
              <w:suppressLineNumbers w:val="0"/>
              <w:spacing w:before="0" w:beforeAutospacing="0" w:after="0" w:afterAutospacing="0"/>
              <w:ind w:left="0" w:right="0"/>
              <w:jc w:val="center"/>
              <w:rPr>
                <w:rFonts w:hint="eastAsia"/>
                <w:sz w:val="24"/>
                <w:szCs w:val="24"/>
              </w:rPr>
            </w:pPr>
            <w:r>
              <w:rPr>
                <w:rFonts w:hint="default"/>
                <w:sz w:val="24"/>
                <w:szCs w:val="24"/>
              </w:rPr>
              <w:t>（%体积分数）</w:t>
            </w:r>
          </w:p>
        </w:tc>
        <w:tc>
          <w:tcPr>
            <w:tcW w:w="1068" w:type="pct"/>
            <w:noWrap w:val="0"/>
            <w:vAlign w:val="center"/>
          </w:tcPr>
          <w:p w14:paraId="0D2F4236">
            <w:pPr>
              <w:keepNext w:val="0"/>
              <w:keepLines w:val="0"/>
              <w:widowControl/>
              <w:suppressLineNumbers w:val="0"/>
              <w:spacing w:before="0" w:beforeAutospacing="0" w:after="0" w:afterAutospacing="0"/>
              <w:ind w:left="0" w:right="0"/>
              <w:jc w:val="center"/>
              <w:textAlignment w:val="center"/>
              <w:rPr>
                <w:rFonts w:hint="default"/>
                <w:color w:val="000000"/>
                <w:sz w:val="24"/>
                <w:szCs w:val="24"/>
              </w:rPr>
            </w:pPr>
            <w:r>
              <w:rPr>
                <w:rFonts w:hint="default"/>
                <w:color w:val="000000"/>
                <w:kern w:val="0"/>
                <w:sz w:val="24"/>
                <w:szCs w:val="24"/>
                <w:lang w:bidi="ar"/>
              </w:rPr>
              <w:t>-0.6</w:t>
            </w:r>
            <w:r>
              <w:rPr>
                <w:rFonts w:hint="eastAsia"/>
                <w:color w:val="000000"/>
                <w:kern w:val="0"/>
                <w:sz w:val="24"/>
                <w:szCs w:val="24"/>
                <w:lang w:bidi="ar"/>
              </w:rPr>
              <w:t>87</w:t>
            </w:r>
          </w:p>
        </w:tc>
        <w:tc>
          <w:tcPr>
            <w:tcW w:w="924" w:type="pct"/>
            <w:noWrap w:val="0"/>
            <w:vAlign w:val="center"/>
          </w:tcPr>
          <w:p w14:paraId="56A41606">
            <w:pPr>
              <w:keepNext w:val="0"/>
              <w:keepLines w:val="0"/>
              <w:suppressLineNumbers w:val="0"/>
              <w:spacing w:before="0" w:beforeAutospacing="0" w:after="0" w:afterAutospacing="0"/>
              <w:ind w:left="0" w:right="0"/>
              <w:jc w:val="center"/>
              <w:rPr>
                <w:rFonts w:hint="eastAsia"/>
                <w:sz w:val="24"/>
                <w:szCs w:val="24"/>
              </w:rPr>
            </w:pPr>
            <w:r>
              <w:rPr>
                <w:rFonts w:hint="default"/>
                <w:sz w:val="24"/>
                <w:szCs w:val="24"/>
              </w:rPr>
              <w:t>-1.24</w:t>
            </w:r>
            <w:r>
              <w:rPr>
                <w:rFonts w:hint="eastAsia"/>
                <w:sz w:val="24"/>
                <w:szCs w:val="24"/>
              </w:rPr>
              <w:t>7</w:t>
            </w:r>
          </w:p>
        </w:tc>
        <w:tc>
          <w:tcPr>
            <w:tcW w:w="924" w:type="pct"/>
            <w:noWrap w:val="0"/>
            <w:vAlign w:val="center"/>
          </w:tcPr>
          <w:p w14:paraId="06CA0A38">
            <w:pPr>
              <w:keepNext w:val="0"/>
              <w:keepLines w:val="0"/>
              <w:suppressLineNumbers w:val="0"/>
              <w:spacing w:before="0" w:beforeAutospacing="0" w:after="0" w:afterAutospacing="0"/>
              <w:ind w:left="0" w:right="0"/>
              <w:jc w:val="center"/>
              <w:rPr>
                <w:rFonts w:hint="eastAsia"/>
                <w:sz w:val="24"/>
                <w:szCs w:val="24"/>
              </w:rPr>
            </w:pPr>
            <w:r>
              <w:rPr>
                <w:rFonts w:hint="default"/>
                <w:sz w:val="24"/>
                <w:szCs w:val="24"/>
              </w:rPr>
              <w:t>-0.1</w:t>
            </w:r>
            <w:r>
              <w:rPr>
                <w:rFonts w:hint="eastAsia"/>
                <w:sz w:val="24"/>
                <w:szCs w:val="24"/>
              </w:rPr>
              <w:t>2</w:t>
            </w:r>
            <w:r>
              <w:rPr>
                <w:rFonts w:hint="default"/>
                <w:sz w:val="24"/>
                <w:szCs w:val="24"/>
              </w:rPr>
              <w:t>7</w:t>
            </w:r>
          </w:p>
        </w:tc>
        <w:tc>
          <w:tcPr>
            <w:tcW w:w="897" w:type="pct"/>
            <w:noWrap w:val="0"/>
            <w:vAlign w:val="center"/>
          </w:tcPr>
          <w:p w14:paraId="1F4179A8">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±0.75</w:t>
            </w:r>
          </w:p>
        </w:tc>
      </w:tr>
      <w:tr w14:paraId="03E9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pct"/>
            <w:noWrap w:val="0"/>
            <w:vAlign w:val="center"/>
          </w:tcPr>
          <w:p w14:paraId="3343F9C6">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Xc2=</w:t>
            </w:r>
            <w:r>
              <w:rPr>
                <w:rFonts w:hint="eastAsia"/>
                <w:sz w:val="24"/>
                <w:szCs w:val="24"/>
              </w:rPr>
              <w:t>6.5</w:t>
            </w:r>
          </w:p>
          <w:p w14:paraId="5CAE17C5">
            <w:pPr>
              <w:keepNext w:val="0"/>
              <w:keepLines w:val="0"/>
              <w:suppressLineNumbers w:val="0"/>
              <w:spacing w:before="0" w:beforeAutospacing="0" w:after="0" w:afterAutospacing="0"/>
              <w:ind w:left="0" w:right="0"/>
              <w:jc w:val="center"/>
              <w:rPr>
                <w:rFonts w:hint="eastAsia"/>
                <w:sz w:val="24"/>
                <w:szCs w:val="24"/>
              </w:rPr>
            </w:pPr>
            <w:r>
              <w:rPr>
                <w:rFonts w:hint="default"/>
                <w:sz w:val="24"/>
                <w:szCs w:val="24"/>
              </w:rPr>
              <w:t>（%体积分数）</w:t>
            </w:r>
          </w:p>
        </w:tc>
        <w:tc>
          <w:tcPr>
            <w:tcW w:w="1068" w:type="pct"/>
            <w:noWrap w:val="0"/>
            <w:vAlign w:val="center"/>
          </w:tcPr>
          <w:p w14:paraId="5C46ED1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0.059</w:t>
            </w:r>
          </w:p>
        </w:tc>
        <w:tc>
          <w:tcPr>
            <w:tcW w:w="924" w:type="pct"/>
            <w:noWrap w:val="0"/>
            <w:vAlign w:val="center"/>
          </w:tcPr>
          <w:p w14:paraId="6DE381D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 xml:space="preserve">-0.467 </w:t>
            </w:r>
          </w:p>
        </w:tc>
        <w:tc>
          <w:tcPr>
            <w:tcW w:w="924" w:type="pct"/>
            <w:noWrap w:val="0"/>
            <w:vAlign w:val="center"/>
          </w:tcPr>
          <w:p w14:paraId="1F24272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 xml:space="preserve">0.585 </w:t>
            </w:r>
          </w:p>
        </w:tc>
        <w:tc>
          <w:tcPr>
            <w:tcW w:w="897" w:type="pct"/>
            <w:noWrap w:val="0"/>
            <w:vAlign w:val="center"/>
          </w:tcPr>
          <w:p w14:paraId="557EA37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±0.67</w:t>
            </w:r>
          </w:p>
        </w:tc>
      </w:tr>
    </w:tbl>
    <w:p w14:paraId="26A61049">
      <w:pPr>
        <w:spacing w:line="360" w:lineRule="auto"/>
        <w:ind w:firstLine="480" w:firstLineChars="200"/>
        <w:jc w:val="left"/>
        <w:rPr>
          <w:rFonts w:hint="eastAsia"/>
          <w:sz w:val="24"/>
          <w:szCs w:val="24"/>
        </w:rPr>
      </w:pPr>
      <w:r>
        <w:rPr>
          <w:rFonts w:hint="eastAsia"/>
          <w:sz w:val="24"/>
          <w:szCs w:val="24"/>
        </w:rPr>
        <w:t>可以看出，可接水平为-0.75时，在</w:t>
      </w:r>
      <w:r>
        <w:rPr>
          <w:sz w:val="24"/>
          <w:szCs w:val="24"/>
        </w:rPr>
        <w:t>Bclow</w:t>
      </w:r>
      <w:r>
        <w:rPr>
          <w:rFonts w:hint="eastAsia"/>
          <w:sz w:val="24"/>
          <w:szCs w:val="24"/>
        </w:rPr>
        <w:t>和</w:t>
      </w:r>
      <w:r>
        <w:rPr>
          <w:sz w:val="24"/>
          <w:szCs w:val="24"/>
        </w:rPr>
        <w:t>BchIg</w:t>
      </w:r>
      <w:r>
        <w:rPr>
          <w:rFonts w:hint="eastAsia"/>
          <w:sz w:val="24"/>
          <w:szCs w:val="24"/>
        </w:rPr>
        <w:t>之间，则两种方法的数据未显示二者偏倚有区别；</w:t>
      </w:r>
    </w:p>
    <w:p w14:paraId="2016AAE4">
      <w:pPr>
        <w:spacing w:line="360" w:lineRule="auto"/>
        <w:ind w:firstLine="480" w:firstLineChars="200"/>
        <w:jc w:val="left"/>
        <w:rPr>
          <w:rFonts w:hint="eastAsia"/>
          <w:sz w:val="24"/>
          <w:szCs w:val="24"/>
        </w:rPr>
      </w:pPr>
      <w:r>
        <w:rPr>
          <w:rFonts w:hint="eastAsia"/>
          <w:sz w:val="24"/>
          <w:szCs w:val="24"/>
        </w:rPr>
        <w:t>可接水平为0.75时，大于</w:t>
      </w:r>
      <w:r>
        <w:rPr>
          <w:sz w:val="24"/>
          <w:szCs w:val="24"/>
        </w:rPr>
        <w:t>BchIg</w:t>
      </w:r>
      <w:r>
        <w:rPr>
          <w:rFonts w:hint="eastAsia"/>
          <w:sz w:val="24"/>
          <w:szCs w:val="24"/>
        </w:rPr>
        <w:t>，即可接受的偏倚大于预期偏倚可信区间的上限，则两方法相当；</w:t>
      </w:r>
    </w:p>
    <w:p w14:paraId="7628E441">
      <w:pPr>
        <w:spacing w:line="360" w:lineRule="auto"/>
        <w:ind w:firstLine="480" w:firstLineChars="200"/>
        <w:jc w:val="left"/>
        <w:rPr>
          <w:rFonts w:hint="eastAsia"/>
          <w:sz w:val="24"/>
          <w:szCs w:val="24"/>
        </w:rPr>
      </w:pPr>
      <w:r>
        <w:rPr>
          <w:rFonts w:hint="eastAsia"/>
          <w:sz w:val="24"/>
          <w:szCs w:val="24"/>
        </w:rPr>
        <w:t>同样，可接水平为±0.67时，可判定两方法相当。</w:t>
      </w:r>
    </w:p>
    <w:p w14:paraId="2BF93D16">
      <w:pPr>
        <w:spacing w:line="360" w:lineRule="auto"/>
        <w:ind w:firstLine="480" w:firstLineChars="200"/>
        <w:jc w:val="left"/>
        <w:rPr>
          <w:rFonts w:hint="eastAsia"/>
          <w:sz w:val="24"/>
          <w:szCs w:val="24"/>
        </w:rPr>
      </w:pPr>
      <w:r>
        <w:rPr>
          <w:rFonts w:hint="eastAsia"/>
          <w:sz w:val="24"/>
          <w:szCs w:val="24"/>
        </w:rPr>
        <w:t>综上，待评方法（折光）与参比方法相当。</w:t>
      </w:r>
    </w:p>
    <w:p w14:paraId="23BFA17C">
      <w:pPr>
        <w:spacing w:before="100" w:beforeAutospacing="1" w:after="100" w:afterAutospacing="1" w:line="360" w:lineRule="auto"/>
        <w:rPr>
          <w:rFonts w:eastAsia="黑体"/>
          <w:sz w:val="24"/>
          <w:szCs w:val="24"/>
        </w:rPr>
      </w:pPr>
      <w:r>
        <w:rPr>
          <w:rFonts w:eastAsia="黑体"/>
          <w:sz w:val="24"/>
          <w:szCs w:val="24"/>
        </w:rPr>
        <w:t>三 采用国际标准或国外先进标准的情况及水平对比</w:t>
      </w:r>
    </w:p>
    <w:p w14:paraId="34B70E99">
      <w:pPr>
        <w:spacing w:before="100" w:beforeAutospacing="1" w:after="100" w:afterAutospacing="1"/>
        <w:ind w:firstLine="480" w:firstLineChars="200"/>
        <w:rPr>
          <w:bCs/>
          <w:sz w:val="24"/>
          <w:szCs w:val="24"/>
        </w:rPr>
      </w:pPr>
      <w:r>
        <w:rPr>
          <w:bCs/>
          <w:sz w:val="24"/>
          <w:szCs w:val="24"/>
        </w:rPr>
        <w:t>本标准未采用国际标准或国外先进标准。</w:t>
      </w:r>
    </w:p>
    <w:p w14:paraId="6657A88B">
      <w:pPr>
        <w:spacing w:before="100" w:beforeAutospacing="1" w:after="100" w:afterAutospacing="1"/>
        <w:rPr>
          <w:rFonts w:eastAsia="黑体"/>
          <w:sz w:val="24"/>
          <w:szCs w:val="24"/>
        </w:rPr>
      </w:pPr>
      <w:r>
        <w:rPr>
          <w:rFonts w:hint="eastAsia" w:eastAsia="黑体"/>
          <w:sz w:val="24"/>
          <w:szCs w:val="24"/>
          <w:lang w:val="en-US" w:eastAsia="zh-CN"/>
        </w:rPr>
        <w:t>四</w:t>
      </w:r>
      <w:r>
        <w:rPr>
          <w:rFonts w:eastAsia="黑体"/>
          <w:sz w:val="24"/>
          <w:szCs w:val="24"/>
        </w:rPr>
        <w:t xml:space="preserve"> 对贯彻执行</w:t>
      </w:r>
      <w:r>
        <w:rPr>
          <w:rFonts w:hint="eastAsia" w:eastAsia="黑体"/>
          <w:sz w:val="24"/>
          <w:szCs w:val="24"/>
          <w:lang w:eastAsia="zh-CN"/>
        </w:rPr>
        <w:t>团体标准</w:t>
      </w:r>
      <w:r>
        <w:rPr>
          <w:rFonts w:eastAsia="黑体"/>
          <w:sz w:val="24"/>
          <w:szCs w:val="24"/>
        </w:rPr>
        <w:t>的措施和意义</w:t>
      </w:r>
    </w:p>
    <w:p w14:paraId="79A0870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rPr>
      </w:pPr>
      <w:r>
        <w:rPr>
          <w:rFonts w:hint="eastAsia"/>
          <w:sz w:val="24"/>
        </w:rPr>
        <w:t>《石油产品质量检测移动实验室通用技术要求》的建立，为实现石油产品质量检测移动实验室的建立提供了指导，对同类检测移动实验室的推广应用起到了促进作用，可显著提升油库、加油站等销售一线检测能力和范围，可有力提升产品质量现场监控能力，有利于防止非法添加行为，阻止劣质汽油流通，有利于保护消费合法权益和维护各石油销售公司产品质量形象。</w:t>
      </w:r>
    </w:p>
    <w:p w14:paraId="2B60F76E">
      <w:pPr>
        <w:rPr>
          <w:rFonts w:hint="eastAsia"/>
          <w:sz w:val="24"/>
        </w:rPr>
      </w:pPr>
      <w:r>
        <w:rPr>
          <w:rFonts w:hint="eastAsia"/>
          <w:sz w:val="24"/>
        </w:rPr>
        <w:t>同时本方法的建立可帮助解决科研、生产中的问题，其所产生的经济效益包括在相应的产品之中。</w:t>
      </w:r>
    </w:p>
    <w:p w14:paraId="2EE741AE">
      <w:pPr>
        <w:rPr>
          <w:b/>
          <w:sz w:val="28"/>
          <w:szCs w:val="28"/>
        </w:rPr>
      </w:pPr>
      <w:r>
        <w:rPr>
          <w:b/>
          <w:sz w:val="28"/>
          <w:szCs w:val="28"/>
        </w:rPr>
        <w:t>引用文献</w:t>
      </w:r>
    </w:p>
    <w:p w14:paraId="7CC689E3">
      <w:pPr>
        <w:rPr>
          <w:rFonts w:hint="eastAsia" w:eastAsia="微软雅黑"/>
          <w:lang w:eastAsia="zh-CN"/>
        </w:rPr>
      </w:pPr>
      <w:r>
        <w:t>[</w:t>
      </w:r>
      <w:r>
        <w:rPr>
          <w:rFonts w:hint="eastAsia"/>
        </w:rPr>
        <w:t>1</w:t>
      </w:r>
      <w:r>
        <w:t>] 仪器分析，朱明华，胡坪，4版.北京：高等教育出版社，2008.6，217.</w:t>
      </w:r>
      <w:r>
        <w:rPr>
          <w:rFonts w:hint="eastAsia"/>
          <w:lang w:eastAsia="zh-CN"/>
        </w:rPr>
        <w:t>（</w:t>
      </w:r>
      <w:r>
        <w:rPr>
          <w:rFonts w:hint="eastAsia"/>
          <w:lang w:val="en-US" w:eastAsia="zh-CN"/>
        </w:rPr>
        <w:t>示例</w:t>
      </w:r>
      <w:r>
        <w:rPr>
          <w:rFonts w:hint="eastAsia"/>
          <w:lang w:eastAsia="zh-CN"/>
        </w:rPr>
        <w:t>）</w:t>
      </w:r>
    </w:p>
    <w:p w14:paraId="0E9548B8">
      <w:pPr>
        <w:rPr>
          <w:b/>
          <w:sz w:val="28"/>
          <w:szCs w:val="28"/>
        </w:rPr>
      </w:pPr>
      <w:r>
        <w:t>[</w:t>
      </w:r>
      <w:r>
        <w:rPr>
          <w:rFonts w:hint="eastAsia"/>
        </w:rPr>
        <w:t>2</w:t>
      </w:r>
      <w:r>
        <w:t xml:space="preserve">] </w:t>
      </w:r>
    </w:p>
    <w:p w14:paraId="1F302A21">
      <w:pPr>
        <w:rPr>
          <w:rFonts w:hint="default"/>
          <w:lang w:eastAsia="zh-CN"/>
        </w:rPr>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A4738">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5F0DD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2D5F0DD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EE07">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1EAAE2"/>
    <w:multiLevelType w:val="multilevel"/>
    <w:tmpl w:val="EF1EAAE2"/>
    <w:lvl w:ilvl="0" w:tentative="0">
      <w:start w:val="1"/>
      <w:numFmt w:val="lowerLetter"/>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1"/>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46531021"/>
    <w:multiLevelType w:val="singleLevel"/>
    <w:tmpl w:val="46531021"/>
    <w:lvl w:ilvl="0" w:tentative="0">
      <w:start w:val="1"/>
      <w:numFmt w:val="decimal"/>
      <w:suff w:val="space"/>
      <w:lvlText w:val="%1."/>
      <w:lvlJc w:val="left"/>
    </w:lvl>
  </w:abstractNum>
  <w:abstractNum w:abstractNumId="3">
    <w:nsid w:val="73F7DEE9"/>
    <w:multiLevelType w:val="singleLevel"/>
    <w:tmpl w:val="73F7DEE9"/>
    <w:lvl w:ilvl="0" w:tentative="0">
      <w:start w:val="4"/>
      <w:numFmt w:val="decimal"/>
      <w:suff w:val="nothing"/>
      <w:lvlText w:val="%1　"/>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attachedTemplate r:id="rId1"/>
  <w:documentProtection w:enforcement="0"/>
  <w:defaultTabStop w:val="420"/>
  <w:drawingGridHorizontalSpacing w:val="210"/>
  <w:drawingGridVerticalSpacing w:val="19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xNDVkNDhiNzg4MmU3NDFmM2NjN2FlMTc4ZTEyMzUifQ=="/>
  </w:docVars>
  <w:rsids>
    <w:rsidRoot w:val="1AA24D9F"/>
    <w:rsid w:val="0046375D"/>
    <w:rsid w:val="05F369EA"/>
    <w:rsid w:val="068B60B1"/>
    <w:rsid w:val="07011CC2"/>
    <w:rsid w:val="07644792"/>
    <w:rsid w:val="07B23486"/>
    <w:rsid w:val="09284798"/>
    <w:rsid w:val="097A7FD3"/>
    <w:rsid w:val="0BEE3399"/>
    <w:rsid w:val="0C201306"/>
    <w:rsid w:val="0C7358DA"/>
    <w:rsid w:val="0EA508BA"/>
    <w:rsid w:val="0F136F00"/>
    <w:rsid w:val="0F2B6FD9"/>
    <w:rsid w:val="0F3111E3"/>
    <w:rsid w:val="119C3706"/>
    <w:rsid w:val="13824654"/>
    <w:rsid w:val="144638D4"/>
    <w:rsid w:val="14B307DB"/>
    <w:rsid w:val="183C240D"/>
    <w:rsid w:val="1AA24D9F"/>
    <w:rsid w:val="1AF37BE5"/>
    <w:rsid w:val="1B5D7DC2"/>
    <w:rsid w:val="1C3F4F02"/>
    <w:rsid w:val="1E22594E"/>
    <w:rsid w:val="1EED151B"/>
    <w:rsid w:val="20BF0C96"/>
    <w:rsid w:val="20E406FC"/>
    <w:rsid w:val="22723AE6"/>
    <w:rsid w:val="23B32608"/>
    <w:rsid w:val="24716772"/>
    <w:rsid w:val="24CA7C09"/>
    <w:rsid w:val="283F446A"/>
    <w:rsid w:val="28DA2E89"/>
    <w:rsid w:val="2A4254F9"/>
    <w:rsid w:val="2B51698E"/>
    <w:rsid w:val="2CBA67B5"/>
    <w:rsid w:val="2D1F32F4"/>
    <w:rsid w:val="2F7E7F6E"/>
    <w:rsid w:val="30004E27"/>
    <w:rsid w:val="323B4D81"/>
    <w:rsid w:val="33F721C4"/>
    <w:rsid w:val="34B70380"/>
    <w:rsid w:val="3AE174A3"/>
    <w:rsid w:val="3D163594"/>
    <w:rsid w:val="3DF14C86"/>
    <w:rsid w:val="3E9A01F4"/>
    <w:rsid w:val="3FEF631E"/>
    <w:rsid w:val="43446334"/>
    <w:rsid w:val="44A84E71"/>
    <w:rsid w:val="44AF3861"/>
    <w:rsid w:val="477DCE1E"/>
    <w:rsid w:val="49042E3A"/>
    <w:rsid w:val="4AAA17BF"/>
    <w:rsid w:val="4B545024"/>
    <w:rsid w:val="4B6E4EE3"/>
    <w:rsid w:val="4B7324F9"/>
    <w:rsid w:val="4C905538"/>
    <w:rsid w:val="4E255E4C"/>
    <w:rsid w:val="51114346"/>
    <w:rsid w:val="51D46B83"/>
    <w:rsid w:val="55621614"/>
    <w:rsid w:val="573E1E21"/>
    <w:rsid w:val="57DF5B38"/>
    <w:rsid w:val="57FF028E"/>
    <w:rsid w:val="5806097D"/>
    <w:rsid w:val="5923730C"/>
    <w:rsid w:val="5B070568"/>
    <w:rsid w:val="5B487E91"/>
    <w:rsid w:val="5C3D2493"/>
    <w:rsid w:val="5CE60D7D"/>
    <w:rsid w:val="5CF9550F"/>
    <w:rsid w:val="5DAF116F"/>
    <w:rsid w:val="5EFEBDE8"/>
    <w:rsid w:val="5FE07109"/>
    <w:rsid w:val="60251BBC"/>
    <w:rsid w:val="618943CD"/>
    <w:rsid w:val="63D640D5"/>
    <w:rsid w:val="67A45ABC"/>
    <w:rsid w:val="68064081"/>
    <w:rsid w:val="68CA2609"/>
    <w:rsid w:val="68CC1AED"/>
    <w:rsid w:val="69BB0F42"/>
    <w:rsid w:val="69BF6BDD"/>
    <w:rsid w:val="6A230B6F"/>
    <w:rsid w:val="6A637494"/>
    <w:rsid w:val="6A753740"/>
    <w:rsid w:val="6BCF62E6"/>
    <w:rsid w:val="6CD3A16D"/>
    <w:rsid w:val="6CF211CD"/>
    <w:rsid w:val="6D535020"/>
    <w:rsid w:val="6D6655C2"/>
    <w:rsid w:val="6E5F49A6"/>
    <w:rsid w:val="6E8E3022"/>
    <w:rsid w:val="6FFF37D2"/>
    <w:rsid w:val="70DE2EF1"/>
    <w:rsid w:val="75410DEE"/>
    <w:rsid w:val="762229CE"/>
    <w:rsid w:val="78B2790D"/>
    <w:rsid w:val="7A5F078B"/>
    <w:rsid w:val="7B09527D"/>
    <w:rsid w:val="7BEB3862"/>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7">
    <w:name w:val="Default Paragraph Font"/>
    <w:qFormat/>
    <w:uiPriority w:val="0"/>
    <w:rPr>
      <w:rFonts w:eastAsia="微软雅黑" w:asciiTheme="minorAscii" w:hAnsiTheme="minorAscii"/>
    </w:rPr>
  </w:style>
  <w:style w:type="table" w:default="1" w:styleId="1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Normal Indent"/>
    <w:basedOn w:val="1"/>
    <w:qFormat/>
    <w:uiPriority w:val="0"/>
    <w:pPr>
      <w:ind w:firstLine="420"/>
    </w:pPr>
    <w:rPr>
      <w:szCs w:val="20"/>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_Style 1"/>
    <w:basedOn w:val="1"/>
    <w:qFormat/>
    <w:uiPriority w:val="34"/>
    <w:pPr>
      <w:ind w:firstLine="420" w:firstLineChars="200"/>
    </w:pPr>
  </w:style>
  <w:style w:type="character" w:customStyle="1" w:styleId="19">
    <w:name w:val="font01"/>
    <w:qFormat/>
    <w:uiPriority w:val="0"/>
    <w:rPr>
      <w:rFonts w:ascii="Symbol" w:hAnsi="Symbol" w:cs="Symbol"/>
      <w:color w:val="000000"/>
      <w:sz w:val="24"/>
      <w:szCs w:val="24"/>
      <w:u w:val="none"/>
    </w:rPr>
  </w:style>
  <w:style w:type="character" w:customStyle="1" w:styleId="20">
    <w:name w:val="font11"/>
    <w:qFormat/>
    <w:uiPriority w:val="0"/>
    <w:rPr>
      <w:rFonts w:hint="eastAsia" w:ascii="宋体" w:hAnsi="宋体" w:eastAsia="宋体" w:cs="宋体"/>
      <w:color w:val="000000"/>
      <w:sz w:val="24"/>
      <w:szCs w:val="24"/>
      <w:u w:val="none"/>
    </w:rPr>
  </w:style>
  <w:style w:type="paragraph" w:customStyle="1" w:styleId="21">
    <w:name w:val="一级条标题"/>
    <w:next w:val="22"/>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2">
    <w:name w:val="段"/>
    <w:qFormat/>
    <w:uiPriority w:val="0"/>
    <w:pPr>
      <w:tabs>
        <w:tab w:val="center" w:pos="4201"/>
        <w:tab w:val="right" w:leader="dot" w:pos="9298"/>
      </w:tabs>
      <w:autoSpaceDE w:val="0"/>
      <w:autoSpaceDN w:val="0"/>
      <w:ind w:firstLine="420" w:firstLineChars="200"/>
      <w:jc w:val="both"/>
    </w:pPr>
    <w:rPr>
      <w:rFonts w:ascii="宋体" w:hAnsi="Times New Roman" w:eastAsia="Times New Roman" w:cs="Times New Roman"/>
      <w:sz w:val="21"/>
      <w:lang w:val="en-US" w:eastAsia="zh-CN" w:bidi="ar-SA"/>
    </w:rPr>
  </w:style>
  <w:style w:type="paragraph" w:customStyle="1" w:styleId="23">
    <w:name w:val="二级标题"/>
    <w:basedOn w:val="24"/>
    <w:qFormat/>
    <w:uiPriority w:val="0"/>
    <w:rPr>
      <w:rFonts w:eastAsia="黑体"/>
      <w:sz w:val="21"/>
    </w:rPr>
  </w:style>
  <w:style w:type="paragraph" w:customStyle="1" w:styleId="24">
    <w:name w:val="一级标题"/>
    <w:basedOn w:val="11"/>
    <w:qFormat/>
    <w:uiPriority w:val="0"/>
    <w:pPr>
      <w:spacing w:before="50" w:beforeLines="50" w:after="50" w:afterLines="50" w:line="320" w:lineRule="exact"/>
      <w:ind w:firstLine="0" w:firstLineChars="0"/>
    </w:pPr>
    <w:rPr>
      <w:rFonts w:ascii="Times New Roman" w:hAnsi="Times New Roman" w:eastAsia="仿宋"/>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ata\weboffice\tmp\webword_2873602657\D:\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1749</Words>
  <Characters>1815</Characters>
  <Lines>1</Lines>
  <Paragraphs>1</Paragraphs>
  <TotalTime>2</TotalTime>
  <ScaleCrop>false</ScaleCrop>
  <LinksUpToDate>false</LinksUpToDate>
  <CharactersWithSpaces>1869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2018-05-28T01:24:00Z</dcterms:created>
  <dc:creator>Dell</dc:creator>
  <cp:lastModifiedBy>shadow walker</cp:lastModifiedBy>
  <dcterms:modified xsi:type="dcterms:W3CDTF">2025-10-27T02:08:42Z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08995D3BBE1BCE30F86DD667A016CDCF_43</vt:lpwstr>
  </property>
  <property fmtid="{D5CDD505-2E9C-101B-9397-08002B2CF9AE}" pid="6" name="KSOTemplateDocerSaveRecord">
    <vt:lpwstr>eyJoZGlkIjoiMjE2MWQ3OGU5NTVkMzMwOGU2MDc1ZmZhYjg4YzM0ZmYiLCJ1c2VySWQiOiIyNDIzMzQwNjYifQ==</vt:lpwstr>
  </property>
</Properties>
</file>