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312A">
      <w:pPr>
        <w:spacing w:line="360" w:lineRule="auto"/>
        <w:ind w:firstLine="2240" w:firstLineChars="400"/>
        <w:rPr>
          <w:rFonts w:hint="eastAsia"/>
          <w:color w:val="auto"/>
          <w:spacing w:val="20"/>
          <w:sz w:val="52"/>
          <w:szCs w:val="52"/>
        </w:rPr>
      </w:pPr>
    </w:p>
    <w:p w14:paraId="4441C45A">
      <w:pPr>
        <w:spacing w:line="360" w:lineRule="auto"/>
        <w:jc w:val="center"/>
        <w:rPr>
          <w:rFonts w:ascii="黑体" w:hAnsi="黑体" w:eastAsia="黑体" w:cs="黑体"/>
          <w:b/>
          <w:color w:val="auto"/>
          <w:sz w:val="30"/>
          <w:szCs w:val="30"/>
        </w:rPr>
      </w:pPr>
      <w:r>
        <w:rPr>
          <w:rFonts w:hint="eastAsia"/>
          <w:color w:val="auto"/>
          <w:spacing w:val="20"/>
          <w:sz w:val="52"/>
          <w:szCs w:val="52"/>
        </w:rPr>
        <w:t>内蒙古</w:t>
      </w:r>
      <w:r>
        <w:rPr>
          <w:rFonts w:hint="eastAsia"/>
          <w:color w:val="auto"/>
          <w:spacing w:val="20"/>
          <w:sz w:val="52"/>
          <w:szCs w:val="52"/>
          <w:lang w:val="en-US" w:eastAsia="zh-CN"/>
        </w:rPr>
        <w:t>奶业</w:t>
      </w:r>
      <w:r>
        <w:rPr>
          <w:rFonts w:hint="eastAsia"/>
          <w:color w:val="auto"/>
          <w:spacing w:val="20"/>
          <w:sz w:val="52"/>
          <w:szCs w:val="52"/>
        </w:rPr>
        <w:t>协会</w:t>
      </w:r>
    </w:p>
    <w:p w14:paraId="0FCA6A06">
      <w:pPr>
        <w:spacing w:line="360" w:lineRule="auto"/>
        <w:ind w:firstLine="602" w:firstLineChars="200"/>
        <w:jc w:val="center"/>
        <w:rPr>
          <w:rFonts w:ascii="黑体" w:hAnsi="黑体" w:eastAsia="黑体" w:cs="黑体"/>
          <w:b/>
          <w:color w:val="auto"/>
          <w:sz w:val="30"/>
          <w:szCs w:val="30"/>
        </w:rPr>
      </w:pPr>
    </w:p>
    <w:p w14:paraId="3D43D2CE">
      <w:pPr>
        <w:spacing w:line="360" w:lineRule="auto"/>
        <w:ind w:firstLine="602" w:firstLineChars="200"/>
        <w:jc w:val="center"/>
        <w:rPr>
          <w:rFonts w:ascii="黑体" w:hAnsi="黑体" w:eastAsia="黑体" w:cs="黑体"/>
          <w:b/>
          <w:color w:val="auto"/>
          <w:sz w:val="30"/>
          <w:szCs w:val="30"/>
        </w:rPr>
      </w:pPr>
    </w:p>
    <w:p w14:paraId="2CBE4A0C">
      <w:pPr>
        <w:spacing w:after="240"/>
        <w:jc w:val="center"/>
        <w:rPr>
          <w:rFonts w:ascii="黑体" w:hAnsi="黑体" w:eastAsia="黑体" w:cs="黑体"/>
          <w:color w:val="auto"/>
          <w:kern w:val="0"/>
          <w:sz w:val="40"/>
          <w:szCs w:val="40"/>
        </w:rPr>
      </w:pPr>
      <w:r>
        <w:rPr>
          <w:rFonts w:hint="eastAsia" w:ascii="黑体" w:hAnsi="黑体" w:eastAsia="黑体" w:cs="黑体"/>
          <w:color w:val="auto"/>
          <w:kern w:val="0"/>
          <w:sz w:val="40"/>
          <w:szCs w:val="40"/>
        </w:rPr>
        <w:t>《生牛乳高氯酸盐控制技术规范》</w:t>
      </w:r>
    </w:p>
    <w:p w14:paraId="3C04D466">
      <w:pPr>
        <w:spacing w:after="240" w:line="360" w:lineRule="auto"/>
        <w:jc w:val="center"/>
        <w:rPr>
          <w:rFonts w:ascii="黑体" w:hAnsi="黑体" w:eastAsia="黑体" w:cs="黑体"/>
          <w:color w:val="auto"/>
          <w:kern w:val="0"/>
          <w:sz w:val="40"/>
          <w:szCs w:val="40"/>
        </w:rPr>
      </w:pPr>
      <w:r>
        <w:rPr>
          <w:rFonts w:hint="eastAsia" w:ascii="黑体" w:hAnsi="黑体" w:eastAsia="黑体" w:cs="黑体"/>
          <w:color w:val="auto"/>
          <w:kern w:val="0"/>
          <w:sz w:val="40"/>
          <w:szCs w:val="40"/>
        </w:rPr>
        <w:t>编制说明</w:t>
      </w:r>
    </w:p>
    <w:p w14:paraId="43D37065">
      <w:pPr>
        <w:spacing w:line="360" w:lineRule="auto"/>
        <w:jc w:val="center"/>
        <w:rPr>
          <w:rFonts w:ascii="黑体" w:hAnsi="黑体" w:eastAsia="黑体" w:cs="黑体"/>
          <w:color w:val="auto"/>
          <w:kern w:val="0"/>
          <w:sz w:val="40"/>
          <w:szCs w:val="40"/>
        </w:rPr>
      </w:pPr>
      <w:r>
        <w:rPr>
          <w:rFonts w:hint="eastAsia" w:ascii="黑体" w:hAnsi="黑体" w:eastAsia="黑体" w:cs="黑体"/>
          <w:color w:val="auto"/>
          <w:kern w:val="0"/>
          <w:sz w:val="40"/>
          <w:szCs w:val="40"/>
        </w:rPr>
        <w:t>（</w:t>
      </w:r>
      <w:r>
        <w:rPr>
          <w:rFonts w:hint="eastAsia" w:ascii="黑体" w:hAnsi="黑体" w:eastAsia="黑体" w:cs="黑体"/>
          <w:color w:val="auto"/>
          <w:kern w:val="0"/>
          <w:sz w:val="40"/>
          <w:szCs w:val="40"/>
          <w:lang w:val="en-US" w:eastAsia="zh-CN"/>
        </w:rPr>
        <w:t>征求意见</w:t>
      </w:r>
      <w:bookmarkStart w:id="1" w:name="_GoBack"/>
      <w:bookmarkEnd w:id="1"/>
      <w:r>
        <w:rPr>
          <w:rFonts w:hint="eastAsia" w:ascii="黑体" w:hAnsi="黑体" w:eastAsia="黑体" w:cs="黑体"/>
          <w:color w:val="auto"/>
          <w:kern w:val="0"/>
          <w:sz w:val="40"/>
          <w:szCs w:val="40"/>
          <w:lang w:val="en-US" w:eastAsia="zh-CN"/>
        </w:rPr>
        <w:t>稿</w:t>
      </w:r>
      <w:r>
        <w:rPr>
          <w:rFonts w:hint="eastAsia" w:ascii="黑体" w:hAnsi="黑体" w:eastAsia="黑体" w:cs="黑体"/>
          <w:color w:val="auto"/>
          <w:kern w:val="0"/>
          <w:sz w:val="40"/>
          <w:szCs w:val="40"/>
        </w:rPr>
        <w:t>）</w:t>
      </w:r>
    </w:p>
    <w:p w14:paraId="450054F8">
      <w:pPr>
        <w:spacing w:line="360" w:lineRule="auto"/>
        <w:ind w:firstLine="602" w:firstLineChars="200"/>
        <w:jc w:val="center"/>
        <w:rPr>
          <w:rFonts w:ascii="黑体" w:hAnsi="黑体" w:eastAsia="黑体" w:cs="黑体"/>
          <w:b/>
          <w:color w:val="auto"/>
          <w:sz w:val="30"/>
          <w:szCs w:val="30"/>
        </w:rPr>
      </w:pPr>
    </w:p>
    <w:p w14:paraId="1F818409">
      <w:pPr>
        <w:spacing w:line="360" w:lineRule="auto"/>
        <w:ind w:firstLine="602" w:firstLineChars="200"/>
        <w:jc w:val="center"/>
        <w:rPr>
          <w:rFonts w:ascii="黑体" w:hAnsi="黑体" w:eastAsia="黑体" w:cs="黑体"/>
          <w:b/>
          <w:color w:val="auto"/>
          <w:sz w:val="30"/>
          <w:szCs w:val="30"/>
        </w:rPr>
      </w:pPr>
    </w:p>
    <w:p w14:paraId="2E6E3428">
      <w:pPr>
        <w:spacing w:line="360" w:lineRule="auto"/>
        <w:ind w:firstLine="602" w:firstLineChars="200"/>
        <w:jc w:val="center"/>
        <w:rPr>
          <w:rFonts w:ascii="黑体" w:hAnsi="黑体" w:eastAsia="黑体" w:cs="黑体"/>
          <w:b/>
          <w:color w:val="auto"/>
          <w:sz w:val="30"/>
          <w:szCs w:val="30"/>
        </w:rPr>
      </w:pPr>
    </w:p>
    <w:p w14:paraId="1602394D">
      <w:pPr>
        <w:spacing w:line="360" w:lineRule="auto"/>
        <w:ind w:firstLine="602" w:firstLineChars="200"/>
        <w:jc w:val="center"/>
        <w:rPr>
          <w:rFonts w:ascii="黑体" w:hAnsi="黑体" w:eastAsia="黑体" w:cs="黑体"/>
          <w:b/>
          <w:color w:val="auto"/>
          <w:sz w:val="30"/>
          <w:szCs w:val="30"/>
        </w:rPr>
      </w:pPr>
    </w:p>
    <w:p w14:paraId="39E33E63">
      <w:pPr>
        <w:spacing w:line="360" w:lineRule="auto"/>
        <w:ind w:firstLine="602" w:firstLineChars="200"/>
        <w:jc w:val="center"/>
        <w:rPr>
          <w:rFonts w:ascii="黑体" w:hAnsi="黑体" w:eastAsia="黑体" w:cs="黑体"/>
          <w:b/>
          <w:color w:val="auto"/>
          <w:sz w:val="30"/>
          <w:szCs w:val="30"/>
        </w:rPr>
      </w:pPr>
    </w:p>
    <w:p w14:paraId="338838B2">
      <w:pPr>
        <w:spacing w:line="360" w:lineRule="auto"/>
        <w:ind w:firstLine="602" w:firstLineChars="200"/>
        <w:jc w:val="center"/>
        <w:rPr>
          <w:rFonts w:ascii="黑体" w:hAnsi="黑体" w:eastAsia="黑体" w:cs="黑体"/>
          <w:b/>
          <w:color w:val="auto"/>
          <w:sz w:val="30"/>
          <w:szCs w:val="30"/>
        </w:rPr>
      </w:pPr>
    </w:p>
    <w:p w14:paraId="0CC5A4EB">
      <w:pPr>
        <w:spacing w:line="360" w:lineRule="auto"/>
        <w:ind w:firstLine="602" w:firstLineChars="200"/>
        <w:jc w:val="center"/>
        <w:rPr>
          <w:rFonts w:ascii="黑体" w:hAnsi="黑体" w:eastAsia="黑体" w:cs="黑体"/>
          <w:b/>
          <w:color w:val="auto"/>
          <w:sz w:val="30"/>
          <w:szCs w:val="30"/>
        </w:rPr>
      </w:pPr>
    </w:p>
    <w:p w14:paraId="07F3EEF5">
      <w:pPr>
        <w:spacing w:line="360" w:lineRule="auto"/>
        <w:ind w:firstLine="602" w:firstLineChars="200"/>
        <w:jc w:val="center"/>
        <w:rPr>
          <w:rFonts w:ascii="黑体" w:hAnsi="黑体" w:eastAsia="黑体" w:cs="黑体"/>
          <w:b/>
          <w:color w:val="auto"/>
          <w:sz w:val="30"/>
          <w:szCs w:val="30"/>
        </w:rPr>
      </w:pPr>
    </w:p>
    <w:p w14:paraId="24ADD178">
      <w:pPr>
        <w:spacing w:line="360" w:lineRule="auto"/>
        <w:ind w:firstLine="602" w:firstLineChars="200"/>
        <w:jc w:val="center"/>
        <w:rPr>
          <w:rFonts w:ascii="黑体" w:hAnsi="黑体" w:eastAsia="黑体" w:cs="黑体"/>
          <w:b/>
          <w:color w:val="auto"/>
          <w:sz w:val="30"/>
          <w:szCs w:val="30"/>
        </w:rPr>
      </w:pPr>
    </w:p>
    <w:p w14:paraId="27DA50F6">
      <w:pPr>
        <w:spacing w:line="360" w:lineRule="auto"/>
        <w:ind w:firstLine="602" w:firstLineChars="200"/>
        <w:jc w:val="center"/>
        <w:rPr>
          <w:rFonts w:ascii="黑体" w:hAnsi="黑体" w:eastAsia="黑体" w:cs="黑体"/>
          <w:b/>
          <w:color w:val="auto"/>
          <w:sz w:val="30"/>
          <w:szCs w:val="30"/>
        </w:rPr>
      </w:pPr>
    </w:p>
    <w:p w14:paraId="50C0AB11">
      <w:pPr>
        <w:spacing w:line="360" w:lineRule="auto"/>
        <w:ind w:firstLine="602" w:firstLineChars="200"/>
        <w:jc w:val="center"/>
        <w:rPr>
          <w:rFonts w:ascii="黑体" w:hAnsi="黑体" w:eastAsia="黑体" w:cs="黑体"/>
          <w:b/>
          <w:color w:val="auto"/>
          <w:sz w:val="30"/>
          <w:szCs w:val="30"/>
        </w:rPr>
      </w:pPr>
    </w:p>
    <w:p w14:paraId="406B09DC">
      <w:pPr>
        <w:spacing w:line="360" w:lineRule="auto"/>
        <w:jc w:val="center"/>
        <w:rPr>
          <w:rFonts w:ascii="黑体" w:hAnsi="黑体" w:eastAsia="黑体" w:cs="黑体"/>
          <w:b/>
          <w:bCs w:val="0"/>
          <w:color w:val="auto"/>
          <w:sz w:val="40"/>
          <w:szCs w:val="40"/>
        </w:rPr>
      </w:pPr>
      <w:r>
        <w:rPr>
          <w:rFonts w:hint="eastAsia" w:ascii="黑体" w:hAnsi="黑体" w:eastAsia="黑体" w:cs="黑体"/>
          <w:b/>
          <w:bCs w:val="0"/>
          <w:color w:val="auto"/>
          <w:sz w:val="40"/>
          <w:szCs w:val="40"/>
        </w:rPr>
        <w:t>《</w:t>
      </w:r>
      <w:r>
        <w:rPr>
          <w:rFonts w:hint="eastAsia" w:ascii="黑体" w:hAnsi="黑体" w:eastAsia="黑体" w:cs="黑体"/>
          <w:b/>
          <w:bCs w:val="0"/>
          <w:color w:val="auto"/>
          <w:kern w:val="0"/>
          <w:sz w:val="40"/>
          <w:szCs w:val="40"/>
        </w:rPr>
        <w:t>生牛乳高氯酸盐控制技术规范</w:t>
      </w:r>
      <w:r>
        <w:rPr>
          <w:rFonts w:hint="eastAsia" w:ascii="黑体" w:hAnsi="黑体" w:eastAsia="黑体" w:cs="黑体"/>
          <w:b/>
          <w:bCs w:val="0"/>
          <w:color w:val="auto"/>
          <w:sz w:val="40"/>
          <w:szCs w:val="40"/>
        </w:rPr>
        <w:t>》起草组</w:t>
      </w:r>
    </w:p>
    <w:p w14:paraId="04E1C1CC">
      <w:pPr>
        <w:spacing w:line="360" w:lineRule="auto"/>
        <w:jc w:val="center"/>
        <w:rPr>
          <w:rFonts w:ascii="黑体" w:hAnsi="黑体" w:eastAsia="黑体" w:cs="黑体"/>
          <w:b/>
          <w:color w:val="auto"/>
          <w:sz w:val="40"/>
          <w:szCs w:val="40"/>
        </w:rPr>
      </w:pPr>
      <w:r>
        <w:rPr>
          <w:rFonts w:hint="eastAsia" w:ascii="黑体" w:hAnsi="黑体" w:eastAsia="黑体" w:cs="黑体"/>
          <w:b/>
          <w:bCs w:val="0"/>
          <w:color w:val="auto"/>
          <w:sz w:val="40"/>
          <w:szCs w:val="40"/>
        </w:rPr>
        <w:t>20</w:t>
      </w:r>
      <w:r>
        <w:rPr>
          <w:rFonts w:ascii="黑体" w:hAnsi="黑体" w:eastAsia="黑体" w:cs="黑体"/>
          <w:b/>
          <w:bCs w:val="0"/>
          <w:color w:val="auto"/>
          <w:sz w:val="40"/>
          <w:szCs w:val="40"/>
        </w:rPr>
        <w:t>2</w:t>
      </w:r>
      <w:r>
        <w:rPr>
          <w:rFonts w:hint="eastAsia" w:ascii="黑体" w:hAnsi="黑体" w:eastAsia="黑体" w:cs="黑体"/>
          <w:b/>
          <w:bCs w:val="0"/>
          <w:color w:val="auto"/>
          <w:sz w:val="40"/>
          <w:szCs w:val="40"/>
          <w:lang w:val="en-US" w:eastAsia="zh-CN"/>
        </w:rPr>
        <w:t>5</w:t>
      </w:r>
      <w:r>
        <w:rPr>
          <w:rFonts w:hint="eastAsia" w:ascii="黑体" w:hAnsi="黑体" w:eastAsia="黑体" w:cs="黑体"/>
          <w:b/>
          <w:bCs w:val="0"/>
          <w:color w:val="auto"/>
          <w:sz w:val="40"/>
          <w:szCs w:val="40"/>
        </w:rPr>
        <w:t>年</w:t>
      </w:r>
      <w:r>
        <w:rPr>
          <w:rFonts w:hint="eastAsia" w:ascii="黑体" w:hAnsi="黑体" w:eastAsia="黑体" w:cs="黑体"/>
          <w:b/>
          <w:bCs w:val="0"/>
          <w:color w:val="auto"/>
          <w:sz w:val="40"/>
          <w:szCs w:val="40"/>
          <w:lang w:val="en-US" w:eastAsia="zh-CN"/>
        </w:rPr>
        <w:t>10</w:t>
      </w:r>
      <w:r>
        <w:rPr>
          <w:rFonts w:hint="eastAsia" w:ascii="黑体" w:hAnsi="黑体" w:eastAsia="黑体" w:cs="黑体"/>
          <w:b/>
          <w:bCs w:val="0"/>
          <w:color w:val="auto"/>
          <w:sz w:val="40"/>
          <w:szCs w:val="40"/>
        </w:rPr>
        <w:t>月</w:t>
      </w:r>
    </w:p>
    <w:p w14:paraId="26319AAF">
      <w:pPr>
        <w:spacing w:line="360" w:lineRule="auto"/>
        <w:ind w:firstLine="602" w:firstLineChars="200"/>
        <w:rPr>
          <w:rFonts w:ascii="黑体" w:hAnsi="黑体" w:eastAsia="黑体" w:cs="黑体"/>
          <w:b/>
          <w:color w:val="auto"/>
          <w:sz w:val="30"/>
          <w:szCs w:val="30"/>
        </w:rPr>
      </w:pPr>
      <w:r>
        <w:rPr>
          <w:rFonts w:hint="eastAsia" w:ascii="黑体" w:hAnsi="黑体" w:eastAsia="黑体" w:cs="黑体"/>
          <w:b/>
          <w:color w:val="auto"/>
          <w:sz w:val="30"/>
          <w:szCs w:val="30"/>
        </w:rPr>
        <w:t xml:space="preserve"> </w:t>
      </w:r>
      <w:r>
        <w:rPr>
          <w:rFonts w:ascii="黑体" w:hAnsi="黑体" w:eastAsia="黑体" w:cs="黑体"/>
          <w:b/>
          <w:color w:val="auto"/>
          <w:sz w:val="30"/>
          <w:szCs w:val="30"/>
        </w:rPr>
        <w:t xml:space="preserve">                       </w:t>
      </w:r>
    </w:p>
    <w:p w14:paraId="78A830CE">
      <w:pPr>
        <w:jc w:val="center"/>
        <w:rPr>
          <w:rFonts w:asciiTheme="minorEastAsia" w:hAnsiTheme="minorEastAsia"/>
          <w:b/>
          <w:color w:val="auto"/>
          <w:sz w:val="36"/>
          <w:szCs w:val="36"/>
        </w:rPr>
      </w:pPr>
    </w:p>
    <w:p w14:paraId="6F34238F">
      <w:pPr>
        <w:jc w:val="center"/>
        <w:rPr>
          <w:rFonts w:asciiTheme="minorEastAsia" w:hAnsiTheme="minorEastAsia"/>
          <w:b/>
          <w:color w:val="auto"/>
          <w:sz w:val="36"/>
          <w:szCs w:val="36"/>
        </w:rPr>
      </w:pPr>
      <w:r>
        <w:rPr>
          <w:rFonts w:hint="eastAsia" w:asciiTheme="minorEastAsia" w:hAnsiTheme="minorEastAsia"/>
          <w:b/>
          <w:color w:val="auto"/>
          <w:sz w:val="36"/>
          <w:szCs w:val="36"/>
        </w:rPr>
        <w:t>《生牛乳高氯酸盐控制技术规范》</w:t>
      </w:r>
    </w:p>
    <w:p w14:paraId="395A3054">
      <w:pPr>
        <w:jc w:val="center"/>
        <w:rPr>
          <w:rFonts w:asciiTheme="minorEastAsia" w:hAnsiTheme="minorEastAsia"/>
          <w:b/>
          <w:color w:val="auto"/>
          <w:sz w:val="36"/>
          <w:szCs w:val="36"/>
        </w:rPr>
      </w:pPr>
      <w:r>
        <w:rPr>
          <w:rFonts w:hint="eastAsia" w:asciiTheme="minorEastAsia" w:hAnsiTheme="minorEastAsia"/>
          <w:b/>
          <w:color w:val="auto"/>
          <w:sz w:val="36"/>
          <w:szCs w:val="36"/>
        </w:rPr>
        <w:t>编制说明</w:t>
      </w:r>
    </w:p>
    <w:p w14:paraId="6B60946A">
      <w:pPr>
        <w:rPr>
          <w:rFonts w:ascii="仿宋" w:hAnsi="仿宋" w:eastAsia="仿宋"/>
          <w:b/>
          <w:color w:val="auto"/>
          <w:sz w:val="30"/>
          <w:szCs w:val="30"/>
        </w:rPr>
      </w:pPr>
      <w:r>
        <w:rPr>
          <w:rFonts w:hint="eastAsia" w:ascii="仿宋" w:hAnsi="仿宋" w:eastAsia="仿宋"/>
          <w:b/>
          <w:color w:val="auto"/>
          <w:sz w:val="30"/>
          <w:szCs w:val="30"/>
        </w:rPr>
        <w:t>一、工作简况</w:t>
      </w:r>
    </w:p>
    <w:p w14:paraId="1CC4B01F">
      <w:pPr>
        <w:rPr>
          <w:rFonts w:ascii="仿宋" w:hAnsi="仿宋" w:eastAsia="仿宋"/>
          <w:b/>
          <w:color w:val="auto"/>
          <w:sz w:val="28"/>
          <w:szCs w:val="28"/>
        </w:rPr>
      </w:pPr>
      <w:r>
        <w:rPr>
          <w:rFonts w:hint="eastAsia" w:ascii="仿宋" w:hAnsi="仿宋" w:eastAsia="仿宋"/>
          <w:b/>
          <w:color w:val="auto"/>
          <w:sz w:val="28"/>
          <w:szCs w:val="28"/>
        </w:rPr>
        <w:t>1、任务来源</w:t>
      </w:r>
    </w:p>
    <w:p w14:paraId="192E8F93">
      <w:pPr>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高氯酸盐是高氯酸形成的盐类，广泛存在于环境和食品中，可通过食物链的传递进入人体，尤其在婴幼儿配方粉中，通过生乳来源带入风险较大，引起行业、消费者广泛关注。研究报道也表示，生乳中高氯酸盐残留可能由于乳牛羊食用含有高氯酸盐的饲料或水，导致高氯酸盐在动物体内累积代谢，针对生乳中高氯酸盐目前尚无相应的管控标准。因此根据《内蒙古奶业协会关于&lt;</w:t>
      </w:r>
      <w:r>
        <w:rPr>
          <w:rFonts w:hint="eastAsia" w:ascii="仿宋" w:hAnsi="仿宋" w:eastAsia="仿宋"/>
          <w:color w:val="auto"/>
          <w:sz w:val="28"/>
          <w:szCs w:val="28"/>
        </w:rPr>
        <w:t>生牛乳需氧芽孢菌、嗜热需氧芽孢菌管控技术规范</w:t>
      </w:r>
      <w:r>
        <w:rPr>
          <w:rFonts w:hint="eastAsia" w:ascii="仿宋" w:hAnsi="仿宋" w:eastAsia="仿宋"/>
          <w:color w:val="auto"/>
          <w:sz w:val="28"/>
          <w:szCs w:val="28"/>
          <w:lang w:val="en-US" w:eastAsia="zh-CN"/>
        </w:rPr>
        <w:t>&gt;</w:t>
      </w:r>
      <w:r>
        <w:rPr>
          <w:rFonts w:hint="eastAsia" w:ascii="仿宋" w:hAnsi="仿宋" w:eastAsia="仿宋"/>
          <w:color w:val="auto"/>
          <w:sz w:val="28"/>
          <w:szCs w:val="28"/>
        </w:rPr>
        <w:t>等3项团体标准立项的公告</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内奶协发[2025]3号</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要求</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制定本标准</w:t>
      </w:r>
      <w:r>
        <w:rPr>
          <w:rFonts w:hint="eastAsia" w:ascii="仿宋" w:hAnsi="仿宋" w:eastAsia="仿宋"/>
          <w:color w:val="auto"/>
          <w:sz w:val="28"/>
          <w:szCs w:val="28"/>
        </w:rPr>
        <w:t>。</w:t>
      </w:r>
    </w:p>
    <w:p w14:paraId="6CA17FF5">
      <w:pPr>
        <w:pStyle w:val="2"/>
      </w:pPr>
    </w:p>
    <w:p w14:paraId="51DF8BB5">
      <w:pPr>
        <w:rPr>
          <w:rFonts w:ascii="仿宋" w:hAnsi="仿宋" w:eastAsia="仿宋"/>
          <w:b/>
          <w:color w:val="auto"/>
          <w:sz w:val="28"/>
          <w:szCs w:val="28"/>
        </w:rPr>
      </w:pPr>
      <w:r>
        <w:rPr>
          <w:rFonts w:hint="eastAsia" w:ascii="仿宋" w:hAnsi="仿宋" w:eastAsia="仿宋"/>
          <w:b/>
          <w:color w:val="auto"/>
          <w:sz w:val="28"/>
          <w:szCs w:val="28"/>
        </w:rPr>
        <w:t>2、起草单位及协作单位</w:t>
      </w:r>
    </w:p>
    <w:p w14:paraId="526B98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起草单位：内蒙古伊利实业集团股份有限公司</w:t>
      </w:r>
    </w:p>
    <w:p w14:paraId="47DC711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eastAsia="仿宋"/>
          <w:color w:val="auto"/>
          <w:sz w:val="28"/>
          <w:szCs w:val="28"/>
        </w:rPr>
      </w:pPr>
      <w:r>
        <w:rPr>
          <w:rFonts w:eastAsia="仿宋"/>
          <w:color w:val="auto"/>
          <w:sz w:val="28"/>
          <w:szCs w:val="28"/>
        </w:rPr>
        <w:t>协作单位：</w:t>
      </w:r>
      <w:r>
        <w:rPr>
          <w:rFonts w:hint="eastAsia" w:eastAsia="仿宋"/>
          <w:color w:val="auto"/>
          <w:sz w:val="28"/>
          <w:szCs w:val="28"/>
        </w:rPr>
        <w:t>内蒙古国家乳业技术创新中心有限责任公司、内蒙古乳业技术研究院有限责任公司、内蒙古优然牧业有限责任公司。</w:t>
      </w:r>
    </w:p>
    <w:p w14:paraId="2C638F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eastAsia="仿宋"/>
          <w:color w:val="auto"/>
          <w:sz w:val="28"/>
          <w:szCs w:val="28"/>
        </w:rPr>
      </w:pPr>
      <w:r>
        <w:rPr>
          <w:rFonts w:eastAsia="仿宋"/>
          <w:color w:val="auto"/>
          <w:sz w:val="28"/>
          <w:szCs w:val="28"/>
        </w:rPr>
        <w:t>归口单位：</w:t>
      </w:r>
      <w:r>
        <w:rPr>
          <w:rFonts w:hint="eastAsia" w:eastAsia="仿宋"/>
          <w:color w:val="auto"/>
          <w:sz w:val="28"/>
          <w:szCs w:val="28"/>
        </w:rPr>
        <w:t>内蒙古</w:t>
      </w:r>
      <w:r>
        <w:rPr>
          <w:rFonts w:hint="eastAsia" w:eastAsia="仿宋"/>
          <w:color w:val="auto"/>
          <w:sz w:val="28"/>
          <w:szCs w:val="28"/>
          <w:lang w:val="en-US" w:eastAsia="zh-CN"/>
        </w:rPr>
        <w:t>奶业</w:t>
      </w:r>
      <w:r>
        <w:rPr>
          <w:rFonts w:hint="eastAsia" w:eastAsia="仿宋"/>
          <w:color w:val="auto"/>
          <w:sz w:val="28"/>
          <w:szCs w:val="28"/>
        </w:rPr>
        <w:t>协会</w:t>
      </w:r>
    </w:p>
    <w:p w14:paraId="17FDB4E8">
      <w:pPr>
        <w:rPr>
          <w:rFonts w:ascii="仿宋" w:hAnsi="仿宋" w:eastAsia="仿宋"/>
          <w:b/>
          <w:color w:val="auto"/>
          <w:sz w:val="28"/>
          <w:szCs w:val="28"/>
        </w:rPr>
      </w:pPr>
      <w:r>
        <w:rPr>
          <w:rFonts w:hint="eastAsia" w:ascii="仿宋" w:hAnsi="仿宋" w:eastAsia="仿宋"/>
          <w:b/>
          <w:color w:val="auto"/>
          <w:sz w:val="28"/>
          <w:szCs w:val="28"/>
        </w:rPr>
        <w:t>3、主要起草人</w:t>
      </w:r>
    </w:p>
    <w:p w14:paraId="2D4ECB5F">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本标准主要起草人为：王亮、许红岩、宋志强、张娟、裴晓燕、韩晓旭、王娜、谢跃博、吴明鸽、尹睿杰</w:t>
      </w:r>
      <w:r>
        <w:rPr>
          <w:rFonts w:hint="eastAsia" w:ascii="仿宋" w:hAnsi="仿宋" w:eastAsia="仿宋"/>
          <w:color w:val="auto"/>
          <w:sz w:val="28"/>
          <w:szCs w:val="28"/>
          <w:lang w:eastAsia="zh-CN"/>
        </w:rPr>
        <w:t>。</w:t>
      </w:r>
    </w:p>
    <w:p w14:paraId="557E38DE">
      <w:pPr>
        <w:rPr>
          <w:rFonts w:ascii="仿宋" w:hAnsi="仿宋" w:eastAsia="仿宋"/>
          <w:b/>
          <w:color w:val="auto"/>
          <w:sz w:val="28"/>
          <w:szCs w:val="28"/>
        </w:rPr>
      </w:pPr>
      <w:r>
        <w:rPr>
          <w:rFonts w:hint="eastAsia" w:ascii="仿宋" w:hAnsi="仿宋" w:eastAsia="仿宋"/>
          <w:b/>
          <w:color w:val="auto"/>
          <w:sz w:val="28"/>
          <w:szCs w:val="28"/>
        </w:rPr>
        <w:t>二、制定标准的必要性和意义</w:t>
      </w:r>
    </w:p>
    <w:p w14:paraId="3BBDD367">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高氯酸盐是一种有毒的无机化学物质，是高氯酸形成的盐类，含有四面体型的高氯酸根离子ClO</w:t>
      </w:r>
      <w:r>
        <w:rPr>
          <w:rFonts w:hint="eastAsia" w:ascii="仿宋" w:hAnsi="仿宋" w:eastAsia="仿宋"/>
          <w:color w:val="auto"/>
          <w:sz w:val="28"/>
          <w:szCs w:val="28"/>
          <w:vertAlign w:val="subscript"/>
        </w:rPr>
        <w:t>4</w:t>
      </w:r>
      <w:r>
        <w:rPr>
          <w:rFonts w:hint="eastAsia" w:ascii="仿宋" w:hAnsi="仿宋" w:eastAsia="仿宋"/>
          <w:color w:val="auto"/>
          <w:sz w:val="28"/>
          <w:szCs w:val="28"/>
          <w:vertAlign w:val="superscript"/>
        </w:rPr>
        <w:t>-</w:t>
      </w:r>
      <w:r>
        <w:rPr>
          <w:rFonts w:hint="eastAsia" w:ascii="仿宋" w:hAnsi="仿宋" w:eastAsia="仿宋"/>
          <w:color w:val="auto"/>
          <w:sz w:val="28"/>
          <w:szCs w:val="28"/>
        </w:rPr>
        <w:t xml:space="preserve"> ，其中氯的氧化态为+7，分子量为99.4506。高氯酸根的物理化学性质极其稳定，水溶性高，多数高氯酸盐可溶于水。有研究表示多数土壤矿物质对高氯酸根吸附作用小，在地表水或地下水系中流动性很强，难于在有氧条件下进行生物降解，是具有高度扩散性和持久性的有毒污染物质，可经土壤、水等途径被植物吸收富集，并通过食物链作用进入人体。</w:t>
      </w:r>
    </w:p>
    <w:p w14:paraId="646CAC7A">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高氯酸根能够通过干扰甲状腺激素水平，进而影响生物新陈代谢及生长发育，影响胎儿、儿童脑部的发育，甚至造成脑部的损伤；还能够影响动物的生殖行为，干扰动物的性发育，造成雌性雄性化，导致性别比例失调。对于一般人群，接触高氯酸盐大多数是通过摄入被污染的食物或饮用水，当在人体内含量超过0．0007mg／kg人体体重，相当于饮用水中的浓度为24．5μg／L时，就会对健康造成影响，尤其会破坏甲状腺机能。高氯酸盐是一种持久和可移动的新型污染物,可在环境中自然产生，也来源于人工合成。环境中自然存在的高氯酸盐大部分来源于富含硝酸盐的土壤矿藏中，被用作化肥原料；此外，在一定条件下，大气中也可能产生一定量的高氯酸盐。其来源广泛、化学性质稳定、迁移性强、潜在毒性大、暴露途径多,对食品安全和人体健康构成巨大威胁,是环境、食品和健康等领域共同关注的焦点之一。</w:t>
      </w:r>
    </w:p>
    <w:p w14:paraId="5FE274EA">
      <w:pPr>
        <w:ind w:firstLine="560" w:firstLineChars="200"/>
        <w:rPr>
          <w:rFonts w:ascii="仿宋" w:hAnsi="仿宋" w:eastAsia="仿宋"/>
          <w:color w:val="auto"/>
          <w:sz w:val="28"/>
          <w:szCs w:val="28"/>
        </w:rPr>
      </w:pPr>
      <w:r>
        <w:rPr>
          <w:rFonts w:hint="eastAsia" w:ascii="仿宋" w:hAnsi="仿宋" w:eastAsia="仿宋"/>
          <w:color w:val="auto"/>
          <w:sz w:val="28"/>
          <w:szCs w:val="28"/>
        </w:rPr>
        <w:t>早期，人们主要关注于高氯酸盐在水体中的污染，2016 年年初《新京报》报道我国出口欧盟的茶叶被曝检出“新型污染物”高氯酸盐，并指出很多食品中均存在此污染物，后有研究学者对世界各地食品中高氯酸盐污染情况进行了统计，发现美国母乳中高氯酸盐高达411μg/kg。2020年5月25日，欧盟委员会发布（EU）2020/685号条例，增加高氯酸盐 （perchlorate）在部分食品中的最大残留限量。其中婴儿配方奶粉（即食）的高氯酸盐最大残留限量为0.01mg/kg，即（10ug/kg）。随着2022年《生活饮用水卫生标准》中新增了高氯酸盐限量要求，国内外均逐渐加大对食品中高氯酸盐的重视，故开展生牛乳中高氯酸盐残留管控是极为必要的。</w:t>
      </w:r>
    </w:p>
    <w:p w14:paraId="4BBBACD9">
      <w:pPr>
        <w:rPr>
          <w:rFonts w:ascii="仿宋" w:hAnsi="仿宋" w:eastAsia="仿宋"/>
          <w:b/>
          <w:color w:val="auto"/>
          <w:sz w:val="28"/>
          <w:szCs w:val="28"/>
        </w:rPr>
      </w:pPr>
      <w:r>
        <w:rPr>
          <w:rFonts w:hint="eastAsia" w:ascii="仿宋" w:hAnsi="仿宋" w:eastAsia="仿宋"/>
          <w:b/>
          <w:color w:val="auto"/>
          <w:sz w:val="28"/>
          <w:szCs w:val="28"/>
        </w:rPr>
        <w:t>三、主要起草过程</w:t>
      </w:r>
    </w:p>
    <w:p w14:paraId="253F045A">
      <w:pPr>
        <w:rPr>
          <w:rFonts w:ascii="仿宋" w:hAnsi="仿宋" w:eastAsia="仿宋"/>
          <w:b/>
          <w:color w:val="auto"/>
          <w:sz w:val="28"/>
          <w:szCs w:val="28"/>
        </w:rPr>
      </w:pPr>
      <w:r>
        <w:rPr>
          <w:rFonts w:hint="eastAsia" w:ascii="仿宋" w:hAnsi="仿宋" w:eastAsia="仿宋"/>
          <w:b/>
          <w:color w:val="auto"/>
          <w:sz w:val="28"/>
          <w:szCs w:val="28"/>
        </w:rPr>
        <w:t>1、前期准备</w:t>
      </w:r>
    </w:p>
    <w:p w14:paraId="2DA46324">
      <w:pPr>
        <w:ind w:firstLine="560" w:firstLineChars="200"/>
        <w:rPr>
          <w:rFonts w:ascii="仿宋" w:hAnsi="仿宋" w:eastAsia="仿宋"/>
          <w:color w:val="auto"/>
          <w:sz w:val="28"/>
          <w:szCs w:val="28"/>
        </w:rPr>
      </w:pPr>
      <w:r>
        <w:rPr>
          <w:rFonts w:hint="eastAsia" w:ascii="仿宋" w:hAnsi="仿宋" w:eastAsia="仿宋"/>
          <w:color w:val="auto"/>
          <w:sz w:val="28"/>
          <w:szCs w:val="28"/>
        </w:rPr>
        <w:t>通过搜集相关文献、资料，</w:t>
      </w:r>
      <w:r>
        <w:rPr>
          <w:rFonts w:hint="eastAsia" w:ascii="仿宋" w:hAnsi="仿宋" w:eastAsia="仿宋"/>
          <w:color w:val="auto"/>
          <w:sz w:val="28"/>
          <w:szCs w:val="28"/>
          <w:lang w:val="en-US" w:eastAsia="zh-CN"/>
        </w:rPr>
        <w:t>识别国内外各类物质中高氯酸盐最大残留限量要求。</w:t>
      </w:r>
      <w:r>
        <w:rPr>
          <w:rFonts w:hint="eastAsia" w:ascii="仿宋" w:hAnsi="仿宋" w:eastAsia="仿宋"/>
          <w:color w:val="auto"/>
          <w:sz w:val="28"/>
          <w:szCs w:val="28"/>
        </w:rPr>
        <w:t>结合历史监测数据，</w:t>
      </w:r>
      <w:r>
        <w:rPr>
          <w:rFonts w:hint="eastAsia" w:ascii="仿宋" w:hAnsi="仿宋" w:eastAsia="仿宋"/>
          <w:color w:val="auto"/>
          <w:sz w:val="28"/>
          <w:szCs w:val="28"/>
          <w:lang w:val="en-US" w:eastAsia="zh-CN"/>
        </w:rPr>
        <w:t>制定溯源研究方案，针对生牛乳生产全过程开展溯源研究，研究发现高氯酸盐经肾代谢后的产物还田，种植，形成小的循环体系，为此高氯酸盐在生态链中是长期存在，消除可能性比较小，且TMR日粮为牛体内高氯酸盐带入的主要来源之一，粗饲料中高氯酸盐残留水平较高，主要以青贮、苜蓿带入为主；基于研究结果，从青贮种植环节、饲养环节、饲养管理、投入品管理、生产用水管理、高氯酸盐含量检测等方面开展生牛乳生产全链条中高氯酸盐带入管控。</w:t>
      </w:r>
    </w:p>
    <w:p w14:paraId="15C12169">
      <w:pPr>
        <w:rPr>
          <w:rFonts w:ascii="仿宋" w:hAnsi="仿宋" w:eastAsia="仿宋"/>
          <w:b/>
          <w:color w:val="auto"/>
          <w:sz w:val="28"/>
          <w:szCs w:val="28"/>
        </w:rPr>
      </w:pPr>
      <w:r>
        <w:rPr>
          <w:rFonts w:hint="eastAsia" w:ascii="仿宋" w:hAnsi="仿宋" w:eastAsia="仿宋"/>
          <w:b/>
          <w:color w:val="auto"/>
          <w:sz w:val="28"/>
          <w:szCs w:val="28"/>
        </w:rPr>
        <w:t>2、组成标准起草组，制定工作方案</w:t>
      </w:r>
    </w:p>
    <w:p w14:paraId="6F8ADA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继溯源研究后成立了标准起草小组，拟定了工作进度方案并落实了标准起草小组成员分工与工作进度，2025年3月至7月，收集汇总国内近几年下发高氯酸盐限量管控相关文件及伊利实业集团股份有限公司内部运行文件，进行梳理比对，收集监测数据，于2025年7月形成团体标准草案。</w:t>
      </w:r>
    </w:p>
    <w:p w14:paraId="558A8056">
      <w:pPr>
        <w:rPr>
          <w:rFonts w:ascii="仿宋" w:hAnsi="仿宋" w:eastAsia="仿宋"/>
          <w:b/>
          <w:color w:val="auto"/>
          <w:sz w:val="28"/>
          <w:szCs w:val="28"/>
        </w:rPr>
      </w:pPr>
      <w:r>
        <w:rPr>
          <w:rFonts w:hint="eastAsia" w:ascii="仿宋" w:hAnsi="仿宋" w:eastAsia="仿宋"/>
          <w:b/>
          <w:color w:val="auto"/>
          <w:sz w:val="28"/>
          <w:szCs w:val="28"/>
        </w:rPr>
        <w:t>四、制定标准的原则和依据，与现行法律、法规、标准的关系</w:t>
      </w:r>
    </w:p>
    <w:p w14:paraId="677DEBF8">
      <w:pPr>
        <w:spacing w:line="360" w:lineRule="auto"/>
        <w:jc w:val="left"/>
        <w:rPr>
          <w:rFonts w:ascii="仿宋" w:hAnsi="仿宋" w:eastAsia="仿宋" w:cs="仿宋"/>
          <w:b/>
          <w:color w:val="auto"/>
          <w:sz w:val="28"/>
          <w:szCs w:val="24"/>
        </w:rPr>
      </w:pPr>
      <w:r>
        <w:rPr>
          <w:rFonts w:hint="eastAsia" w:ascii="仿宋" w:hAnsi="仿宋" w:eastAsia="仿宋" w:cs="仿宋"/>
          <w:b/>
          <w:color w:val="auto"/>
          <w:sz w:val="28"/>
          <w:szCs w:val="24"/>
        </w:rPr>
        <w:t>1、编制原则</w:t>
      </w:r>
    </w:p>
    <w:p w14:paraId="393D6E49">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标准编制依据可行性原则，结合国内奶源基地养殖过程中使用主要饲料，通过试验方法，进行高氯酸盐带入风险分析，并制定参考限量，旨在推动奶源基地进行养殖环节高氯酸盐带入风险管控。</w:t>
      </w:r>
    </w:p>
    <w:p w14:paraId="5CA5B81A">
      <w:pPr>
        <w:spacing w:line="360" w:lineRule="auto"/>
        <w:rPr>
          <w:rFonts w:ascii="仿宋" w:hAnsi="仿宋" w:eastAsia="仿宋" w:cs="仿宋"/>
          <w:b/>
          <w:color w:val="auto"/>
          <w:sz w:val="28"/>
          <w:szCs w:val="24"/>
        </w:rPr>
      </w:pPr>
      <w:r>
        <w:rPr>
          <w:rFonts w:hint="eastAsia" w:ascii="仿宋" w:hAnsi="仿宋" w:eastAsia="仿宋" w:cs="仿宋"/>
          <w:b/>
          <w:color w:val="auto"/>
          <w:sz w:val="28"/>
          <w:szCs w:val="24"/>
        </w:rPr>
        <w:t>2、编制依据</w:t>
      </w:r>
    </w:p>
    <w:p w14:paraId="7F94B56A">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本标准内容根据以下标准的规则起草：</w:t>
      </w:r>
    </w:p>
    <w:p w14:paraId="0F155EC1">
      <w:pPr>
        <w:spacing w:line="360" w:lineRule="auto"/>
        <w:ind w:firstLine="560" w:firstLineChars="200"/>
        <w:rPr>
          <w:rFonts w:hint="eastAsia" w:ascii="仿宋" w:hAnsi="仿宋" w:eastAsia="仿宋"/>
          <w:b w:val="0"/>
          <w:bCs w:val="0"/>
          <w:color w:val="auto"/>
          <w:sz w:val="28"/>
          <w:szCs w:val="28"/>
        </w:rPr>
      </w:pPr>
      <w:r>
        <w:rPr>
          <w:rFonts w:hint="eastAsia" w:ascii="仿宋" w:hAnsi="仿宋" w:eastAsia="仿宋"/>
          <w:b w:val="0"/>
          <w:bCs w:val="0"/>
          <w:color w:val="auto"/>
          <w:sz w:val="28"/>
          <w:szCs w:val="28"/>
        </w:rPr>
        <w:t>GB 5009.291 食品安全国家标准 食品中氯酸盐和高氯酸盐的测定</w:t>
      </w:r>
    </w:p>
    <w:p w14:paraId="3AD69D7E">
      <w:pPr>
        <w:pStyle w:val="3"/>
        <w:ind w:firstLine="560" w:firstLineChars="200"/>
        <w:rPr>
          <w:rFonts w:hint="eastAsia"/>
          <w:b w:val="0"/>
          <w:bCs w:val="0"/>
        </w:rPr>
      </w:pPr>
      <w:r>
        <w:rPr>
          <w:rFonts w:hint="eastAsia" w:ascii="仿宋" w:hAnsi="仿宋" w:eastAsia="仿宋"/>
          <w:b w:val="0"/>
          <w:bCs w:val="0"/>
          <w:color w:val="auto"/>
          <w:sz w:val="28"/>
          <w:szCs w:val="28"/>
        </w:rPr>
        <w:t>GB 5749 生活饮用水卫生标准</w:t>
      </w:r>
    </w:p>
    <w:p w14:paraId="3F38D1A0">
      <w:pPr>
        <w:spacing w:line="360" w:lineRule="auto"/>
        <w:ind w:firstLine="560" w:firstLineChars="200"/>
        <w:rPr>
          <w:rFonts w:hint="eastAsia" w:ascii="仿宋" w:hAnsi="仿宋" w:eastAsia="仿宋"/>
          <w:b w:val="0"/>
          <w:bCs w:val="0"/>
          <w:color w:val="auto"/>
          <w:sz w:val="28"/>
          <w:szCs w:val="28"/>
        </w:rPr>
      </w:pPr>
      <w:r>
        <w:rPr>
          <w:rFonts w:hint="eastAsia" w:ascii="仿宋" w:hAnsi="仿宋" w:eastAsia="仿宋"/>
          <w:b w:val="0"/>
          <w:bCs w:val="0"/>
          <w:color w:val="auto"/>
          <w:sz w:val="28"/>
          <w:szCs w:val="28"/>
        </w:rPr>
        <w:t>DB15/T 483 机械化挤奶设备清洗规程</w:t>
      </w:r>
    </w:p>
    <w:p w14:paraId="51E49FF4">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标准格式按照 GB/T 1.1-2020《标准化工作导则  第1部分：标准化文件的结构和起草规则》的规定起草</w:t>
      </w:r>
      <w:r>
        <w:rPr>
          <w:rFonts w:hint="eastAsia" w:ascii="仿宋" w:hAnsi="仿宋" w:eastAsia="仿宋"/>
          <w:color w:val="auto"/>
          <w:sz w:val="28"/>
          <w:szCs w:val="28"/>
          <w:lang w:val="en-US" w:eastAsia="zh-CN"/>
        </w:rPr>
        <w:t>文件</w:t>
      </w:r>
      <w:r>
        <w:rPr>
          <w:rFonts w:hint="eastAsia" w:ascii="仿宋" w:hAnsi="仿宋" w:eastAsia="仿宋"/>
          <w:color w:val="auto"/>
          <w:sz w:val="28"/>
          <w:szCs w:val="28"/>
        </w:rPr>
        <w:t>。</w:t>
      </w:r>
    </w:p>
    <w:p w14:paraId="0EE9B82B">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起草单位自2021年开始研究生牛乳中高氯酸盐带入情况，率先从牧场生产全链条进行高氯酸盐溯源分析，逐步确定其带入来源主要为青贮、苜蓿以及部分区域水源、饲料添加剂，并确定贡献率及转化率，添补了行业研究空白。且确定高氯酸盐可通过乳汁、尿液代谢；存在土壤污染和空气沉降污染风险。随着畜禽养殖集约化程度不断提高,高密度养殖对畜禽健康度、养殖环境安全形成巨大挑战。为响应乳业高质量发展的政策，提升原料奶质量，起草单位针对合作牧场一方面从高氯酸盐带入来源端进行管控，另一方面从生牛乳端进行监测、溯源，并绘制高氯酸盐风险地图，持续开展重点牧场管控，确保原料奶质量安全。基于研究成果搭建系统性管控体系，指导实际生产。</w:t>
      </w:r>
    </w:p>
    <w:p w14:paraId="04150BB2">
      <w:pPr>
        <w:spacing w:line="440" w:lineRule="exact"/>
        <w:rPr>
          <w:rFonts w:ascii="仿宋" w:hAnsi="仿宋" w:eastAsia="仿宋" w:cs="仿宋"/>
          <w:b/>
          <w:color w:val="auto"/>
          <w:sz w:val="28"/>
          <w:szCs w:val="24"/>
        </w:rPr>
      </w:pPr>
      <w:r>
        <w:rPr>
          <w:rFonts w:hint="eastAsia" w:ascii="仿宋" w:hAnsi="仿宋" w:eastAsia="仿宋" w:cs="仿宋"/>
          <w:b/>
          <w:color w:val="auto"/>
          <w:sz w:val="28"/>
          <w:szCs w:val="24"/>
        </w:rPr>
        <w:t>3、与现行法律、法规、标准的关系</w:t>
      </w:r>
    </w:p>
    <w:p w14:paraId="771FF851">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制定的内容符合国家相关法律、法规、政策的规定，不存在与相关法律法规相抵触之处，也不与其他标准相冲突。引用现行标准中要求进行补充完善，但标准拟定不与已发布标准冲突相悖。本标准在编制过程中，没有出现与现行有关法律、法规和国家、行业、地方标准相违背的情况。</w:t>
      </w:r>
    </w:p>
    <w:p w14:paraId="03452717">
      <w:pPr>
        <w:spacing w:line="440" w:lineRule="exact"/>
        <w:rPr>
          <w:rFonts w:ascii="仿宋" w:hAnsi="仿宋" w:eastAsia="仿宋" w:cs="仿宋"/>
          <w:b/>
          <w:color w:val="auto"/>
          <w:sz w:val="28"/>
          <w:szCs w:val="24"/>
        </w:rPr>
      </w:pPr>
      <w:r>
        <w:rPr>
          <w:rFonts w:hint="eastAsia" w:ascii="仿宋" w:hAnsi="仿宋" w:eastAsia="仿宋" w:cs="仿宋"/>
          <w:b/>
          <w:color w:val="auto"/>
          <w:sz w:val="28"/>
          <w:szCs w:val="24"/>
        </w:rPr>
        <w:t>4、与现行相关标准的联系</w:t>
      </w:r>
    </w:p>
    <w:p w14:paraId="191276FD">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目前</w:t>
      </w:r>
      <w:r>
        <w:rPr>
          <w:rFonts w:hint="eastAsia" w:ascii="仿宋" w:hAnsi="仿宋" w:eastAsia="仿宋"/>
          <w:color w:val="auto"/>
          <w:sz w:val="28"/>
          <w:szCs w:val="28"/>
          <w:lang w:val="en-US" w:eastAsia="zh-CN"/>
        </w:rPr>
        <w:t>暂无生牛乳中高氯酸盐管控标准。</w:t>
      </w:r>
    </w:p>
    <w:p w14:paraId="562785FA">
      <w:pPr>
        <w:rPr>
          <w:rFonts w:ascii="仿宋" w:hAnsi="仿宋" w:eastAsia="仿宋"/>
          <w:b/>
          <w:color w:val="auto"/>
          <w:sz w:val="28"/>
          <w:szCs w:val="28"/>
        </w:rPr>
      </w:pPr>
      <w:r>
        <w:rPr>
          <w:rFonts w:hint="eastAsia" w:ascii="仿宋" w:hAnsi="仿宋" w:eastAsia="仿宋"/>
          <w:b/>
          <w:color w:val="auto"/>
          <w:sz w:val="28"/>
          <w:szCs w:val="28"/>
        </w:rPr>
        <w:t>五、主要条款的说明，主要技术指标、参数、试验验证的论述</w:t>
      </w:r>
    </w:p>
    <w:p w14:paraId="4B9153EA">
      <w:pPr>
        <w:rPr>
          <w:rFonts w:hint="eastAsia" w:ascii="仿宋" w:hAnsi="仿宋" w:eastAsia="仿宋"/>
          <w:b/>
          <w:color w:val="auto"/>
          <w:sz w:val="28"/>
          <w:szCs w:val="28"/>
        </w:rPr>
      </w:pPr>
      <w:r>
        <w:rPr>
          <w:rFonts w:hint="eastAsia" w:ascii="仿宋" w:hAnsi="仿宋" w:eastAsia="仿宋"/>
          <w:b/>
          <w:color w:val="auto"/>
          <w:sz w:val="28"/>
          <w:szCs w:val="28"/>
        </w:rPr>
        <w:t>1、主要条款说明</w:t>
      </w:r>
    </w:p>
    <w:p w14:paraId="48010926">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本标准规定了生牛乳高氯酸盐残留的关键控制点和质量评价指标、方法。适用于规模化奶牛养殖牧场。</w:t>
      </w:r>
    </w:p>
    <w:p w14:paraId="4FA2C1A7">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主要内容包括以下几个方面：适用范围、规范引用文件、种植管理、饲喂管理、生产用水、设备清洗、投入品使用、生牛乳高氯酸盐含量检测等。</w:t>
      </w:r>
    </w:p>
    <w:p w14:paraId="7488DFF1">
      <w:pPr>
        <w:rPr>
          <w:rFonts w:hint="eastAsia" w:ascii="仿宋" w:hAnsi="仿宋" w:eastAsia="仿宋"/>
          <w:b/>
          <w:color w:val="auto"/>
          <w:sz w:val="28"/>
          <w:szCs w:val="28"/>
        </w:rPr>
      </w:pPr>
      <w:r>
        <w:rPr>
          <w:rFonts w:hint="eastAsia" w:ascii="仿宋" w:hAnsi="仿宋" w:eastAsia="仿宋"/>
          <w:b/>
          <w:color w:val="auto"/>
          <w:sz w:val="28"/>
          <w:szCs w:val="28"/>
        </w:rPr>
        <w:t>2、主要技术指标、参数、试验论证的论述</w:t>
      </w:r>
    </w:p>
    <w:p w14:paraId="50FFDFF5">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通过文献检索，对各国不同食品中的高氯酸盐含量水平进行收集，通过结果可以看出不同食物中，均含有高氯酸盐残留，其中谷物（小麦）高氯酸盐残留水平较高达982 μg/kg～3 924 μg/kg，我国、美国各别地区的母乳含量水平也达到较高水平，达到136.1μg/kg、411μg/kg。</w:t>
      </w:r>
    </w:p>
    <w:p w14:paraId="6833C21D">
      <w:pPr>
        <w:pStyle w:val="3"/>
        <w:jc w:val="center"/>
        <w:rPr>
          <w:rFonts w:hint="default"/>
          <w:lang w:val="en-US" w:eastAsia="zh-CN"/>
        </w:rPr>
      </w:pPr>
      <w:r>
        <w:rPr>
          <w:rFonts w:hint="eastAsia" w:ascii="仿宋" w:hAnsi="仿宋" w:eastAsia="仿宋"/>
          <w:color w:val="auto"/>
          <w:sz w:val="24"/>
          <w:szCs w:val="24"/>
          <w:lang w:val="en-US" w:eastAsia="zh-CN"/>
        </w:rPr>
        <w:t>表1 各国不同食品中高氯酸盐含量分布情况</w:t>
      </w:r>
    </w:p>
    <w:tbl>
      <w:tblPr>
        <w:tblStyle w:val="7"/>
        <w:tblW w:w="8522" w:type="dxa"/>
        <w:tblCellSpacing w:w="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94"/>
        <w:gridCol w:w="2359"/>
        <w:gridCol w:w="3969"/>
      </w:tblGrid>
      <w:tr w14:paraId="734223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blCellSpacing w:w="0" w:type="dxa"/>
        </w:trPr>
        <w:tc>
          <w:tcPr>
            <w:tcW w:w="2194" w:type="dxa"/>
            <w:tcBorders>
              <w:bottom w:val="single" w:color="auto" w:sz="6" w:space="0"/>
            </w:tcBorders>
            <w:shd w:val="clear" w:color="auto" w:fill="auto"/>
            <w:tcMar>
              <w:left w:w="108" w:type="dxa"/>
              <w:right w:w="108" w:type="dxa"/>
            </w:tcMar>
            <w:vAlign w:val="center"/>
          </w:tcPr>
          <w:p w14:paraId="4C0FFF9B">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b/>
                <w:color w:val="auto"/>
                <w:sz w:val="21"/>
                <w:szCs w:val="21"/>
              </w:rPr>
              <w:t>国家或地区</w:t>
            </w:r>
          </w:p>
        </w:tc>
        <w:tc>
          <w:tcPr>
            <w:tcW w:w="2359" w:type="dxa"/>
            <w:tcBorders>
              <w:bottom w:val="single" w:color="auto" w:sz="6" w:space="0"/>
            </w:tcBorders>
            <w:shd w:val="clear" w:color="auto" w:fill="auto"/>
            <w:tcMar>
              <w:left w:w="108" w:type="dxa"/>
              <w:right w:w="108" w:type="dxa"/>
            </w:tcMar>
            <w:vAlign w:val="center"/>
          </w:tcPr>
          <w:p w14:paraId="0BE2CF0E">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b/>
                <w:color w:val="auto"/>
                <w:sz w:val="21"/>
                <w:szCs w:val="21"/>
              </w:rPr>
              <w:t>监测食品</w:t>
            </w:r>
          </w:p>
        </w:tc>
        <w:tc>
          <w:tcPr>
            <w:tcW w:w="3969" w:type="dxa"/>
            <w:tcBorders>
              <w:bottom w:val="single" w:color="auto" w:sz="6" w:space="0"/>
            </w:tcBorders>
            <w:shd w:val="clear" w:color="auto" w:fill="auto"/>
            <w:tcMar>
              <w:left w:w="108" w:type="dxa"/>
              <w:right w:w="108" w:type="dxa"/>
            </w:tcMar>
            <w:vAlign w:val="center"/>
          </w:tcPr>
          <w:p w14:paraId="074DE9E1">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b/>
                <w:color w:val="auto"/>
                <w:sz w:val="21"/>
                <w:szCs w:val="21"/>
              </w:rPr>
              <w:t>监测结果</w:t>
            </w:r>
          </w:p>
        </w:tc>
      </w:tr>
      <w:tr w14:paraId="1276F3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6A6DC508">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美国，德克萨斯</w:t>
            </w:r>
          </w:p>
        </w:tc>
        <w:tc>
          <w:tcPr>
            <w:tcW w:w="2359" w:type="dxa"/>
            <w:shd w:val="clear" w:color="auto" w:fill="auto"/>
            <w:tcMar>
              <w:left w:w="108" w:type="dxa"/>
              <w:right w:w="108" w:type="dxa"/>
            </w:tcMar>
            <w:vAlign w:val="center"/>
          </w:tcPr>
          <w:p w14:paraId="135A22BF">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小麦</w:t>
            </w:r>
          </w:p>
        </w:tc>
        <w:tc>
          <w:tcPr>
            <w:tcW w:w="3969" w:type="dxa"/>
            <w:shd w:val="clear" w:color="auto" w:fill="auto"/>
            <w:tcMar>
              <w:left w:w="108" w:type="dxa"/>
              <w:right w:w="108" w:type="dxa"/>
            </w:tcMar>
            <w:vAlign w:val="center"/>
          </w:tcPr>
          <w:p w14:paraId="1379FDAC">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982 μg/kg～3 924 μg/kg</w:t>
            </w:r>
          </w:p>
        </w:tc>
      </w:tr>
      <w:tr w14:paraId="5FC2C7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0EC46BC7">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加拿大，安大略湖</w:t>
            </w:r>
          </w:p>
        </w:tc>
        <w:tc>
          <w:tcPr>
            <w:tcW w:w="2359" w:type="dxa"/>
            <w:shd w:val="clear" w:color="auto" w:fill="auto"/>
            <w:tcMar>
              <w:left w:w="108" w:type="dxa"/>
              <w:right w:w="108" w:type="dxa"/>
            </w:tcMar>
            <w:vAlign w:val="center"/>
          </w:tcPr>
          <w:p w14:paraId="618BABD6">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西红柿、越桔、牛奶、矿泉水等</w:t>
            </w:r>
          </w:p>
        </w:tc>
        <w:tc>
          <w:tcPr>
            <w:tcW w:w="3969" w:type="dxa"/>
            <w:shd w:val="clear" w:color="auto" w:fill="auto"/>
            <w:tcMar>
              <w:left w:w="108" w:type="dxa"/>
              <w:right w:w="108" w:type="dxa"/>
            </w:tcMar>
            <w:vAlign w:val="center"/>
          </w:tcPr>
          <w:p w14:paraId="10ED4C23">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0.067 μg/kg~4.795 μg/kg</w:t>
            </w:r>
          </w:p>
        </w:tc>
      </w:tr>
      <w:tr w14:paraId="140814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76112CBA">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土耳其</w:t>
            </w:r>
          </w:p>
        </w:tc>
        <w:tc>
          <w:tcPr>
            <w:tcW w:w="2359" w:type="dxa"/>
            <w:shd w:val="clear" w:color="auto" w:fill="auto"/>
            <w:tcMar>
              <w:left w:w="108" w:type="dxa"/>
              <w:right w:w="108" w:type="dxa"/>
            </w:tcMar>
            <w:vAlign w:val="center"/>
          </w:tcPr>
          <w:p w14:paraId="607B4A3A">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奶、饮用水、鱼</w:t>
            </w:r>
          </w:p>
        </w:tc>
        <w:tc>
          <w:tcPr>
            <w:tcW w:w="3969" w:type="dxa"/>
            <w:shd w:val="clear" w:color="auto" w:fill="auto"/>
            <w:tcMar>
              <w:left w:w="108" w:type="dxa"/>
              <w:right w:w="108" w:type="dxa"/>
            </w:tcMar>
            <w:vAlign w:val="center"/>
          </w:tcPr>
          <w:p w14:paraId="7CC41266">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0.30 μg/kg～0.94 μg/kg</w:t>
            </w:r>
          </w:p>
        </w:tc>
      </w:tr>
      <w:tr w14:paraId="1CE6E0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617F5F0C">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美国</w:t>
            </w:r>
          </w:p>
        </w:tc>
        <w:tc>
          <w:tcPr>
            <w:tcW w:w="2359" w:type="dxa"/>
            <w:shd w:val="clear" w:color="auto" w:fill="auto"/>
            <w:tcMar>
              <w:left w:w="108" w:type="dxa"/>
              <w:right w:w="108" w:type="dxa"/>
            </w:tcMar>
            <w:vAlign w:val="center"/>
          </w:tcPr>
          <w:p w14:paraId="1DC0B3A8">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母乳</w:t>
            </w:r>
          </w:p>
        </w:tc>
        <w:tc>
          <w:tcPr>
            <w:tcW w:w="3969" w:type="dxa"/>
            <w:shd w:val="clear" w:color="auto" w:fill="auto"/>
            <w:tcMar>
              <w:left w:w="108" w:type="dxa"/>
              <w:right w:w="108" w:type="dxa"/>
            </w:tcMar>
            <w:vAlign w:val="center"/>
          </w:tcPr>
          <w:p w14:paraId="6853CD2C">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5.8（0.5-39.5）μg/kg</w:t>
            </w:r>
          </w:p>
        </w:tc>
      </w:tr>
      <w:tr w14:paraId="1A9618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4B82306A">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美国</w:t>
            </w:r>
          </w:p>
        </w:tc>
        <w:tc>
          <w:tcPr>
            <w:tcW w:w="2359" w:type="dxa"/>
            <w:shd w:val="clear" w:color="auto" w:fill="auto"/>
            <w:tcMar>
              <w:left w:w="108" w:type="dxa"/>
              <w:right w:w="108" w:type="dxa"/>
            </w:tcMar>
            <w:vAlign w:val="center"/>
          </w:tcPr>
          <w:p w14:paraId="58E16527">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母乳</w:t>
            </w:r>
          </w:p>
        </w:tc>
        <w:tc>
          <w:tcPr>
            <w:tcW w:w="3969" w:type="dxa"/>
            <w:shd w:val="clear" w:color="auto" w:fill="auto"/>
            <w:tcMar>
              <w:left w:w="108" w:type="dxa"/>
              <w:right w:w="108" w:type="dxa"/>
            </w:tcMar>
            <w:vAlign w:val="center"/>
          </w:tcPr>
          <w:p w14:paraId="3A890993">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33（1.3-411）μg/kg</w:t>
            </w:r>
          </w:p>
        </w:tc>
      </w:tr>
      <w:tr w14:paraId="09711A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1752ECA2">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美国</w:t>
            </w:r>
          </w:p>
        </w:tc>
        <w:tc>
          <w:tcPr>
            <w:tcW w:w="2359" w:type="dxa"/>
            <w:shd w:val="clear" w:color="auto" w:fill="auto"/>
            <w:tcMar>
              <w:left w:w="108" w:type="dxa"/>
              <w:right w:w="108" w:type="dxa"/>
            </w:tcMar>
            <w:vAlign w:val="center"/>
          </w:tcPr>
          <w:p w14:paraId="2E6E608C">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母乳</w:t>
            </w:r>
          </w:p>
        </w:tc>
        <w:tc>
          <w:tcPr>
            <w:tcW w:w="3969" w:type="dxa"/>
            <w:shd w:val="clear" w:color="auto" w:fill="auto"/>
            <w:tcMar>
              <w:left w:w="108" w:type="dxa"/>
              <w:right w:w="108" w:type="dxa"/>
            </w:tcMar>
            <w:vAlign w:val="center"/>
          </w:tcPr>
          <w:p w14:paraId="588F6B1D">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9.3（0.01-48）μg/kg</w:t>
            </w:r>
          </w:p>
        </w:tc>
      </w:tr>
      <w:tr w14:paraId="16633A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CellSpacing w:w="0" w:type="dxa"/>
        </w:trPr>
        <w:tc>
          <w:tcPr>
            <w:tcW w:w="2194" w:type="dxa"/>
            <w:shd w:val="clear" w:color="auto" w:fill="auto"/>
            <w:tcMar>
              <w:left w:w="108" w:type="dxa"/>
              <w:right w:w="108" w:type="dxa"/>
            </w:tcMar>
            <w:vAlign w:val="center"/>
          </w:tcPr>
          <w:p w14:paraId="40FB24CC">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中国</w:t>
            </w:r>
          </w:p>
        </w:tc>
        <w:tc>
          <w:tcPr>
            <w:tcW w:w="2359" w:type="dxa"/>
            <w:shd w:val="clear" w:color="auto" w:fill="auto"/>
            <w:tcMar>
              <w:left w:w="108" w:type="dxa"/>
              <w:right w:w="108" w:type="dxa"/>
            </w:tcMar>
            <w:vAlign w:val="center"/>
          </w:tcPr>
          <w:p w14:paraId="758FB670">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母乳</w:t>
            </w:r>
          </w:p>
        </w:tc>
        <w:tc>
          <w:tcPr>
            <w:tcW w:w="3969" w:type="dxa"/>
            <w:shd w:val="clear" w:color="auto" w:fill="auto"/>
            <w:tcMar>
              <w:left w:w="108" w:type="dxa"/>
              <w:right w:w="108" w:type="dxa"/>
            </w:tcMar>
            <w:vAlign w:val="center"/>
          </w:tcPr>
          <w:p w14:paraId="60063A94">
            <w:pPr>
              <w:pStyle w:val="6"/>
              <w:keepNext w:val="0"/>
              <w:keepLines w:val="0"/>
              <w:widowControl/>
              <w:suppressLineNumbers w:val="0"/>
              <w:spacing w:beforeAutospacing="0" w:afterAutospacing="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19.7（2.12-136.1）μg/kg</w:t>
            </w:r>
          </w:p>
        </w:tc>
      </w:tr>
    </w:tbl>
    <w:p w14:paraId="19CCDA5C">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研究表示高氯酸盐的暴露途径有膳食暴露（水果、蔬菜、牛奶、饮用水、婴幼儿配方奶粉）和胚胎暴露（母乳、胎盘、脐带血），针对牧场原料奶开展高氯酸盐检测，检出范围为未检出-66.34μg/kg。为实现牛奶中高氯酸盐含量管控，开展牛奶中高氯酸盐带入来源探究。研究发现高氯酸盐通过牛体吸收，可能经乳汁进行代谢。据此可推论生牛乳中高氯酸盐可能通过牛体自身代谢产生，而不同个体牛因为差异影响，高氯酸盐残留水平不一致。采集多座牧场各类饲料和水，开展高氯酸盐检测，检测结果显示玉米青贮检出范围0.7μg/kg-1000μg/kg，燕麦草18μg/kg-491μg/kg，进口燕麦草69.7μg/kg-539μg/kg，进口苜蓿98.4-818μg/kg，水、全棉籽、甜菜颗粒未检出，对应生牛乳中检出0-16.7μg/kg。青贮贡献率8.91%-70.53%，苜蓿贡献率为6.14%-47.41%，分析得出TMR日粮为主要的带入来源，贡献率为21.37%-86.46%，且粗饲料中高氯酸盐残留水平较高。</w:t>
      </w:r>
    </w:p>
    <w:p w14:paraId="30B5726A">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2.1种植管理</w:t>
      </w:r>
    </w:p>
    <w:p w14:paraId="286EE07E">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高氯酸盐在军事和航天航空领域，主要用于导弹、火箭的推进剂，会因燃料的不完全燃烧而大量残留；ClO</w:t>
      </w:r>
      <w:r>
        <w:rPr>
          <w:rFonts w:hint="eastAsia" w:ascii="仿宋" w:hAnsi="仿宋" w:eastAsia="仿宋"/>
          <w:color w:val="auto"/>
          <w:sz w:val="28"/>
          <w:szCs w:val="28"/>
          <w:vertAlign w:val="subscript"/>
          <w:lang w:val="en-US" w:eastAsia="zh-CN"/>
        </w:rPr>
        <w:t>4</w:t>
      </w:r>
      <w:r>
        <w:rPr>
          <w:rFonts w:hint="eastAsia" w:ascii="仿宋" w:hAnsi="仿宋" w:eastAsia="仿宋"/>
          <w:color w:val="auto"/>
          <w:sz w:val="28"/>
          <w:szCs w:val="28"/>
          <w:vertAlign w:val="superscript"/>
          <w:lang w:val="en-US" w:eastAsia="zh-CN"/>
        </w:rPr>
        <w:t>−</w:t>
      </w:r>
      <w:r>
        <w:rPr>
          <w:rFonts w:hint="eastAsia" w:ascii="仿宋" w:hAnsi="仿宋" w:eastAsia="仿宋"/>
          <w:color w:val="auto"/>
          <w:sz w:val="28"/>
          <w:szCs w:val="28"/>
          <w:lang w:val="en-US" w:eastAsia="zh-CN"/>
        </w:rPr>
        <w:t>在工业上用作润滑油添加剂、制革、道路照明、摄影和布料定色剂，以及印染和造纸过程所用的漂白剂等；烟花燃放和消毒剂使用也会产生人为的 ClO</w:t>
      </w:r>
      <w:r>
        <w:rPr>
          <w:rFonts w:hint="eastAsia" w:ascii="仿宋" w:hAnsi="仿宋" w:eastAsia="仿宋"/>
          <w:color w:val="auto"/>
          <w:sz w:val="28"/>
          <w:szCs w:val="28"/>
          <w:vertAlign w:val="subscript"/>
          <w:lang w:val="en-US" w:eastAsia="zh-CN"/>
        </w:rPr>
        <w:t>4</w:t>
      </w:r>
      <w:r>
        <w:rPr>
          <w:rFonts w:hint="eastAsia" w:ascii="仿宋" w:hAnsi="仿宋" w:eastAsia="仿宋"/>
          <w:color w:val="auto"/>
          <w:sz w:val="28"/>
          <w:szCs w:val="28"/>
          <w:vertAlign w:val="superscript"/>
          <w:lang w:val="en-US" w:eastAsia="zh-CN"/>
        </w:rPr>
        <w:t>−</w:t>
      </w:r>
      <w:r>
        <w:rPr>
          <w:rFonts w:hint="eastAsia" w:ascii="仿宋" w:hAnsi="仿宋" w:eastAsia="仿宋"/>
          <w:color w:val="auto"/>
          <w:sz w:val="28"/>
          <w:szCs w:val="28"/>
          <w:lang w:val="en-US" w:eastAsia="zh-CN"/>
        </w:rPr>
        <w:t>污染；种植过程中使用的化学肥料、灌溉用水和加工过程中使用的含氯消毒剂、包装材料都可能成为高氯酸盐的污染来源。亦有研究报道表示，高氯酸盐污染物可能会通过土壤、空气沉降污染植物性饲料原料，泌乳牛采食后蓄积体内，代谢入奶中。</w:t>
      </w:r>
    </w:p>
    <w:p w14:paraId="79B23038">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对可能存在污染源的不同地块开展全株玉米样品采集，并对各地块样品进行不同部位的分段处理，分别处理出玉米皮、玉米丝、玉米根、玉米穗、玉米茎、玉米叶、玉米籽实、整株8个部位样品，进行高氯酸盐残留水平检测分析。确定高氯酸盐在玉米植株各部位的残留分布水平差异，以及地方环境特点对高氯酸盐残留水平的影响。通过采集青贮原料种植地土壤、完整的玉米植株各部位（玉米叶、穗、玉米茎秆、玉米根须（不携带泥土）、玉米芯（去皮）、玉米外皮等）、青贮灌溉水进行高氯酸盐含量水平监测、分析高氯酸盐分布特征。通过检测结果可以得出，高氯酸盐在玉米各部位的分布水平存在显著差异。其中玉米穗的残留水平最高，平均值891.28μg/kg，中位数为889μg/kg，玉米籽实的残留水平最低，平均值仅6.8μg/kg，中位数为0μg/kg。残留水平从高到低为，玉米穗（平均值891.28μg/kg）＞玉米叶（平均值653.71μg/kg）＞玉米根（平均值159.64μg/kg）＞整株（平均值115.43μg/kg）＞玉米丝（平均值101.23μg/kg）＞玉米茎（平均值76.04μg/kg）＞玉米皮（平均值25.5μg/kg）＞玉米籽实（平均值6.85μg/kg）。从结果数据结果看高氯酸盐主要分布在玉米叶、玉米芯外皮、玉米穗，而土壤中同样检出3.8μg/kg，因此存在土壤吸收、空气沉降等方式的吸收。</w:t>
      </w:r>
    </w:p>
    <w:p w14:paraId="6B4C615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eastAsia" w:ascii="仿宋" w:hAnsi="仿宋" w:eastAsia="仿宋"/>
          <w:b w:val="0"/>
          <w:color w:val="auto"/>
          <w:sz w:val="28"/>
          <w:szCs w:val="28"/>
          <w:lang w:val="en-US" w:eastAsia="zh-CN"/>
        </w:rPr>
        <w:t>经采集</w:t>
      </w:r>
      <w:r>
        <w:rPr>
          <w:rFonts w:hint="eastAsia" w:ascii="仿宋" w:hAnsi="仿宋" w:eastAsia="仿宋" w:cstheme="minorBidi"/>
          <w:color w:val="auto"/>
          <w:sz w:val="28"/>
          <w:szCs w:val="28"/>
          <w:lang w:val="en-US" w:eastAsia="zh-CN"/>
        </w:rPr>
        <w:t>开展机场周边0~10km、10~20km、20~30km、30~50km、50km外等不同范围内多方向</w:t>
      </w:r>
      <w:r>
        <w:rPr>
          <w:rFonts w:hint="eastAsia" w:ascii="仿宋" w:hAnsi="仿宋" w:eastAsia="仿宋" w:cstheme="minorBidi"/>
          <w:color w:val="auto"/>
          <w:kern w:val="2"/>
          <w:sz w:val="28"/>
          <w:szCs w:val="28"/>
          <w:lang w:val="en-US" w:eastAsia="zh-CN" w:bidi="ar-SA"/>
        </w:rPr>
        <w:t>玉米植株</w:t>
      </w:r>
      <w:r>
        <w:rPr>
          <w:rFonts w:hint="eastAsia" w:ascii="仿宋" w:hAnsi="仿宋" w:eastAsia="仿宋" w:cstheme="minorBidi"/>
          <w:color w:val="auto"/>
          <w:sz w:val="28"/>
          <w:szCs w:val="28"/>
          <w:lang w:val="en-US" w:eastAsia="zh-CN"/>
        </w:rPr>
        <w:t>样本，检测高氯酸盐含量，表2</w:t>
      </w:r>
      <w:r>
        <w:rPr>
          <w:rFonts w:hint="eastAsia" w:ascii="仿宋" w:hAnsi="仿宋" w:eastAsia="仿宋" w:cstheme="minorBidi"/>
          <w:color w:val="auto"/>
          <w:kern w:val="2"/>
          <w:sz w:val="28"/>
          <w:szCs w:val="28"/>
          <w:lang w:val="en-US" w:eastAsia="zh-CN" w:bidi="ar-SA"/>
        </w:rPr>
        <w:t>结果显示机场50km范围内均有检出，且含量水平分布不均匀，这可能与飞机航线、空气流通有关。0~50km范围内均显著高于50km外样本。30~50km范围内检测结果明显小于30km范围内值。</w:t>
      </w:r>
    </w:p>
    <w:p w14:paraId="039E3F29">
      <w:pPr>
        <w:jc w:val="center"/>
        <w:rPr>
          <w:rFonts w:hint="eastAsia" w:ascii="仿宋" w:hAnsi="仿宋" w:eastAsia="仿宋" w:cstheme="minorBidi"/>
          <w:b/>
          <w:bCs w:val="0"/>
          <w:color w:val="auto"/>
          <w:sz w:val="24"/>
          <w:szCs w:val="24"/>
          <w:lang w:val="en-US" w:eastAsia="zh-CN"/>
        </w:rPr>
      </w:pPr>
      <w:r>
        <w:rPr>
          <w:rFonts w:hint="eastAsia" w:ascii="仿宋" w:hAnsi="仿宋" w:eastAsia="仿宋" w:cstheme="minorBidi"/>
          <w:b/>
          <w:bCs w:val="0"/>
          <w:color w:val="auto"/>
          <w:sz w:val="24"/>
          <w:szCs w:val="24"/>
          <w:lang w:val="en-US" w:eastAsia="zh-CN"/>
        </w:rPr>
        <w:t>表2 距离机场周边不同范围玉米植株高氯酸盐检测结果</w:t>
      </w:r>
    </w:p>
    <w:tbl>
      <w:tblPr>
        <w:tblStyle w:val="7"/>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27"/>
        <w:gridCol w:w="1927"/>
        <w:gridCol w:w="2239"/>
        <w:gridCol w:w="2240"/>
      </w:tblGrid>
      <w:tr w14:paraId="491C19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op w:val="single" w:color="auto" w:sz="12" w:space="0"/>
            </w:tcBorders>
            <w:noWrap/>
            <w:tcMar>
              <w:top w:w="15" w:type="dxa"/>
              <w:left w:w="15" w:type="dxa"/>
              <w:right w:w="15" w:type="dxa"/>
            </w:tcMar>
            <w:vAlign w:val="center"/>
          </w:tcPr>
          <w:p w14:paraId="0FF8C71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val="en-US" w:eastAsia="zh-CN"/>
              </w:rPr>
              <w:t>距机场距离</w:t>
            </w:r>
          </w:p>
        </w:tc>
        <w:tc>
          <w:tcPr>
            <w:tcW w:w="1156" w:type="pct"/>
            <w:tcBorders>
              <w:top w:val="single" w:color="auto" w:sz="12" w:space="0"/>
            </w:tcBorders>
            <w:noWrap/>
            <w:tcMar>
              <w:top w:w="15" w:type="dxa"/>
              <w:left w:w="15" w:type="dxa"/>
              <w:right w:w="15" w:type="dxa"/>
            </w:tcMar>
            <w:vAlign w:val="center"/>
          </w:tcPr>
          <w:p w14:paraId="5B0E43E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val="en-US" w:eastAsia="zh-CN"/>
              </w:rPr>
              <w:t>检测批次</w:t>
            </w:r>
          </w:p>
        </w:tc>
        <w:tc>
          <w:tcPr>
            <w:tcW w:w="1343" w:type="pct"/>
            <w:tcBorders>
              <w:top w:val="single" w:color="auto" w:sz="12" w:space="0"/>
            </w:tcBorders>
            <w:noWrap/>
            <w:tcMar>
              <w:top w:w="15" w:type="dxa"/>
              <w:left w:w="15" w:type="dxa"/>
              <w:right w:w="15" w:type="dxa"/>
            </w:tcMar>
            <w:vAlign w:val="center"/>
          </w:tcPr>
          <w:p w14:paraId="75E66800">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检出范围</w:t>
            </w:r>
          </w:p>
        </w:tc>
        <w:tc>
          <w:tcPr>
            <w:tcW w:w="1343" w:type="pct"/>
            <w:tcBorders>
              <w:top w:val="single" w:color="auto" w:sz="12" w:space="0"/>
            </w:tcBorders>
            <w:noWrap/>
            <w:tcMar>
              <w:top w:w="15" w:type="dxa"/>
              <w:left w:w="15" w:type="dxa"/>
              <w:right w:w="15" w:type="dxa"/>
            </w:tcMar>
            <w:vAlign w:val="center"/>
          </w:tcPr>
          <w:p w14:paraId="1F0905D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平均值</w:t>
            </w:r>
          </w:p>
        </w:tc>
      </w:tr>
      <w:tr w14:paraId="22D49C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op w:val="single" w:color="auto" w:sz="6" w:space="0"/>
            </w:tcBorders>
            <w:noWrap/>
            <w:tcMar>
              <w:top w:w="15" w:type="dxa"/>
              <w:left w:w="15" w:type="dxa"/>
              <w:right w:w="15" w:type="dxa"/>
            </w:tcMar>
            <w:vAlign w:val="center"/>
          </w:tcPr>
          <w:p w14:paraId="6885CB0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i w:val="0"/>
                <w:color w:val="000000"/>
                <w:kern w:val="0"/>
                <w:sz w:val="21"/>
                <w:szCs w:val="21"/>
                <w:u w:val="none"/>
                <w:lang w:val="en-US" w:eastAsia="zh-CN" w:bidi="ar"/>
              </w:rPr>
              <w:t>0~10km</w:t>
            </w:r>
          </w:p>
        </w:tc>
        <w:tc>
          <w:tcPr>
            <w:tcW w:w="1156" w:type="pct"/>
            <w:tcBorders>
              <w:top w:val="single" w:color="auto" w:sz="6" w:space="0"/>
            </w:tcBorders>
            <w:noWrap/>
            <w:tcMar>
              <w:top w:w="15" w:type="dxa"/>
              <w:left w:w="15" w:type="dxa"/>
              <w:right w:w="15" w:type="dxa"/>
            </w:tcMar>
            <w:vAlign w:val="center"/>
          </w:tcPr>
          <w:p w14:paraId="2AB17BA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i w:val="0"/>
                <w:color w:val="000000"/>
                <w:kern w:val="0"/>
                <w:sz w:val="21"/>
                <w:szCs w:val="21"/>
                <w:u w:val="none"/>
                <w:lang w:val="en-US" w:eastAsia="zh-CN" w:bidi="ar"/>
              </w:rPr>
              <w:t>12</w:t>
            </w:r>
          </w:p>
        </w:tc>
        <w:tc>
          <w:tcPr>
            <w:tcW w:w="1343" w:type="pct"/>
            <w:tcBorders>
              <w:top w:val="single" w:color="auto" w:sz="6" w:space="0"/>
            </w:tcBorders>
            <w:noWrap/>
            <w:tcMar>
              <w:top w:w="15" w:type="dxa"/>
              <w:left w:w="15" w:type="dxa"/>
              <w:right w:w="15" w:type="dxa"/>
            </w:tcMar>
            <w:vAlign w:val="center"/>
          </w:tcPr>
          <w:p w14:paraId="38B9746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93.3~3160</w:t>
            </w:r>
          </w:p>
        </w:tc>
        <w:tc>
          <w:tcPr>
            <w:tcW w:w="1343" w:type="pct"/>
            <w:tcBorders>
              <w:top w:val="single" w:color="auto" w:sz="6" w:space="0"/>
            </w:tcBorders>
            <w:noWrap/>
            <w:tcMar>
              <w:top w:w="15" w:type="dxa"/>
              <w:left w:w="15" w:type="dxa"/>
              <w:right w:w="15" w:type="dxa"/>
            </w:tcMar>
            <w:vAlign w:val="center"/>
          </w:tcPr>
          <w:p w14:paraId="318EDCB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906.19</w:t>
            </w:r>
          </w:p>
        </w:tc>
      </w:tr>
      <w:tr w14:paraId="58633D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l2br w:val="nil"/>
              <w:tr2bl w:val="nil"/>
            </w:tcBorders>
            <w:noWrap/>
            <w:tcMar>
              <w:top w:w="15" w:type="dxa"/>
              <w:left w:w="15" w:type="dxa"/>
              <w:right w:w="15" w:type="dxa"/>
            </w:tcMar>
            <w:vAlign w:val="center"/>
          </w:tcPr>
          <w:p w14:paraId="7EEF7E1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10~20km</w:t>
            </w:r>
          </w:p>
        </w:tc>
        <w:tc>
          <w:tcPr>
            <w:tcW w:w="1156" w:type="pct"/>
            <w:tcBorders>
              <w:tl2br w:val="nil"/>
              <w:tr2bl w:val="nil"/>
            </w:tcBorders>
            <w:noWrap/>
            <w:tcMar>
              <w:top w:w="15" w:type="dxa"/>
              <w:left w:w="15" w:type="dxa"/>
              <w:right w:w="15" w:type="dxa"/>
            </w:tcMar>
            <w:vAlign w:val="center"/>
          </w:tcPr>
          <w:p w14:paraId="67A8176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w:t>
            </w:r>
          </w:p>
        </w:tc>
        <w:tc>
          <w:tcPr>
            <w:tcW w:w="1343" w:type="pct"/>
            <w:tcBorders>
              <w:tl2br w:val="nil"/>
              <w:tr2bl w:val="nil"/>
            </w:tcBorders>
            <w:noWrap/>
            <w:tcMar>
              <w:top w:w="15" w:type="dxa"/>
              <w:left w:w="15" w:type="dxa"/>
              <w:right w:w="15" w:type="dxa"/>
            </w:tcMar>
            <w:vAlign w:val="center"/>
          </w:tcPr>
          <w:p w14:paraId="28C051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192~3480</w:t>
            </w:r>
          </w:p>
        </w:tc>
        <w:tc>
          <w:tcPr>
            <w:tcW w:w="1343" w:type="pct"/>
            <w:tcBorders>
              <w:tl2br w:val="nil"/>
              <w:tr2bl w:val="nil"/>
            </w:tcBorders>
            <w:noWrap/>
            <w:tcMar>
              <w:top w:w="15" w:type="dxa"/>
              <w:left w:w="15" w:type="dxa"/>
              <w:right w:w="15" w:type="dxa"/>
            </w:tcMar>
            <w:vAlign w:val="center"/>
          </w:tcPr>
          <w:p w14:paraId="5E0909F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795.5</w:t>
            </w:r>
          </w:p>
        </w:tc>
      </w:tr>
      <w:tr w14:paraId="4EA668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l2br w:val="nil"/>
              <w:tr2bl w:val="nil"/>
            </w:tcBorders>
            <w:noWrap/>
            <w:tcMar>
              <w:top w:w="15" w:type="dxa"/>
              <w:left w:w="15" w:type="dxa"/>
              <w:right w:w="15" w:type="dxa"/>
            </w:tcMar>
            <w:vAlign w:val="center"/>
          </w:tcPr>
          <w:p w14:paraId="28DBCB0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20~30km</w:t>
            </w:r>
          </w:p>
        </w:tc>
        <w:tc>
          <w:tcPr>
            <w:tcW w:w="1156" w:type="pct"/>
            <w:tcBorders>
              <w:tl2br w:val="nil"/>
              <w:tr2bl w:val="nil"/>
            </w:tcBorders>
            <w:noWrap/>
            <w:tcMar>
              <w:top w:w="15" w:type="dxa"/>
              <w:left w:w="15" w:type="dxa"/>
              <w:right w:w="15" w:type="dxa"/>
            </w:tcMar>
            <w:vAlign w:val="center"/>
          </w:tcPr>
          <w:p w14:paraId="6FBD19B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w:t>
            </w:r>
          </w:p>
        </w:tc>
        <w:tc>
          <w:tcPr>
            <w:tcW w:w="1343" w:type="pct"/>
            <w:tcBorders>
              <w:tl2br w:val="nil"/>
              <w:tr2bl w:val="nil"/>
            </w:tcBorders>
            <w:noWrap/>
            <w:tcMar>
              <w:top w:w="15" w:type="dxa"/>
              <w:left w:w="15" w:type="dxa"/>
              <w:right w:w="15" w:type="dxa"/>
            </w:tcMar>
            <w:vAlign w:val="center"/>
          </w:tcPr>
          <w:p w14:paraId="397D307D">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200~3430</w:t>
            </w:r>
          </w:p>
        </w:tc>
        <w:tc>
          <w:tcPr>
            <w:tcW w:w="1343" w:type="pct"/>
            <w:tcBorders>
              <w:tl2br w:val="nil"/>
              <w:tr2bl w:val="nil"/>
            </w:tcBorders>
            <w:noWrap/>
            <w:tcMar>
              <w:top w:w="15" w:type="dxa"/>
              <w:left w:w="15" w:type="dxa"/>
              <w:right w:w="15" w:type="dxa"/>
            </w:tcMar>
            <w:vAlign w:val="center"/>
          </w:tcPr>
          <w:p w14:paraId="23C4AC6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1586.18</w:t>
            </w:r>
          </w:p>
        </w:tc>
      </w:tr>
      <w:tr w14:paraId="390AE3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l2br w:val="nil"/>
              <w:tr2bl w:val="nil"/>
            </w:tcBorders>
            <w:noWrap/>
            <w:tcMar>
              <w:top w:w="15" w:type="dxa"/>
              <w:left w:w="15" w:type="dxa"/>
              <w:right w:w="15" w:type="dxa"/>
            </w:tcMar>
            <w:vAlign w:val="center"/>
          </w:tcPr>
          <w:p w14:paraId="5A3146B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30~50km</w:t>
            </w:r>
          </w:p>
        </w:tc>
        <w:tc>
          <w:tcPr>
            <w:tcW w:w="1156" w:type="pct"/>
            <w:tcBorders>
              <w:tl2br w:val="nil"/>
              <w:tr2bl w:val="nil"/>
            </w:tcBorders>
            <w:noWrap/>
            <w:tcMar>
              <w:top w:w="15" w:type="dxa"/>
              <w:left w:w="15" w:type="dxa"/>
              <w:right w:w="15" w:type="dxa"/>
            </w:tcMar>
            <w:vAlign w:val="center"/>
          </w:tcPr>
          <w:p w14:paraId="2820E73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9</w:t>
            </w:r>
          </w:p>
        </w:tc>
        <w:tc>
          <w:tcPr>
            <w:tcW w:w="1343" w:type="pct"/>
            <w:tcBorders>
              <w:tl2br w:val="nil"/>
              <w:tr2bl w:val="nil"/>
            </w:tcBorders>
            <w:noWrap/>
            <w:tcMar>
              <w:top w:w="15" w:type="dxa"/>
              <w:left w:w="15" w:type="dxa"/>
              <w:right w:w="15" w:type="dxa"/>
            </w:tcMar>
            <w:vAlign w:val="center"/>
          </w:tcPr>
          <w:p w14:paraId="38973B6C">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247~634</w:t>
            </w:r>
          </w:p>
        </w:tc>
        <w:tc>
          <w:tcPr>
            <w:tcW w:w="1343" w:type="pct"/>
            <w:tcBorders>
              <w:tl2br w:val="nil"/>
              <w:tr2bl w:val="nil"/>
            </w:tcBorders>
            <w:noWrap/>
            <w:tcMar>
              <w:top w:w="15" w:type="dxa"/>
              <w:left w:w="15" w:type="dxa"/>
              <w:right w:w="15" w:type="dxa"/>
            </w:tcMar>
            <w:vAlign w:val="center"/>
          </w:tcPr>
          <w:p w14:paraId="2996A79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367.11</w:t>
            </w:r>
          </w:p>
        </w:tc>
      </w:tr>
      <w:tr w14:paraId="069656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6" w:type="pct"/>
            <w:tcBorders>
              <w:tl2br w:val="nil"/>
              <w:tr2bl w:val="nil"/>
            </w:tcBorders>
            <w:noWrap/>
            <w:tcMar>
              <w:top w:w="15" w:type="dxa"/>
              <w:left w:w="15" w:type="dxa"/>
              <w:right w:w="15" w:type="dxa"/>
            </w:tcMar>
            <w:vAlign w:val="center"/>
          </w:tcPr>
          <w:p w14:paraId="5B8257A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50km外</w:t>
            </w:r>
          </w:p>
        </w:tc>
        <w:tc>
          <w:tcPr>
            <w:tcW w:w="1156" w:type="pct"/>
            <w:tcBorders>
              <w:tl2br w:val="nil"/>
              <w:tr2bl w:val="nil"/>
            </w:tcBorders>
            <w:noWrap/>
            <w:tcMar>
              <w:top w:w="15" w:type="dxa"/>
              <w:left w:w="15" w:type="dxa"/>
              <w:right w:w="15" w:type="dxa"/>
            </w:tcMar>
            <w:vAlign w:val="center"/>
          </w:tcPr>
          <w:p w14:paraId="47582A8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35</w:t>
            </w:r>
          </w:p>
        </w:tc>
        <w:tc>
          <w:tcPr>
            <w:tcW w:w="1343" w:type="pct"/>
            <w:tcBorders>
              <w:tl2br w:val="nil"/>
              <w:tr2bl w:val="nil"/>
            </w:tcBorders>
            <w:noWrap/>
            <w:tcMar>
              <w:top w:w="15" w:type="dxa"/>
              <w:left w:w="15" w:type="dxa"/>
              <w:right w:w="15" w:type="dxa"/>
            </w:tcMar>
            <w:vAlign w:val="center"/>
          </w:tcPr>
          <w:p w14:paraId="3D63BB25">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10~99.6</w:t>
            </w:r>
          </w:p>
        </w:tc>
        <w:tc>
          <w:tcPr>
            <w:tcW w:w="1343" w:type="pct"/>
            <w:tcBorders>
              <w:tl2br w:val="nil"/>
              <w:tr2bl w:val="nil"/>
            </w:tcBorders>
            <w:noWrap/>
            <w:tcMar>
              <w:top w:w="15" w:type="dxa"/>
              <w:left w:w="15" w:type="dxa"/>
              <w:right w:w="15" w:type="dxa"/>
            </w:tcMar>
            <w:vAlign w:val="center"/>
          </w:tcPr>
          <w:p w14:paraId="78A7965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45.15</w:t>
            </w:r>
          </w:p>
        </w:tc>
      </w:tr>
    </w:tbl>
    <w:p w14:paraId="2A2877B0">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针对泌乳牛饲喂的饲料植物种植环境（土壤、空气、灌溉用水）应避免受到高氯酸盐的污染，若饲料植物种植环境周边有火药、炸药、烟花炮竹厂、火箭发射地、化工厂、军事工业、高氯酸盐生产厂等排放源的，应加强对高氯酸盐的监测。泌乳牛饲喂的饲料植物在种植过程中应避免使用含氯类农药或高氯酸钾肥。</w:t>
      </w:r>
    </w:p>
    <w:p w14:paraId="1A8408FF">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2.2饲养过程带入溯源研究</w:t>
      </w:r>
    </w:p>
    <w:p w14:paraId="257DF54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heme="minorBidi"/>
          <w:color w:val="auto"/>
          <w:sz w:val="28"/>
          <w:szCs w:val="28"/>
          <w:lang w:val="en-US" w:eastAsia="zh-CN"/>
        </w:rPr>
      </w:pPr>
      <w:r>
        <w:rPr>
          <w:rFonts w:hint="eastAsia" w:ascii="仿宋" w:hAnsi="仿宋" w:eastAsia="仿宋" w:cstheme="minorBidi"/>
          <w:color w:val="auto"/>
          <w:sz w:val="28"/>
          <w:szCs w:val="28"/>
          <w:lang w:val="en-US" w:eastAsia="zh-CN"/>
        </w:rPr>
        <w:t>经调研牧场主要使用进口苜蓿，收集全国范围内使用的8家不同生产品牌71批次苜蓿产品，检测高氯酸盐含量，结果发现检出率85.92%，检测值范围为ND~1160</w:t>
      </w:r>
      <w:r>
        <w:rPr>
          <w:rFonts w:hint="eastAsia" w:ascii="仿宋" w:hAnsi="仿宋" w:eastAsia="仿宋" w:cstheme="minorBidi"/>
          <w:i w:val="0"/>
          <w:color w:val="auto"/>
          <w:kern w:val="2"/>
          <w:sz w:val="28"/>
          <w:szCs w:val="28"/>
          <w:u w:val="none"/>
          <w:lang w:val="en-US" w:eastAsia="zh-CN" w:bidi="ar"/>
        </w:rPr>
        <w:t>μg/kg，</w:t>
      </w:r>
      <w:r>
        <w:rPr>
          <w:rFonts w:hint="eastAsia" w:ascii="仿宋" w:hAnsi="仿宋" w:eastAsia="仿宋" w:cstheme="minorBidi"/>
          <w:color w:val="auto"/>
          <w:sz w:val="28"/>
          <w:szCs w:val="28"/>
          <w:lang w:val="en-US" w:eastAsia="zh-CN"/>
        </w:rPr>
        <w:t>各品牌间高氯酸盐平均含量无显著差异（</w:t>
      </w:r>
      <w:r>
        <w:rPr>
          <w:rFonts w:hint="eastAsia" w:ascii="仿宋" w:hAnsi="仿宋" w:eastAsia="仿宋" w:cstheme="minorBidi"/>
          <w:i/>
          <w:iCs/>
          <w:color w:val="auto"/>
          <w:sz w:val="28"/>
          <w:szCs w:val="28"/>
          <w:lang w:val="en-US" w:eastAsia="zh-CN"/>
        </w:rPr>
        <w:t>P</w:t>
      </w:r>
      <w:r>
        <w:rPr>
          <w:rFonts w:hint="eastAsia" w:ascii="仿宋" w:hAnsi="仿宋" w:eastAsia="仿宋" w:cstheme="minorBidi"/>
          <w:i w:val="0"/>
          <w:iCs w:val="0"/>
          <w:color w:val="auto"/>
          <w:sz w:val="28"/>
          <w:szCs w:val="28"/>
          <w:lang w:val="en-US" w:eastAsia="zh-CN"/>
        </w:rPr>
        <w:t>=0.5968</w:t>
      </w:r>
      <w:r>
        <w:rPr>
          <w:rFonts w:hint="eastAsia" w:ascii="仿宋" w:hAnsi="仿宋" w:eastAsia="仿宋" w:cstheme="minorBidi"/>
          <w:color w:val="auto"/>
          <w:sz w:val="28"/>
          <w:szCs w:val="28"/>
          <w:lang w:val="en-US" w:eastAsia="zh-CN"/>
        </w:rPr>
        <w:t>），但从数值上看美国进口苜蓿高氯酸盐含量较西班牙、中国产地高，因为美国进口苜蓿主要从华盛顿州、爱达荷州、犹他州、加州、亚利桑那州、内华达州、俄勒冈州7个州进行种植、收购，进口苜蓿水平高可能与当地航空航天、国防工厂和空军基地等工业生产有关。必要时，可收集进口产品</w:t>
      </w:r>
      <w:r>
        <w:rPr>
          <w:rFonts w:hint="eastAsia" w:ascii="仿宋" w:hAnsi="仿宋" w:eastAsia="仿宋"/>
          <w:color w:val="auto"/>
          <w:sz w:val="28"/>
          <w:szCs w:val="28"/>
          <w:lang w:val="en-US" w:eastAsia="zh-CN"/>
        </w:rPr>
        <w:t>来源国种植基地环境信息，规避高氯酸盐带入风险。</w:t>
      </w:r>
    </w:p>
    <w:p w14:paraId="4E7D9816">
      <w:pPr>
        <w:jc w:val="center"/>
        <w:rPr>
          <w:rFonts w:hint="eastAsia" w:ascii="仿宋" w:hAnsi="仿宋" w:eastAsia="仿宋" w:cstheme="minorBidi"/>
          <w:b/>
          <w:i w:val="0"/>
          <w:color w:val="auto"/>
          <w:kern w:val="2"/>
          <w:sz w:val="24"/>
          <w:szCs w:val="24"/>
          <w:u w:val="none"/>
          <w:lang w:val="en-US" w:eastAsia="zh-CN" w:bidi="ar"/>
        </w:rPr>
      </w:pPr>
      <w:bookmarkStart w:id="0" w:name="OLE_LINK4"/>
      <w:r>
        <w:rPr>
          <w:rFonts w:hint="eastAsia" w:ascii="仿宋" w:hAnsi="仿宋" w:eastAsia="仿宋" w:cstheme="minorBidi"/>
          <w:b/>
          <w:color w:val="auto"/>
          <w:sz w:val="24"/>
          <w:szCs w:val="24"/>
          <w:lang w:val="en-US" w:eastAsia="zh-CN"/>
        </w:rPr>
        <w:t>表3 各品牌进口苜蓿中高氯酸盐检出结果比较</w:t>
      </w:r>
      <w:bookmarkEnd w:id="0"/>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1"/>
        <w:gridCol w:w="885"/>
        <w:gridCol w:w="1171"/>
        <w:gridCol w:w="1312"/>
        <w:gridCol w:w="1311"/>
        <w:gridCol w:w="1311"/>
        <w:gridCol w:w="1311"/>
        <w:gridCol w:w="1"/>
      </w:tblGrid>
      <w:tr w14:paraId="40366B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433" w:hRule="atLeast"/>
          <w:jc w:val="center"/>
        </w:trPr>
        <w:tc>
          <w:tcPr>
            <w:tcW w:w="1231" w:type="dxa"/>
            <w:vMerge w:val="restart"/>
            <w:noWrap/>
            <w:tcMar>
              <w:top w:w="15" w:type="dxa"/>
              <w:left w:w="15" w:type="dxa"/>
              <w:right w:w="15" w:type="dxa"/>
            </w:tcMar>
            <w:vAlign w:val="center"/>
          </w:tcPr>
          <w:p w14:paraId="13C7026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生产地</w:t>
            </w:r>
          </w:p>
        </w:tc>
        <w:tc>
          <w:tcPr>
            <w:tcW w:w="885" w:type="dxa"/>
            <w:vMerge w:val="restart"/>
            <w:noWrap/>
            <w:tcMar>
              <w:top w:w="15" w:type="dxa"/>
              <w:left w:w="15" w:type="dxa"/>
              <w:right w:w="15" w:type="dxa"/>
            </w:tcMar>
            <w:vAlign w:val="center"/>
          </w:tcPr>
          <w:p w14:paraId="2F5CEC0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品牌</w:t>
            </w:r>
          </w:p>
        </w:tc>
        <w:tc>
          <w:tcPr>
            <w:tcW w:w="1171" w:type="dxa"/>
            <w:vMerge w:val="restart"/>
            <w:noWrap/>
            <w:tcMar>
              <w:top w:w="15" w:type="dxa"/>
              <w:left w:w="15" w:type="dxa"/>
              <w:right w:w="15" w:type="dxa"/>
            </w:tcMar>
            <w:vAlign w:val="center"/>
          </w:tcPr>
          <w:p w14:paraId="3F25A21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检测批次</w:t>
            </w:r>
          </w:p>
        </w:tc>
        <w:tc>
          <w:tcPr>
            <w:tcW w:w="5245" w:type="dxa"/>
            <w:gridSpan w:val="4"/>
            <w:tcBorders>
              <w:bottom w:val="single" w:color="auto" w:sz="6" w:space="0"/>
            </w:tcBorders>
            <w:noWrap/>
            <w:tcMar>
              <w:top w:w="15" w:type="dxa"/>
              <w:left w:w="15" w:type="dxa"/>
              <w:right w:w="15" w:type="dxa"/>
            </w:tcMar>
            <w:vAlign w:val="center"/>
          </w:tcPr>
          <w:p w14:paraId="2D77B95A">
            <w:pPr>
              <w:jc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高氯酸盐含量（μg/kg）</w:t>
            </w:r>
          </w:p>
        </w:tc>
      </w:tr>
      <w:tr w14:paraId="738171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31" w:type="dxa"/>
            <w:vMerge w:val="continue"/>
            <w:tcBorders>
              <w:bottom w:val="single" w:color="auto" w:sz="6" w:space="0"/>
            </w:tcBorders>
            <w:noWrap/>
            <w:tcMar>
              <w:top w:w="15" w:type="dxa"/>
              <w:left w:w="15" w:type="dxa"/>
              <w:right w:w="15" w:type="dxa"/>
            </w:tcMar>
            <w:vAlign w:val="center"/>
          </w:tcPr>
          <w:p w14:paraId="1385496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885" w:type="dxa"/>
            <w:vMerge w:val="continue"/>
            <w:tcBorders>
              <w:bottom w:val="single" w:color="auto" w:sz="6" w:space="0"/>
            </w:tcBorders>
            <w:noWrap/>
            <w:tcMar>
              <w:top w:w="15" w:type="dxa"/>
              <w:left w:w="15" w:type="dxa"/>
              <w:right w:w="15" w:type="dxa"/>
            </w:tcMar>
            <w:vAlign w:val="center"/>
          </w:tcPr>
          <w:p w14:paraId="641BE5A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71" w:type="dxa"/>
            <w:vMerge w:val="continue"/>
            <w:tcBorders>
              <w:bottom w:val="single" w:color="auto" w:sz="6" w:space="0"/>
            </w:tcBorders>
            <w:noWrap/>
            <w:tcMar>
              <w:top w:w="15" w:type="dxa"/>
              <w:left w:w="15" w:type="dxa"/>
              <w:right w:w="15" w:type="dxa"/>
            </w:tcMar>
            <w:vAlign w:val="center"/>
          </w:tcPr>
          <w:p w14:paraId="7FD604B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312" w:type="dxa"/>
            <w:tcBorders>
              <w:top w:val="single" w:color="auto" w:sz="6" w:space="0"/>
              <w:bottom w:val="single" w:color="auto" w:sz="6" w:space="0"/>
            </w:tcBorders>
            <w:noWrap/>
            <w:tcMar>
              <w:top w:w="15" w:type="dxa"/>
              <w:left w:w="15" w:type="dxa"/>
              <w:right w:w="15" w:type="dxa"/>
            </w:tcMar>
            <w:vAlign w:val="center"/>
          </w:tcPr>
          <w:p w14:paraId="5D48C70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检出批次</w:t>
            </w:r>
          </w:p>
        </w:tc>
        <w:tc>
          <w:tcPr>
            <w:tcW w:w="1311" w:type="dxa"/>
            <w:tcBorders>
              <w:top w:val="single" w:color="auto" w:sz="6" w:space="0"/>
              <w:bottom w:val="single" w:color="auto" w:sz="6" w:space="0"/>
            </w:tcBorders>
            <w:noWrap/>
            <w:tcMar>
              <w:top w:w="15" w:type="dxa"/>
              <w:left w:w="15" w:type="dxa"/>
              <w:right w:w="15" w:type="dxa"/>
            </w:tcMar>
            <w:vAlign w:val="center"/>
          </w:tcPr>
          <w:p w14:paraId="14C01BA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检出率</w:t>
            </w:r>
          </w:p>
        </w:tc>
        <w:tc>
          <w:tcPr>
            <w:tcW w:w="1311" w:type="dxa"/>
            <w:tcBorders>
              <w:top w:val="single" w:color="auto" w:sz="6" w:space="0"/>
              <w:bottom w:val="single" w:color="auto" w:sz="6" w:space="0"/>
            </w:tcBorders>
            <w:noWrap/>
            <w:tcMar>
              <w:top w:w="15" w:type="dxa"/>
              <w:left w:w="15" w:type="dxa"/>
              <w:right w:w="15" w:type="dxa"/>
            </w:tcMar>
            <w:vAlign w:val="center"/>
          </w:tcPr>
          <w:p w14:paraId="7367AF2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中位数</w:t>
            </w:r>
          </w:p>
        </w:tc>
        <w:tc>
          <w:tcPr>
            <w:tcW w:w="1312" w:type="dxa"/>
            <w:gridSpan w:val="2"/>
            <w:tcBorders>
              <w:top w:val="single" w:color="auto" w:sz="6" w:space="0"/>
              <w:bottom w:val="single" w:color="auto" w:sz="6" w:space="0"/>
            </w:tcBorders>
            <w:noWrap/>
            <w:tcMar>
              <w:top w:w="15" w:type="dxa"/>
              <w:left w:w="15" w:type="dxa"/>
              <w:right w:w="15" w:type="dxa"/>
            </w:tcMar>
            <w:vAlign w:val="center"/>
          </w:tcPr>
          <w:p w14:paraId="68AF4EC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平均值</w:t>
            </w:r>
          </w:p>
        </w:tc>
      </w:tr>
      <w:tr w14:paraId="18480B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vMerge w:val="restart"/>
            <w:tcBorders>
              <w:top w:val="single" w:color="auto" w:sz="6" w:space="0"/>
              <w:tl2br w:val="nil"/>
              <w:tr2bl w:val="nil"/>
            </w:tcBorders>
            <w:noWrap/>
            <w:tcMar>
              <w:top w:w="15" w:type="dxa"/>
              <w:left w:w="15" w:type="dxa"/>
              <w:right w:w="15" w:type="dxa"/>
            </w:tcMar>
            <w:vAlign w:val="center"/>
          </w:tcPr>
          <w:p w14:paraId="27B21074">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美国</w:t>
            </w:r>
          </w:p>
        </w:tc>
        <w:tc>
          <w:tcPr>
            <w:tcW w:w="885" w:type="dxa"/>
            <w:tcBorders>
              <w:top w:val="single" w:color="auto" w:sz="6" w:space="0"/>
              <w:tl2br w:val="nil"/>
              <w:tr2bl w:val="nil"/>
            </w:tcBorders>
            <w:noWrap/>
            <w:tcMar>
              <w:top w:w="15" w:type="dxa"/>
              <w:left w:w="15" w:type="dxa"/>
              <w:right w:w="15" w:type="dxa"/>
            </w:tcMar>
            <w:vAlign w:val="center"/>
          </w:tcPr>
          <w:p w14:paraId="41C4B45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A</w:t>
            </w:r>
          </w:p>
        </w:tc>
        <w:tc>
          <w:tcPr>
            <w:tcW w:w="1171" w:type="dxa"/>
            <w:tcBorders>
              <w:top w:val="single" w:color="auto" w:sz="6" w:space="0"/>
              <w:tl2br w:val="nil"/>
              <w:tr2bl w:val="nil"/>
            </w:tcBorders>
            <w:noWrap/>
            <w:tcMar>
              <w:top w:w="15" w:type="dxa"/>
              <w:left w:w="15" w:type="dxa"/>
              <w:right w:w="15" w:type="dxa"/>
            </w:tcMar>
            <w:vAlign w:val="center"/>
          </w:tcPr>
          <w:p w14:paraId="0A2B2B9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9</w:t>
            </w:r>
          </w:p>
        </w:tc>
        <w:tc>
          <w:tcPr>
            <w:tcW w:w="1312" w:type="dxa"/>
            <w:tcBorders>
              <w:top w:val="single" w:color="auto" w:sz="6" w:space="0"/>
              <w:tl2br w:val="nil"/>
              <w:tr2bl w:val="nil"/>
            </w:tcBorders>
            <w:noWrap/>
            <w:tcMar>
              <w:top w:w="15" w:type="dxa"/>
              <w:left w:w="15" w:type="dxa"/>
              <w:right w:w="15" w:type="dxa"/>
            </w:tcMar>
            <w:vAlign w:val="center"/>
          </w:tcPr>
          <w:p w14:paraId="15256CDC">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1311" w:type="dxa"/>
            <w:tcBorders>
              <w:top w:val="single" w:color="auto" w:sz="6" w:space="0"/>
              <w:tl2br w:val="nil"/>
              <w:tr2bl w:val="nil"/>
            </w:tcBorders>
            <w:noWrap/>
            <w:tcMar>
              <w:top w:w="15" w:type="dxa"/>
              <w:left w:w="15" w:type="dxa"/>
              <w:right w:w="15" w:type="dxa"/>
            </w:tcMar>
            <w:vAlign w:val="center"/>
          </w:tcPr>
          <w:p w14:paraId="1E569BD1">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88.89%</w:t>
            </w:r>
          </w:p>
        </w:tc>
        <w:tc>
          <w:tcPr>
            <w:tcW w:w="1311" w:type="dxa"/>
            <w:tcBorders>
              <w:top w:val="single" w:color="auto" w:sz="6" w:space="0"/>
              <w:tl2br w:val="nil"/>
              <w:tr2bl w:val="nil"/>
            </w:tcBorders>
            <w:noWrap/>
            <w:tcMar>
              <w:top w:w="15" w:type="dxa"/>
              <w:left w:w="15" w:type="dxa"/>
              <w:right w:w="15" w:type="dxa"/>
            </w:tcMar>
            <w:vAlign w:val="center"/>
          </w:tcPr>
          <w:p w14:paraId="59125837">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157</w:t>
            </w:r>
          </w:p>
        </w:tc>
        <w:tc>
          <w:tcPr>
            <w:tcW w:w="1312" w:type="dxa"/>
            <w:gridSpan w:val="2"/>
            <w:tcBorders>
              <w:top w:val="single" w:color="auto" w:sz="6" w:space="0"/>
              <w:tl2br w:val="nil"/>
              <w:tr2bl w:val="nil"/>
            </w:tcBorders>
            <w:noWrap/>
            <w:tcMar>
              <w:top w:w="15" w:type="dxa"/>
              <w:left w:w="15" w:type="dxa"/>
              <w:right w:w="15" w:type="dxa"/>
            </w:tcMar>
            <w:vAlign w:val="center"/>
          </w:tcPr>
          <w:p w14:paraId="2FB337FB">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296.9</w:t>
            </w:r>
          </w:p>
        </w:tc>
      </w:tr>
      <w:tr w14:paraId="136601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1231" w:type="dxa"/>
            <w:vMerge w:val="continue"/>
            <w:tcBorders>
              <w:tl2br w:val="nil"/>
              <w:tr2bl w:val="nil"/>
            </w:tcBorders>
            <w:noWrap/>
            <w:tcMar>
              <w:top w:w="15" w:type="dxa"/>
              <w:left w:w="15" w:type="dxa"/>
              <w:right w:w="15" w:type="dxa"/>
            </w:tcMar>
            <w:vAlign w:val="center"/>
          </w:tcPr>
          <w:p w14:paraId="7000EC76">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85" w:type="dxa"/>
            <w:tcBorders>
              <w:tl2br w:val="nil"/>
              <w:tr2bl w:val="nil"/>
            </w:tcBorders>
            <w:noWrap/>
            <w:tcMar>
              <w:top w:w="15" w:type="dxa"/>
              <w:left w:w="15" w:type="dxa"/>
              <w:right w:w="15" w:type="dxa"/>
            </w:tcMar>
            <w:vAlign w:val="center"/>
          </w:tcPr>
          <w:p w14:paraId="4010146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B</w:t>
            </w:r>
          </w:p>
        </w:tc>
        <w:tc>
          <w:tcPr>
            <w:tcW w:w="1171" w:type="dxa"/>
            <w:tcBorders>
              <w:tl2br w:val="nil"/>
              <w:tr2bl w:val="nil"/>
            </w:tcBorders>
            <w:noWrap/>
            <w:tcMar>
              <w:top w:w="15" w:type="dxa"/>
              <w:left w:w="15" w:type="dxa"/>
              <w:right w:w="15" w:type="dxa"/>
            </w:tcMar>
            <w:vAlign w:val="center"/>
          </w:tcPr>
          <w:p w14:paraId="0D94C38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312" w:type="dxa"/>
            <w:tcBorders>
              <w:tl2br w:val="nil"/>
              <w:tr2bl w:val="nil"/>
            </w:tcBorders>
            <w:noWrap/>
            <w:tcMar>
              <w:top w:w="15" w:type="dxa"/>
              <w:left w:w="15" w:type="dxa"/>
              <w:right w:w="15" w:type="dxa"/>
            </w:tcMar>
            <w:vAlign w:val="center"/>
          </w:tcPr>
          <w:p w14:paraId="709B478B">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1311" w:type="dxa"/>
            <w:tcBorders>
              <w:tl2br w:val="nil"/>
              <w:tr2bl w:val="nil"/>
            </w:tcBorders>
            <w:noWrap/>
            <w:tcMar>
              <w:top w:w="15" w:type="dxa"/>
              <w:left w:w="15" w:type="dxa"/>
              <w:right w:w="15" w:type="dxa"/>
            </w:tcMar>
            <w:vAlign w:val="center"/>
          </w:tcPr>
          <w:p w14:paraId="06A82EC2">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100.00%</w:t>
            </w:r>
          </w:p>
        </w:tc>
        <w:tc>
          <w:tcPr>
            <w:tcW w:w="1311" w:type="dxa"/>
            <w:tcBorders>
              <w:tl2br w:val="nil"/>
              <w:tr2bl w:val="nil"/>
            </w:tcBorders>
            <w:noWrap/>
            <w:tcMar>
              <w:top w:w="15" w:type="dxa"/>
              <w:left w:w="15" w:type="dxa"/>
              <w:right w:w="15" w:type="dxa"/>
            </w:tcMar>
            <w:vAlign w:val="center"/>
          </w:tcPr>
          <w:p w14:paraId="70608F49">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262</w:t>
            </w:r>
          </w:p>
        </w:tc>
        <w:tc>
          <w:tcPr>
            <w:tcW w:w="1312" w:type="dxa"/>
            <w:gridSpan w:val="2"/>
            <w:tcBorders>
              <w:tl2br w:val="nil"/>
              <w:tr2bl w:val="nil"/>
            </w:tcBorders>
            <w:noWrap/>
            <w:tcMar>
              <w:top w:w="15" w:type="dxa"/>
              <w:left w:w="15" w:type="dxa"/>
              <w:right w:w="15" w:type="dxa"/>
            </w:tcMar>
            <w:vAlign w:val="center"/>
          </w:tcPr>
          <w:p w14:paraId="07DB810D">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265.8</w:t>
            </w:r>
          </w:p>
        </w:tc>
      </w:tr>
      <w:tr w14:paraId="23AA5E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vMerge w:val="continue"/>
            <w:tcBorders>
              <w:tl2br w:val="nil"/>
              <w:tr2bl w:val="nil"/>
            </w:tcBorders>
            <w:noWrap/>
            <w:tcMar>
              <w:top w:w="15" w:type="dxa"/>
              <w:left w:w="15" w:type="dxa"/>
              <w:right w:w="15" w:type="dxa"/>
            </w:tcMar>
            <w:vAlign w:val="center"/>
          </w:tcPr>
          <w:p w14:paraId="126C4DA8">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85" w:type="dxa"/>
            <w:tcBorders>
              <w:tl2br w:val="nil"/>
              <w:tr2bl w:val="nil"/>
            </w:tcBorders>
            <w:noWrap/>
            <w:tcMar>
              <w:top w:w="15" w:type="dxa"/>
              <w:left w:w="15" w:type="dxa"/>
              <w:right w:w="15" w:type="dxa"/>
            </w:tcMar>
            <w:vAlign w:val="center"/>
          </w:tcPr>
          <w:p w14:paraId="31BD6A6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C</w:t>
            </w:r>
          </w:p>
        </w:tc>
        <w:tc>
          <w:tcPr>
            <w:tcW w:w="1171" w:type="dxa"/>
            <w:tcBorders>
              <w:tl2br w:val="nil"/>
              <w:tr2bl w:val="nil"/>
            </w:tcBorders>
            <w:noWrap/>
            <w:tcMar>
              <w:top w:w="15" w:type="dxa"/>
              <w:left w:w="15" w:type="dxa"/>
              <w:right w:w="15" w:type="dxa"/>
            </w:tcMar>
            <w:vAlign w:val="center"/>
          </w:tcPr>
          <w:p w14:paraId="35D5D80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1312" w:type="dxa"/>
            <w:tcBorders>
              <w:tl2br w:val="nil"/>
              <w:tr2bl w:val="nil"/>
            </w:tcBorders>
            <w:noWrap/>
            <w:tcMar>
              <w:top w:w="15" w:type="dxa"/>
              <w:left w:w="15" w:type="dxa"/>
              <w:right w:w="15" w:type="dxa"/>
            </w:tcMar>
            <w:vAlign w:val="center"/>
          </w:tcPr>
          <w:p w14:paraId="375E79AE">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1311" w:type="dxa"/>
            <w:tcBorders>
              <w:tl2br w:val="nil"/>
              <w:tr2bl w:val="nil"/>
            </w:tcBorders>
            <w:noWrap/>
            <w:tcMar>
              <w:top w:w="15" w:type="dxa"/>
              <w:left w:w="15" w:type="dxa"/>
              <w:right w:w="15" w:type="dxa"/>
            </w:tcMar>
            <w:vAlign w:val="center"/>
          </w:tcPr>
          <w:p w14:paraId="2E9EEE1F">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87.50%</w:t>
            </w:r>
          </w:p>
        </w:tc>
        <w:tc>
          <w:tcPr>
            <w:tcW w:w="1311" w:type="dxa"/>
            <w:tcBorders>
              <w:tl2br w:val="nil"/>
              <w:tr2bl w:val="nil"/>
            </w:tcBorders>
            <w:noWrap/>
            <w:tcMar>
              <w:top w:w="15" w:type="dxa"/>
              <w:left w:w="15" w:type="dxa"/>
              <w:right w:w="15" w:type="dxa"/>
            </w:tcMar>
            <w:vAlign w:val="center"/>
          </w:tcPr>
          <w:p w14:paraId="56B956D2">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159</w:t>
            </w:r>
          </w:p>
        </w:tc>
        <w:tc>
          <w:tcPr>
            <w:tcW w:w="1312" w:type="dxa"/>
            <w:gridSpan w:val="2"/>
            <w:tcBorders>
              <w:tl2br w:val="nil"/>
              <w:tr2bl w:val="nil"/>
            </w:tcBorders>
            <w:noWrap/>
            <w:tcMar>
              <w:top w:w="15" w:type="dxa"/>
              <w:left w:w="15" w:type="dxa"/>
              <w:right w:w="15" w:type="dxa"/>
            </w:tcMar>
            <w:vAlign w:val="center"/>
          </w:tcPr>
          <w:p w14:paraId="0610ECF2">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232.2</w:t>
            </w:r>
          </w:p>
        </w:tc>
      </w:tr>
      <w:tr w14:paraId="0A3811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vMerge w:val="continue"/>
            <w:tcBorders>
              <w:tl2br w:val="nil"/>
              <w:tr2bl w:val="nil"/>
            </w:tcBorders>
            <w:noWrap/>
            <w:tcMar>
              <w:top w:w="15" w:type="dxa"/>
              <w:left w:w="15" w:type="dxa"/>
              <w:right w:w="15" w:type="dxa"/>
            </w:tcMar>
            <w:vAlign w:val="center"/>
          </w:tcPr>
          <w:p w14:paraId="502C459F">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85" w:type="dxa"/>
            <w:tcBorders>
              <w:tl2br w:val="nil"/>
              <w:tr2bl w:val="nil"/>
            </w:tcBorders>
            <w:noWrap/>
            <w:tcMar>
              <w:top w:w="15" w:type="dxa"/>
              <w:left w:w="15" w:type="dxa"/>
              <w:right w:w="15" w:type="dxa"/>
            </w:tcMar>
            <w:vAlign w:val="center"/>
          </w:tcPr>
          <w:p w14:paraId="3FC8213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D</w:t>
            </w:r>
          </w:p>
        </w:tc>
        <w:tc>
          <w:tcPr>
            <w:tcW w:w="1171" w:type="dxa"/>
            <w:tcBorders>
              <w:tl2br w:val="nil"/>
              <w:tr2bl w:val="nil"/>
            </w:tcBorders>
            <w:noWrap/>
            <w:tcMar>
              <w:top w:w="15" w:type="dxa"/>
              <w:left w:w="15" w:type="dxa"/>
              <w:right w:w="15" w:type="dxa"/>
            </w:tcMar>
            <w:vAlign w:val="center"/>
          </w:tcPr>
          <w:p w14:paraId="4A5A834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1312" w:type="dxa"/>
            <w:tcBorders>
              <w:tl2br w:val="nil"/>
              <w:tr2bl w:val="nil"/>
            </w:tcBorders>
            <w:noWrap/>
            <w:tcMar>
              <w:top w:w="15" w:type="dxa"/>
              <w:left w:w="15" w:type="dxa"/>
              <w:right w:w="15" w:type="dxa"/>
            </w:tcMar>
            <w:vAlign w:val="center"/>
          </w:tcPr>
          <w:p w14:paraId="10360FC5">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1311" w:type="dxa"/>
            <w:tcBorders>
              <w:tl2br w:val="nil"/>
              <w:tr2bl w:val="nil"/>
            </w:tcBorders>
            <w:noWrap/>
            <w:tcMar>
              <w:top w:w="15" w:type="dxa"/>
              <w:left w:w="15" w:type="dxa"/>
              <w:right w:w="15" w:type="dxa"/>
            </w:tcMar>
            <w:vAlign w:val="center"/>
          </w:tcPr>
          <w:p w14:paraId="2BEDBCC3">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75.00%</w:t>
            </w:r>
          </w:p>
        </w:tc>
        <w:tc>
          <w:tcPr>
            <w:tcW w:w="1311" w:type="dxa"/>
            <w:tcBorders>
              <w:tl2br w:val="nil"/>
              <w:tr2bl w:val="nil"/>
            </w:tcBorders>
            <w:noWrap/>
            <w:tcMar>
              <w:top w:w="15" w:type="dxa"/>
              <w:left w:w="15" w:type="dxa"/>
              <w:right w:w="15" w:type="dxa"/>
            </w:tcMar>
            <w:vAlign w:val="center"/>
          </w:tcPr>
          <w:p w14:paraId="0E5850C1">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99.1</w:t>
            </w:r>
          </w:p>
        </w:tc>
        <w:tc>
          <w:tcPr>
            <w:tcW w:w="1312" w:type="dxa"/>
            <w:gridSpan w:val="2"/>
            <w:tcBorders>
              <w:tl2br w:val="nil"/>
              <w:tr2bl w:val="nil"/>
            </w:tcBorders>
            <w:noWrap/>
            <w:tcMar>
              <w:top w:w="15" w:type="dxa"/>
              <w:left w:w="15" w:type="dxa"/>
              <w:right w:w="15" w:type="dxa"/>
            </w:tcMar>
            <w:vAlign w:val="center"/>
          </w:tcPr>
          <w:p w14:paraId="16B8FBB1">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215.8</w:t>
            </w:r>
          </w:p>
        </w:tc>
      </w:tr>
      <w:tr w14:paraId="47563A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vMerge w:val="continue"/>
            <w:tcBorders>
              <w:tl2br w:val="nil"/>
              <w:tr2bl w:val="nil"/>
            </w:tcBorders>
            <w:noWrap/>
            <w:tcMar>
              <w:top w:w="15" w:type="dxa"/>
              <w:left w:w="15" w:type="dxa"/>
              <w:right w:w="15" w:type="dxa"/>
            </w:tcMar>
            <w:vAlign w:val="center"/>
          </w:tcPr>
          <w:p w14:paraId="0AA88C8A">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85" w:type="dxa"/>
            <w:tcBorders>
              <w:tl2br w:val="nil"/>
              <w:tr2bl w:val="nil"/>
            </w:tcBorders>
            <w:noWrap/>
            <w:tcMar>
              <w:top w:w="15" w:type="dxa"/>
              <w:left w:w="15" w:type="dxa"/>
              <w:right w:w="15" w:type="dxa"/>
            </w:tcMar>
            <w:vAlign w:val="center"/>
          </w:tcPr>
          <w:p w14:paraId="2564C5FC">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E</w:t>
            </w:r>
          </w:p>
        </w:tc>
        <w:tc>
          <w:tcPr>
            <w:tcW w:w="1171" w:type="dxa"/>
            <w:tcBorders>
              <w:tl2br w:val="nil"/>
              <w:tr2bl w:val="nil"/>
            </w:tcBorders>
            <w:noWrap/>
            <w:tcMar>
              <w:top w:w="15" w:type="dxa"/>
              <w:left w:w="15" w:type="dxa"/>
              <w:right w:w="15" w:type="dxa"/>
            </w:tcMar>
            <w:vAlign w:val="center"/>
          </w:tcPr>
          <w:p w14:paraId="54C503EC">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1312" w:type="dxa"/>
            <w:tcBorders>
              <w:tl2br w:val="nil"/>
              <w:tr2bl w:val="nil"/>
            </w:tcBorders>
            <w:noWrap/>
            <w:tcMar>
              <w:top w:w="15" w:type="dxa"/>
              <w:left w:w="15" w:type="dxa"/>
              <w:right w:w="15" w:type="dxa"/>
            </w:tcMar>
            <w:vAlign w:val="center"/>
          </w:tcPr>
          <w:p w14:paraId="2D71EE74">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1311" w:type="dxa"/>
            <w:tcBorders>
              <w:tl2br w:val="nil"/>
              <w:tr2bl w:val="nil"/>
            </w:tcBorders>
            <w:noWrap/>
            <w:tcMar>
              <w:top w:w="15" w:type="dxa"/>
              <w:left w:w="15" w:type="dxa"/>
              <w:right w:w="15" w:type="dxa"/>
            </w:tcMar>
            <w:vAlign w:val="center"/>
          </w:tcPr>
          <w:p w14:paraId="69BBEC39">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77.78%</w:t>
            </w:r>
          </w:p>
        </w:tc>
        <w:tc>
          <w:tcPr>
            <w:tcW w:w="1311" w:type="dxa"/>
            <w:tcBorders>
              <w:tl2br w:val="nil"/>
              <w:tr2bl w:val="nil"/>
            </w:tcBorders>
            <w:noWrap/>
            <w:tcMar>
              <w:top w:w="15" w:type="dxa"/>
              <w:left w:w="15" w:type="dxa"/>
              <w:right w:w="15" w:type="dxa"/>
            </w:tcMar>
            <w:vAlign w:val="center"/>
          </w:tcPr>
          <w:p w14:paraId="53C1297D">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186.5</w:t>
            </w:r>
          </w:p>
        </w:tc>
        <w:tc>
          <w:tcPr>
            <w:tcW w:w="1312" w:type="dxa"/>
            <w:gridSpan w:val="2"/>
            <w:tcBorders>
              <w:tl2br w:val="nil"/>
              <w:tr2bl w:val="nil"/>
            </w:tcBorders>
            <w:noWrap/>
            <w:tcMar>
              <w:top w:w="15" w:type="dxa"/>
              <w:left w:w="15" w:type="dxa"/>
              <w:right w:w="15" w:type="dxa"/>
            </w:tcMar>
            <w:vAlign w:val="center"/>
          </w:tcPr>
          <w:p w14:paraId="49C6892F">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181.8</w:t>
            </w:r>
          </w:p>
        </w:tc>
      </w:tr>
      <w:tr w14:paraId="27558B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vMerge w:val="continue"/>
            <w:tcBorders>
              <w:tl2br w:val="nil"/>
              <w:tr2bl w:val="nil"/>
            </w:tcBorders>
            <w:noWrap/>
            <w:tcMar>
              <w:top w:w="15" w:type="dxa"/>
              <w:left w:w="15" w:type="dxa"/>
              <w:right w:w="15" w:type="dxa"/>
            </w:tcMar>
            <w:vAlign w:val="center"/>
          </w:tcPr>
          <w:p w14:paraId="76EDCB16">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p>
        </w:tc>
        <w:tc>
          <w:tcPr>
            <w:tcW w:w="885" w:type="dxa"/>
            <w:tcBorders>
              <w:tl2br w:val="nil"/>
              <w:tr2bl w:val="nil"/>
            </w:tcBorders>
            <w:noWrap/>
            <w:tcMar>
              <w:top w:w="15" w:type="dxa"/>
              <w:left w:w="15" w:type="dxa"/>
              <w:right w:w="15" w:type="dxa"/>
            </w:tcMar>
            <w:vAlign w:val="center"/>
          </w:tcPr>
          <w:p w14:paraId="3945FF7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F</w:t>
            </w:r>
          </w:p>
        </w:tc>
        <w:tc>
          <w:tcPr>
            <w:tcW w:w="1171" w:type="dxa"/>
            <w:tcBorders>
              <w:tl2br w:val="nil"/>
              <w:tr2bl w:val="nil"/>
            </w:tcBorders>
            <w:noWrap/>
            <w:tcMar>
              <w:top w:w="15" w:type="dxa"/>
              <w:left w:w="15" w:type="dxa"/>
              <w:right w:w="15" w:type="dxa"/>
            </w:tcMar>
            <w:vAlign w:val="center"/>
          </w:tcPr>
          <w:p w14:paraId="2AFC576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3</w:t>
            </w:r>
          </w:p>
        </w:tc>
        <w:tc>
          <w:tcPr>
            <w:tcW w:w="1312" w:type="dxa"/>
            <w:tcBorders>
              <w:tl2br w:val="nil"/>
              <w:tr2bl w:val="nil"/>
            </w:tcBorders>
            <w:noWrap/>
            <w:tcMar>
              <w:top w:w="15" w:type="dxa"/>
              <w:left w:w="15" w:type="dxa"/>
              <w:right w:w="15" w:type="dxa"/>
            </w:tcMar>
            <w:vAlign w:val="center"/>
          </w:tcPr>
          <w:p w14:paraId="011D5821">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1311" w:type="dxa"/>
            <w:tcBorders>
              <w:tl2br w:val="nil"/>
              <w:tr2bl w:val="nil"/>
            </w:tcBorders>
            <w:noWrap/>
            <w:tcMar>
              <w:top w:w="15" w:type="dxa"/>
              <w:left w:w="15" w:type="dxa"/>
              <w:right w:w="15" w:type="dxa"/>
            </w:tcMar>
            <w:vAlign w:val="center"/>
          </w:tcPr>
          <w:p w14:paraId="59349228">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100.00%</w:t>
            </w:r>
          </w:p>
        </w:tc>
        <w:tc>
          <w:tcPr>
            <w:tcW w:w="1311" w:type="dxa"/>
            <w:tcBorders>
              <w:tl2br w:val="nil"/>
              <w:tr2bl w:val="nil"/>
            </w:tcBorders>
            <w:noWrap/>
            <w:tcMar>
              <w:top w:w="15" w:type="dxa"/>
              <w:left w:w="15" w:type="dxa"/>
              <w:right w:w="15" w:type="dxa"/>
            </w:tcMar>
            <w:vAlign w:val="center"/>
          </w:tcPr>
          <w:p w14:paraId="7642252E">
            <w:pPr>
              <w:keepNext w:val="0"/>
              <w:keepLines w:val="0"/>
              <w:widowControl/>
              <w:suppressLineNumbers w:val="0"/>
              <w:jc w:val="center"/>
              <w:textAlignment w:val="bottom"/>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148</w:t>
            </w:r>
          </w:p>
        </w:tc>
        <w:tc>
          <w:tcPr>
            <w:tcW w:w="1312" w:type="dxa"/>
            <w:gridSpan w:val="2"/>
            <w:tcBorders>
              <w:tl2br w:val="nil"/>
              <w:tr2bl w:val="nil"/>
            </w:tcBorders>
            <w:noWrap/>
            <w:tcMar>
              <w:top w:w="15" w:type="dxa"/>
              <w:left w:w="15" w:type="dxa"/>
              <w:right w:w="15" w:type="dxa"/>
            </w:tcMar>
            <w:vAlign w:val="center"/>
          </w:tcPr>
          <w:p w14:paraId="7C84E74F">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143.0</w:t>
            </w:r>
          </w:p>
        </w:tc>
      </w:tr>
      <w:tr w14:paraId="6439F3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tcBorders>
              <w:tl2br w:val="nil"/>
              <w:tr2bl w:val="nil"/>
            </w:tcBorders>
            <w:noWrap/>
            <w:tcMar>
              <w:top w:w="15" w:type="dxa"/>
              <w:left w:w="15" w:type="dxa"/>
              <w:right w:w="15" w:type="dxa"/>
            </w:tcMar>
            <w:vAlign w:val="center"/>
          </w:tcPr>
          <w:p w14:paraId="6891239D">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西班牙</w:t>
            </w:r>
          </w:p>
        </w:tc>
        <w:tc>
          <w:tcPr>
            <w:tcW w:w="885" w:type="dxa"/>
            <w:tcBorders>
              <w:tl2br w:val="nil"/>
              <w:tr2bl w:val="nil"/>
            </w:tcBorders>
            <w:noWrap/>
            <w:tcMar>
              <w:top w:w="15" w:type="dxa"/>
              <w:left w:w="15" w:type="dxa"/>
              <w:right w:w="15" w:type="dxa"/>
            </w:tcMar>
            <w:vAlign w:val="center"/>
          </w:tcPr>
          <w:p w14:paraId="7CEE927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G</w:t>
            </w:r>
          </w:p>
        </w:tc>
        <w:tc>
          <w:tcPr>
            <w:tcW w:w="1171" w:type="dxa"/>
            <w:tcBorders>
              <w:tl2br w:val="nil"/>
              <w:tr2bl w:val="nil"/>
            </w:tcBorders>
            <w:noWrap/>
            <w:tcMar>
              <w:top w:w="15" w:type="dxa"/>
              <w:left w:w="15" w:type="dxa"/>
              <w:right w:w="15" w:type="dxa"/>
            </w:tcMar>
            <w:vAlign w:val="center"/>
          </w:tcPr>
          <w:p w14:paraId="6E4F299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3</w:t>
            </w:r>
          </w:p>
        </w:tc>
        <w:tc>
          <w:tcPr>
            <w:tcW w:w="1312" w:type="dxa"/>
            <w:tcBorders>
              <w:tl2br w:val="nil"/>
              <w:tr2bl w:val="nil"/>
            </w:tcBorders>
            <w:noWrap/>
            <w:tcMar>
              <w:top w:w="15" w:type="dxa"/>
              <w:left w:w="15" w:type="dxa"/>
              <w:right w:w="15" w:type="dxa"/>
            </w:tcMar>
            <w:vAlign w:val="center"/>
          </w:tcPr>
          <w:p w14:paraId="7C50B85A">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1311" w:type="dxa"/>
            <w:tcBorders>
              <w:tl2br w:val="nil"/>
              <w:tr2bl w:val="nil"/>
            </w:tcBorders>
            <w:noWrap/>
            <w:tcMar>
              <w:top w:w="15" w:type="dxa"/>
              <w:left w:w="15" w:type="dxa"/>
              <w:right w:w="15" w:type="dxa"/>
            </w:tcMar>
            <w:vAlign w:val="center"/>
          </w:tcPr>
          <w:p w14:paraId="6B1E89B0">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100.00%</w:t>
            </w:r>
          </w:p>
        </w:tc>
        <w:tc>
          <w:tcPr>
            <w:tcW w:w="1311" w:type="dxa"/>
            <w:tcBorders>
              <w:tl2br w:val="nil"/>
              <w:tr2bl w:val="nil"/>
            </w:tcBorders>
            <w:noWrap/>
            <w:tcMar>
              <w:top w:w="15" w:type="dxa"/>
              <w:left w:w="15" w:type="dxa"/>
              <w:right w:w="15" w:type="dxa"/>
            </w:tcMar>
            <w:vAlign w:val="center"/>
          </w:tcPr>
          <w:p w14:paraId="4AB0A7BF">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74.2</w:t>
            </w:r>
          </w:p>
        </w:tc>
        <w:tc>
          <w:tcPr>
            <w:tcW w:w="1312" w:type="dxa"/>
            <w:gridSpan w:val="2"/>
            <w:tcBorders>
              <w:tl2br w:val="nil"/>
              <w:tr2bl w:val="nil"/>
            </w:tcBorders>
            <w:noWrap/>
            <w:tcMar>
              <w:top w:w="15" w:type="dxa"/>
              <w:left w:w="15" w:type="dxa"/>
              <w:right w:w="15" w:type="dxa"/>
            </w:tcMar>
            <w:vAlign w:val="center"/>
          </w:tcPr>
          <w:p w14:paraId="02977183">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93.0</w:t>
            </w:r>
          </w:p>
        </w:tc>
      </w:tr>
      <w:tr w14:paraId="1D9EF8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231" w:type="dxa"/>
            <w:tcBorders>
              <w:tl2br w:val="nil"/>
              <w:tr2bl w:val="nil"/>
            </w:tcBorders>
            <w:noWrap/>
            <w:tcMar>
              <w:top w:w="15" w:type="dxa"/>
              <w:left w:w="15" w:type="dxa"/>
              <w:right w:w="15" w:type="dxa"/>
            </w:tcMar>
            <w:vAlign w:val="center"/>
          </w:tcPr>
          <w:p w14:paraId="59C7616D">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中国</w:t>
            </w:r>
          </w:p>
        </w:tc>
        <w:tc>
          <w:tcPr>
            <w:tcW w:w="885" w:type="dxa"/>
            <w:tcBorders>
              <w:tl2br w:val="nil"/>
              <w:tr2bl w:val="nil"/>
            </w:tcBorders>
            <w:noWrap/>
            <w:tcMar>
              <w:top w:w="15" w:type="dxa"/>
              <w:left w:w="15" w:type="dxa"/>
              <w:right w:w="15" w:type="dxa"/>
            </w:tcMar>
            <w:vAlign w:val="center"/>
          </w:tcPr>
          <w:p w14:paraId="7BBA2FD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H</w:t>
            </w:r>
          </w:p>
        </w:tc>
        <w:tc>
          <w:tcPr>
            <w:tcW w:w="1171" w:type="dxa"/>
            <w:tcBorders>
              <w:tl2br w:val="nil"/>
              <w:tr2bl w:val="nil"/>
            </w:tcBorders>
            <w:noWrap/>
            <w:tcMar>
              <w:top w:w="15" w:type="dxa"/>
              <w:left w:w="15" w:type="dxa"/>
              <w:right w:w="15" w:type="dxa"/>
            </w:tcMar>
            <w:vAlign w:val="center"/>
          </w:tcPr>
          <w:p w14:paraId="0D9D9A1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1312" w:type="dxa"/>
            <w:tcBorders>
              <w:tl2br w:val="nil"/>
              <w:tr2bl w:val="nil"/>
            </w:tcBorders>
            <w:noWrap/>
            <w:tcMar>
              <w:top w:w="15" w:type="dxa"/>
              <w:left w:w="15" w:type="dxa"/>
              <w:right w:w="15" w:type="dxa"/>
            </w:tcMar>
            <w:vAlign w:val="center"/>
          </w:tcPr>
          <w:p w14:paraId="7D40CFBF">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1311" w:type="dxa"/>
            <w:tcBorders>
              <w:tl2br w:val="nil"/>
              <w:tr2bl w:val="nil"/>
            </w:tcBorders>
            <w:noWrap/>
            <w:tcMar>
              <w:top w:w="15" w:type="dxa"/>
              <w:left w:w="15" w:type="dxa"/>
              <w:right w:w="15" w:type="dxa"/>
            </w:tcMar>
            <w:vAlign w:val="center"/>
          </w:tcPr>
          <w:p w14:paraId="39A90441">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100.00%</w:t>
            </w:r>
          </w:p>
        </w:tc>
        <w:tc>
          <w:tcPr>
            <w:tcW w:w="1311" w:type="dxa"/>
            <w:tcBorders>
              <w:tl2br w:val="nil"/>
              <w:tr2bl w:val="nil"/>
            </w:tcBorders>
            <w:noWrap/>
            <w:tcMar>
              <w:top w:w="15" w:type="dxa"/>
              <w:left w:w="15" w:type="dxa"/>
              <w:right w:w="15" w:type="dxa"/>
            </w:tcMar>
            <w:vAlign w:val="center"/>
          </w:tcPr>
          <w:p w14:paraId="57660629">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67.45</w:t>
            </w:r>
          </w:p>
        </w:tc>
        <w:tc>
          <w:tcPr>
            <w:tcW w:w="1312" w:type="dxa"/>
            <w:gridSpan w:val="2"/>
            <w:tcBorders>
              <w:tl2br w:val="nil"/>
              <w:tr2bl w:val="nil"/>
            </w:tcBorders>
            <w:noWrap/>
            <w:tcMar>
              <w:top w:w="15" w:type="dxa"/>
              <w:left w:w="15" w:type="dxa"/>
              <w:right w:w="15" w:type="dxa"/>
            </w:tcMar>
            <w:vAlign w:val="center"/>
          </w:tcPr>
          <w:p w14:paraId="0AADA320">
            <w:pPr>
              <w:keepNext w:val="0"/>
              <w:keepLines w:val="0"/>
              <w:widowControl/>
              <w:suppressLineNumbers w:val="0"/>
              <w:jc w:val="center"/>
              <w:textAlignment w:val="bottom"/>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89.0</w:t>
            </w:r>
          </w:p>
        </w:tc>
      </w:tr>
    </w:tbl>
    <w:p w14:paraId="059D3DDC">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针对饲料添加剂开展工艺生产分析及监测，如硫酸镁、硫酸锌等，生产厂家可能会使用净化后的废硫酸进行生产，但废硫酸从来源以及净化方式上均存在不可控因素，如氧化法净化废硫酸可能会使用到过氧化氢、硝酸、高氯酸、次氯酸、硝酸盐、臭氧等作为氧化剂，存在高氯酸盐等物质残留风险。如氯化铵制作过程中未能完全中和所有的盐酸或者存在额外的氧化剂，导致一部分氯化铵会被氧化为高氯酸盐，且生产过程中氯化铵如果和含氯消毒剂接触时，就会产生高氯酸盐，因此生产过程中要避免氯化铵和含氯消毒剂的接触。围产料中会使用氯化铵等阴离子盐，存储过程中可能会出现泌乳牛误用围产料现象，故牧场不应将围产牛等其他牛群精料补充料、预混料、浓缩料用于饲喂泌乳牛。结合前期研究结果，牧场饲喂泌乳牛饲喂的饲料应在符合GB 13078等有关规定前提下，宜重点开展预混料、精料补充料、浓缩料、青贮、苜蓿、燕麦、羊草中高氯酸盐的管控，并开展监测。其中预混料、精料补充料、浓缩料中应重点关注硫酸镁、硫酸锌等矿物质类饲料添加剂中高氯酸盐的管控。</w:t>
      </w:r>
    </w:p>
    <w:p w14:paraId="00EF313C">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2.3水质研究结果</w:t>
      </w:r>
    </w:p>
    <w:p w14:paraId="645B9563">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通过调研、查阅文献，部分地区牧场生产用水高氯酸盐含量可能偏高，存在高氯酸盐带入原料奶风险。2022年国家下发GB 5749《生活饮用水卫生标准》，提出生活饮用水中高氯酸盐限值为0.07mg/Ｌ，生产用水中高氯酸盐可能来源于自来水水消毒处理或水体污染，通过探究RO反渗透净水装置应用效果，发现可以有效过滤水质中高氯酸盐，因此针对存在水质污染的水源可以通过按照RO反渗透净水装置或更换水源进行风险控制。牧场用水宜每年开展一次水质监测，进行高氯酸盐含量监测。</w:t>
      </w:r>
    </w:p>
    <w:p w14:paraId="6937DC12">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2.4奶牛场投入品带入风险研究</w:t>
      </w:r>
    </w:p>
    <w:p w14:paraId="18E15F93">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经研究，清洗液、药浴液等投入品可能含有含氯成分，文献报道，含氯碱性清洗液在长期存储过程中或循环回收利用下，因含有次氯酸钠，随着次氯酸盐的老化，高氯酸盐浓度有增加的趋势,需重点关注含氯碱性制剂的使用；工厂酸碱回收水清洗后，应关注奶车残留水排水情况，避免清洗水残留。此外，牧场需避免在使用其他化学试剂时污染饲料、水源、生牛乳，如用于制冷罐搅拌机、挤奶机的空气压缩机等润滑油应为食品级，且不应污染生牛乳；用于牧场环境消毒、化学灭蝇、化学除草的消毒剂、农药不应污染饲料、水源、生牛乳。</w:t>
      </w:r>
    </w:p>
    <w:p w14:paraId="65259123">
      <w:pPr>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3、是否为本领域市场新技术、新产品、新服务的标准化转化（说明产品特性、技术要求等内容）</w:t>
      </w:r>
    </w:p>
    <w:p w14:paraId="68DC28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否</w:t>
      </w:r>
    </w:p>
    <w:p w14:paraId="70108541">
      <w:pPr>
        <w:rPr>
          <w:rFonts w:ascii="仿宋" w:hAnsi="仿宋" w:eastAsia="仿宋"/>
          <w:b/>
          <w:color w:val="auto"/>
          <w:sz w:val="28"/>
          <w:szCs w:val="28"/>
        </w:rPr>
      </w:pPr>
      <w:r>
        <w:rPr>
          <w:rFonts w:hint="eastAsia" w:ascii="仿宋" w:hAnsi="仿宋" w:eastAsia="仿宋"/>
          <w:b/>
          <w:color w:val="auto"/>
          <w:sz w:val="28"/>
          <w:szCs w:val="28"/>
        </w:rPr>
        <w:t>六、重大意见分歧的处理依据和结果</w:t>
      </w:r>
    </w:p>
    <w:p w14:paraId="770BA0A9">
      <w:pPr>
        <w:spacing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本文件在编写过程中没有重大意见分歧。</w:t>
      </w:r>
    </w:p>
    <w:p w14:paraId="23BEA899">
      <w:pPr>
        <w:rPr>
          <w:rFonts w:ascii="仿宋" w:hAnsi="仿宋" w:eastAsia="仿宋"/>
          <w:b/>
          <w:color w:val="auto"/>
          <w:sz w:val="28"/>
          <w:szCs w:val="28"/>
        </w:rPr>
      </w:pPr>
      <w:r>
        <w:rPr>
          <w:rFonts w:hint="eastAsia" w:ascii="仿宋" w:hAnsi="仿宋" w:eastAsia="仿宋"/>
          <w:b/>
          <w:color w:val="auto"/>
          <w:sz w:val="28"/>
          <w:szCs w:val="28"/>
        </w:rPr>
        <w:t>七、</w:t>
      </w:r>
      <w:r>
        <w:rPr>
          <w:rFonts w:ascii="仿宋" w:hAnsi="仿宋" w:eastAsia="仿宋"/>
          <w:b/>
          <w:color w:val="auto"/>
          <w:sz w:val="28"/>
          <w:szCs w:val="28"/>
        </w:rPr>
        <w:t>采用国际标准或国外先进标准的，说明采标程度，以及国内外同类标准水平的对比情况</w:t>
      </w:r>
    </w:p>
    <w:p w14:paraId="08807DB6">
      <w:pPr>
        <w:spacing w:line="48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本文件未采用国际标准或国外先进标准。</w:t>
      </w:r>
    </w:p>
    <w:p w14:paraId="2EBAD9B2">
      <w:pPr>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八、推广应用（包括实施措施；实施方向、如以标准为依据开展的产业推进、行业管理等有关活动）</w:t>
      </w:r>
    </w:p>
    <w:p w14:paraId="55523E03">
      <w:pPr>
        <w:spacing w:line="48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通过该标准内容指导牧场进行原料奶中高氯酸盐管控。</w:t>
      </w:r>
    </w:p>
    <w:p w14:paraId="7AE1EF81">
      <w:pPr>
        <w:rPr>
          <w:rFonts w:ascii="仿宋" w:hAnsi="仿宋" w:eastAsia="仿宋"/>
          <w:b/>
          <w:color w:val="auto"/>
          <w:sz w:val="28"/>
          <w:szCs w:val="28"/>
        </w:rPr>
      </w:pPr>
      <w:r>
        <w:rPr>
          <w:rFonts w:hint="eastAsia" w:ascii="仿宋" w:hAnsi="仿宋" w:eastAsia="仿宋"/>
          <w:b/>
          <w:color w:val="auto"/>
          <w:sz w:val="28"/>
          <w:szCs w:val="28"/>
          <w:lang w:val="en-US" w:eastAsia="zh-CN"/>
        </w:rPr>
        <w:t>九</w:t>
      </w:r>
      <w:r>
        <w:rPr>
          <w:rFonts w:hint="eastAsia" w:ascii="仿宋" w:hAnsi="仿宋" w:eastAsia="仿宋"/>
          <w:b/>
          <w:color w:val="auto"/>
          <w:sz w:val="28"/>
          <w:szCs w:val="28"/>
        </w:rPr>
        <w:t>、其他应说明的事项</w:t>
      </w:r>
    </w:p>
    <w:p w14:paraId="48B3E3A6">
      <w:pPr>
        <w:spacing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无 。</w:t>
      </w:r>
    </w:p>
    <w:p w14:paraId="7BFB81BB">
      <w:pPr>
        <w:rPr>
          <w:rFonts w:ascii="仿宋" w:hAnsi="仿宋" w:eastAsia="仿宋"/>
          <w:color w:val="auto"/>
          <w:sz w:val="28"/>
          <w:szCs w:val="28"/>
        </w:rPr>
      </w:pPr>
    </w:p>
    <w:p w14:paraId="7CC8BC53">
      <w:pPr>
        <w:wordWrap w:val="0"/>
        <w:spacing w:line="360" w:lineRule="auto"/>
        <w:ind w:firstLine="562" w:firstLineChars="200"/>
        <w:jc w:val="right"/>
        <w:rPr>
          <w:rFonts w:ascii="Times New Roman" w:hAnsi="Times New Roman" w:eastAsia="仿宋"/>
          <w:b/>
          <w:color w:val="auto"/>
          <w:sz w:val="28"/>
          <w:szCs w:val="28"/>
        </w:rPr>
      </w:pPr>
      <w:r>
        <w:rPr>
          <w:rFonts w:ascii="Times New Roman" w:hAnsi="仿宋" w:eastAsia="仿宋"/>
          <w:b/>
          <w:color w:val="auto"/>
          <w:sz w:val="28"/>
          <w:szCs w:val="28"/>
        </w:rPr>
        <w:t>《</w:t>
      </w:r>
      <w:r>
        <w:rPr>
          <w:rFonts w:hint="eastAsia" w:ascii="Times New Roman" w:hAnsi="仿宋" w:eastAsia="仿宋"/>
          <w:b/>
          <w:color w:val="auto"/>
          <w:sz w:val="28"/>
          <w:szCs w:val="28"/>
        </w:rPr>
        <w:t>生牛乳高氯酸盐控制技术规范</w:t>
      </w:r>
      <w:r>
        <w:rPr>
          <w:rFonts w:ascii="Times New Roman" w:hAnsi="仿宋" w:eastAsia="仿宋"/>
          <w:b/>
          <w:color w:val="auto"/>
          <w:sz w:val="28"/>
          <w:szCs w:val="28"/>
        </w:rPr>
        <w:t>》起草组</w:t>
      </w:r>
      <w:r>
        <w:rPr>
          <w:rFonts w:ascii="Times New Roman" w:hAnsi="Times New Roman" w:eastAsia="仿宋"/>
          <w:b/>
          <w:color w:val="auto"/>
          <w:sz w:val="28"/>
          <w:szCs w:val="28"/>
        </w:rPr>
        <w:t xml:space="preserve">  </w:t>
      </w:r>
    </w:p>
    <w:p w14:paraId="0F82BD5A">
      <w:pPr>
        <w:rPr>
          <w:rFonts w:ascii="仿宋" w:hAnsi="仿宋" w:eastAsia="仿宋"/>
          <w:color w:val="auto"/>
          <w:sz w:val="28"/>
          <w:szCs w:val="28"/>
        </w:rPr>
      </w:pPr>
      <w:r>
        <w:rPr>
          <w:rFonts w:ascii="Times New Roman" w:hAnsi="Times New Roman" w:eastAsia="仿宋"/>
          <w:b/>
          <w:color w:val="auto"/>
          <w:sz w:val="28"/>
          <w:szCs w:val="28"/>
        </w:rPr>
        <w:t xml:space="preserve">                                    </w:t>
      </w:r>
      <w:r>
        <w:rPr>
          <w:rFonts w:hint="eastAsia" w:ascii="Times New Roman" w:hAnsi="Times New Roman" w:eastAsia="仿宋"/>
          <w:b/>
          <w:color w:val="auto"/>
          <w:sz w:val="28"/>
          <w:szCs w:val="28"/>
          <w:lang w:val="en-US" w:eastAsia="zh-CN"/>
        </w:rPr>
        <w:t>2025</w:t>
      </w:r>
      <w:r>
        <w:rPr>
          <w:rFonts w:ascii="Times New Roman" w:hAnsi="仿宋" w:eastAsia="仿宋"/>
          <w:b/>
          <w:color w:val="auto"/>
          <w:sz w:val="28"/>
          <w:szCs w:val="28"/>
        </w:rPr>
        <w:t>年</w:t>
      </w:r>
      <w:r>
        <w:rPr>
          <w:rFonts w:hint="eastAsia" w:ascii="Times New Roman" w:hAnsi="仿宋" w:eastAsia="仿宋"/>
          <w:b/>
          <w:color w:val="auto"/>
          <w:sz w:val="28"/>
          <w:szCs w:val="28"/>
          <w:lang w:val="en-US" w:eastAsia="zh-CN"/>
        </w:rPr>
        <w:t>10</w:t>
      </w:r>
      <w:r>
        <w:rPr>
          <w:rFonts w:ascii="Times New Roman" w:hAnsi="仿宋" w:eastAsia="仿宋"/>
          <w:b/>
          <w:color w:val="auto"/>
          <w:sz w:val="28"/>
          <w:szCs w:val="28"/>
        </w:rPr>
        <w:t>月</w:t>
      </w:r>
      <w:r>
        <w:rPr>
          <w:rFonts w:hint="eastAsia" w:ascii="Times New Roman" w:hAnsi="仿宋" w:eastAsia="仿宋"/>
          <w:b/>
          <w:color w:val="auto"/>
          <w:sz w:val="28"/>
          <w:szCs w:val="28"/>
          <w:lang w:val="en-US" w:eastAsia="zh-CN"/>
        </w:rPr>
        <w:t>21</w:t>
      </w:r>
      <w:r>
        <w:rPr>
          <w:rFonts w:ascii="Times New Roman" w:hAnsi="仿宋" w:eastAsia="仿宋"/>
          <w:b/>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42F4685"/>
    <w:rsid w:val="05762682"/>
    <w:rsid w:val="072614E3"/>
    <w:rsid w:val="0AF71C6E"/>
    <w:rsid w:val="0B201449"/>
    <w:rsid w:val="0B9A5EB7"/>
    <w:rsid w:val="0D78786F"/>
    <w:rsid w:val="104F2F5D"/>
    <w:rsid w:val="14A05A74"/>
    <w:rsid w:val="17A31544"/>
    <w:rsid w:val="17ED6C89"/>
    <w:rsid w:val="1A537BBC"/>
    <w:rsid w:val="20054643"/>
    <w:rsid w:val="24640176"/>
    <w:rsid w:val="259B1DBC"/>
    <w:rsid w:val="27D233BF"/>
    <w:rsid w:val="27DC1DAB"/>
    <w:rsid w:val="2B63544E"/>
    <w:rsid w:val="2CB573F1"/>
    <w:rsid w:val="2F503BF2"/>
    <w:rsid w:val="31267C4E"/>
    <w:rsid w:val="34294C8F"/>
    <w:rsid w:val="358878E1"/>
    <w:rsid w:val="359A307E"/>
    <w:rsid w:val="39347647"/>
    <w:rsid w:val="40357225"/>
    <w:rsid w:val="41F7780E"/>
    <w:rsid w:val="45D5519E"/>
    <w:rsid w:val="4801695C"/>
    <w:rsid w:val="48EC789E"/>
    <w:rsid w:val="556A7C78"/>
    <w:rsid w:val="58F63101"/>
    <w:rsid w:val="5AC40753"/>
    <w:rsid w:val="5E400CA3"/>
    <w:rsid w:val="61CC4D1F"/>
    <w:rsid w:val="63434748"/>
    <w:rsid w:val="647B5CF7"/>
    <w:rsid w:val="64A530D4"/>
    <w:rsid w:val="68712C92"/>
    <w:rsid w:val="6D493805"/>
    <w:rsid w:val="6E633AE7"/>
    <w:rsid w:val="6E8675B7"/>
    <w:rsid w:val="6E957233"/>
    <w:rsid w:val="6E9A29F2"/>
    <w:rsid w:val="743069AD"/>
    <w:rsid w:val="74910C13"/>
    <w:rsid w:val="75AC2449"/>
    <w:rsid w:val="78F94138"/>
    <w:rsid w:val="79CC27AA"/>
    <w:rsid w:val="7A9043C4"/>
    <w:rsid w:val="7B88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13" w:lineRule="auto"/>
      <w:outlineLvl w:val="1"/>
    </w:pPr>
    <w:rPr>
      <w:rFonts w:hint="eastAsia"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4">
    <w:name w:val="annotation text"/>
    <w:basedOn w:val="1"/>
    <w:semiHidden/>
    <w:unhideWhenUsed/>
    <w:qFormat/>
    <w:uiPriority w:val="99"/>
    <w:pPr>
      <w:jc w:val="left"/>
    </w:p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spacing w:after="80"/>
      <w:jc w:val="both"/>
    </w:pPr>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2"/>
    <w:qFormat/>
    <w:uiPriority w:val="99"/>
    <w:rPr>
      <w:sz w:val="18"/>
      <w:szCs w:val="18"/>
    </w:rPr>
  </w:style>
  <w:style w:type="paragraph" w:customStyle="1" w:styleId="12">
    <w:name w:val="段"/>
    <w:link w:val="13"/>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13">
    <w:name w:val="段 Char"/>
    <w:link w:val="12"/>
    <w:qFormat/>
    <w:uiPriority w:val="0"/>
    <w:rPr>
      <w:rFonts w:ascii="宋体" w:hAnsi="Calibri" w:eastAsia="宋体" w:cs="Times New Roman"/>
      <w:kern w:val="0"/>
      <w:szCs w:val="20"/>
    </w:rPr>
  </w:style>
  <w:style w:type="paragraph" w:customStyle="1" w:styleId="14">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5618</Words>
  <Characters>6391</Characters>
  <Lines>8</Lines>
  <Paragraphs>2</Paragraphs>
  <TotalTime>4</TotalTime>
  <ScaleCrop>false</ScaleCrop>
  <LinksUpToDate>false</LinksUpToDate>
  <CharactersWithSpaces>6484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谢跃博</cp:lastModifiedBy>
  <cp:lastPrinted>2020-05-07T00:59:00Z</cp:lastPrinted>
  <dcterms:modified xsi:type="dcterms:W3CDTF">2025-10-23T08:15:40Z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422AB658A126417A92CECFCD49D8272A_13</vt:lpwstr>
  </property>
  <property fmtid="{D5CDD505-2E9C-101B-9397-08002B2CF9AE}" pid="4" name="KSOTemplateDocerSaveRecord">
    <vt:lpwstr>eyJoZGlkIjoiODRjMTkwYzJlMTM2ODBmNWQ2OTg5YzRmMGQ1MTExYWUiLCJ1c2VySWQiOiI2Mzc1NjU2NzAifQ==</vt:lpwstr>
  </property>
</Properties>
</file>