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A133A5">
      <w:pPr>
        <w:adjustRightInd w:val="0"/>
        <w:snapToGrid w:val="0"/>
        <w:spacing w:line="360" w:lineRule="auto"/>
        <w:jc w:val="center"/>
        <w:rPr>
          <w:rFonts w:ascii="Times New Roman" w:hAnsi="Times New Roman" w:eastAsia="黑体" w:cs="Times New Roman"/>
          <w:b/>
          <w:sz w:val="48"/>
          <w:szCs w:val="48"/>
        </w:rPr>
      </w:pPr>
    </w:p>
    <w:p w14:paraId="1947105E">
      <w:pPr>
        <w:adjustRightInd w:val="0"/>
        <w:snapToGrid w:val="0"/>
        <w:spacing w:line="360" w:lineRule="auto"/>
        <w:jc w:val="center"/>
        <w:rPr>
          <w:rFonts w:ascii="Times New Roman" w:hAnsi="Times New Roman" w:eastAsia="黑体" w:cs="Times New Roman"/>
          <w:b/>
          <w:sz w:val="48"/>
          <w:szCs w:val="48"/>
        </w:rPr>
      </w:pPr>
      <w:r>
        <w:rPr>
          <w:rFonts w:ascii="Times New Roman" w:hAnsi="Times New Roman" w:eastAsia="黑体" w:cs="Times New Roman"/>
          <w:b/>
          <w:sz w:val="48"/>
          <w:szCs w:val="48"/>
        </w:rPr>
        <w:t>团 体 标 准</w:t>
      </w:r>
    </w:p>
    <w:p w14:paraId="564BAE4E">
      <w:pPr>
        <w:adjustRightInd w:val="0"/>
        <w:snapToGrid w:val="0"/>
        <w:spacing w:line="360" w:lineRule="auto"/>
        <w:jc w:val="center"/>
        <w:rPr>
          <w:rFonts w:ascii="Times New Roman" w:hAnsi="Times New Roman" w:eastAsia="黑体" w:cs="Times New Roman"/>
          <w:b/>
          <w:sz w:val="48"/>
          <w:szCs w:val="48"/>
        </w:rPr>
      </w:pPr>
    </w:p>
    <w:p w14:paraId="306ABD1B">
      <w:pPr>
        <w:adjustRightInd w:val="0"/>
        <w:snapToGrid w:val="0"/>
        <w:spacing w:line="360" w:lineRule="auto"/>
        <w:jc w:val="center"/>
        <w:rPr>
          <w:rFonts w:ascii="Times New Roman" w:hAnsi="Times New Roman" w:eastAsia="黑体" w:cs="Times New Roman"/>
          <w:b/>
          <w:sz w:val="52"/>
          <w:szCs w:val="52"/>
        </w:rPr>
      </w:pPr>
      <w:r>
        <w:rPr>
          <w:rFonts w:ascii="Times New Roman" w:hAnsi="Times New Roman" w:eastAsia="黑体" w:cs="Times New Roman"/>
          <w:b/>
          <w:sz w:val="52"/>
          <w:szCs w:val="52"/>
        </w:rPr>
        <w:t>市政道路管理 沥青路面绿色养护作业技术要求</w:t>
      </w:r>
    </w:p>
    <w:p w14:paraId="42D2B3B0">
      <w:pPr>
        <w:spacing w:line="480" w:lineRule="auto"/>
        <w:jc w:val="center"/>
        <w:rPr>
          <w:rFonts w:ascii="Times New Roman" w:hAnsi="Times New Roman" w:eastAsia="黑体" w:cs="Times New Roman"/>
          <w:b/>
          <w:sz w:val="52"/>
          <w:szCs w:val="52"/>
        </w:rPr>
      </w:pPr>
      <w:r>
        <w:rPr>
          <w:rFonts w:ascii="Times New Roman" w:hAnsi="Times New Roman" w:eastAsia="黑体" w:cs="Times New Roman"/>
          <w:b/>
          <w:sz w:val="52"/>
          <w:szCs w:val="52"/>
        </w:rPr>
        <w:t>编 制 说 明</w:t>
      </w:r>
    </w:p>
    <w:p w14:paraId="28444C2B">
      <w:pPr>
        <w:adjustRightInd w:val="0"/>
        <w:snapToGrid w:val="0"/>
        <w:spacing w:line="360" w:lineRule="auto"/>
        <w:rPr>
          <w:rFonts w:ascii="Times New Roman" w:hAnsi="Times New Roman" w:eastAsia="仿宋" w:cs="Times New Roman"/>
          <w:b/>
          <w:sz w:val="24"/>
          <w:szCs w:val="24"/>
        </w:rPr>
      </w:pPr>
    </w:p>
    <w:p w14:paraId="5F2AD04E">
      <w:pPr>
        <w:adjustRightInd w:val="0"/>
        <w:snapToGrid w:val="0"/>
        <w:spacing w:line="360" w:lineRule="auto"/>
        <w:rPr>
          <w:rFonts w:ascii="Times New Roman" w:hAnsi="Times New Roman" w:eastAsia="仿宋" w:cs="Times New Roman"/>
          <w:b/>
          <w:sz w:val="24"/>
          <w:szCs w:val="24"/>
        </w:rPr>
      </w:pPr>
    </w:p>
    <w:p w14:paraId="08863381">
      <w:pPr>
        <w:adjustRightInd w:val="0"/>
        <w:snapToGrid w:val="0"/>
        <w:spacing w:line="360" w:lineRule="auto"/>
        <w:rPr>
          <w:rFonts w:ascii="Times New Roman" w:hAnsi="Times New Roman" w:eastAsia="仿宋" w:cs="Times New Roman"/>
          <w:b/>
          <w:sz w:val="24"/>
          <w:szCs w:val="24"/>
        </w:rPr>
      </w:pPr>
    </w:p>
    <w:p w14:paraId="1F72964F">
      <w:pPr>
        <w:adjustRightInd w:val="0"/>
        <w:snapToGrid w:val="0"/>
        <w:spacing w:line="360" w:lineRule="auto"/>
        <w:rPr>
          <w:rFonts w:ascii="Times New Roman" w:hAnsi="Times New Roman" w:eastAsia="仿宋" w:cs="Times New Roman"/>
          <w:b/>
          <w:sz w:val="24"/>
          <w:szCs w:val="24"/>
        </w:rPr>
      </w:pPr>
    </w:p>
    <w:p w14:paraId="09FD2241">
      <w:pPr>
        <w:adjustRightInd w:val="0"/>
        <w:snapToGrid w:val="0"/>
        <w:spacing w:line="360" w:lineRule="auto"/>
        <w:rPr>
          <w:rFonts w:ascii="Times New Roman" w:hAnsi="Times New Roman" w:eastAsia="仿宋" w:cs="Times New Roman"/>
          <w:b/>
          <w:sz w:val="24"/>
          <w:szCs w:val="24"/>
        </w:rPr>
      </w:pPr>
    </w:p>
    <w:p w14:paraId="4F17CB03">
      <w:pPr>
        <w:adjustRightInd w:val="0"/>
        <w:snapToGrid w:val="0"/>
        <w:spacing w:line="360" w:lineRule="auto"/>
        <w:rPr>
          <w:rFonts w:ascii="Times New Roman" w:hAnsi="Times New Roman" w:eastAsia="仿宋" w:cs="Times New Roman"/>
          <w:b/>
          <w:sz w:val="24"/>
          <w:szCs w:val="24"/>
        </w:rPr>
      </w:pPr>
    </w:p>
    <w:p w14:paraId="5ED42328">
      <w:pPr>
        <w:adjustRightInd w:val="0"/>
        <w:snapToGrid w:val="0"/>
        <w:spacing w:line="360" w:lineRule="auto"/>
        <w:rPr>
          <w:rFonts w:ascii="Times New Roman" w:hAnsi="Times New Roman" w:eastAsia="仿宋" w:cs="Times New Roman"/>
          <w:b/>
          <w:sz w:val="24"/>
          <w:szCs w:val="24"/>
        </w:rPr>
      </w:pPr>
    </w:p>
    <w:p w14:paraId="0B55930C">
      <w:pPr>
        <w:adjustRightInd w:val="0"/>
        <w:snapToGrid w:val="0"/>
        <w:spacing w:line="360" w:lineRule="auto"/>
        <w:rPr>
          <w:rFonts w:ascii="Times New Roman" w:hAnsi="Times New Roman" w:eastAsia="仿宋" w:cs="Times New Roman"/>
          <w:b/>
          <w:sz w:val="24"/>
          <w:szCs w:val="24"/>
        </w:rPr>
      </w:pPr>
    </w:p>
    <w:p w14:paraId="6CF6DAD8">
      <w:pPr>
        <w:adjustRightInd w:val="0"/>
        <w:snapToGrid w:val="0"/>
        <w:spacing w:line="360" w:lineRule="auto"/>
        <w:rPr>
          <w:rFonts w:ascii="Times New Roman" w:hAnsi="Times New Roman" w:eastAsia="仿宋" w:cs="Times New Roman"/>
          <w:b/>
          <w:sz w:val="24"/>
          <w:szCs w:val="24"/>
        </w:rPr>
      </w:pPr>
    </w:p>
    <w:p w14:paraId="5536861B">
      <w:pPr>
        <w:adjustRightInd w:val="0"/>
        <w:snapToGrid w:val="0"/>
        <w:spacing w:line="360" w:lineRule="auto"/>
        <w:rPr>
          <w:rFonts w:ascii="Times New Roman" w:hAnsi="Times New Roman" w:eastAsia="仿宋" w:cs="Times New Roman"/>
          <w:b/>
          <w:sz w:val="24"/>
          <w:szCs w:val="24"/>
        </w:rPr>
      </w:pPr>
    </w:p>
    <w:p w14:paraId="27C39A8B">
      <w:pPr>
        <w:adjustRightInd w:val="0"/>
        <w:snapToGrid w:val="0"/>
        <w:spacing w:line="360" w:lineRule="auto"/>
        <w:rPr>
          <w:rFonts w:ascii="Times New Roman" w:hAnsi="Times New Roman" w:eastAsia="仿宋" w:cs="Times New Roman"/>
          <w:b/>
          <w:sz w:val="24"/>
          <w:szCs w:val="24"/>
        </w:rPr>
      </w:pPr>
    </w:p>
    <w:p w14:paraId="160C8D15">
      <w:pPr>
        <w:adjustRightInd w:val="0"/>
        <w:snapToGrid w:val="0"/>
        <w:spacing w:line="360" w:lineRule="auto"/>
        <w:rPr>
          <w:rFonts w:ascii="Times New Roman" w:hAnsi="Times New Roman" w:eastAsia="仿宋" w:cs="Times New Roman"/>
          <w:b/>
          <w:sz w:val="24"/>
          <w:szCs w:val="24"/>
        </w:rPr>
      </w:pPr>
    </w:p>
    <w:p w14:paraId="7A8D1626">
      <w:pPr>
        <w:spacing w:line="480" w:lineRule="auto"/>
        <w:jc w:val="center"/>
        <w:rPr>
          <w:rFonts w:ascii="Times New Roman" w:hAnsi="Times New Roman" w:eastAsia="楷体_GB2312" w:cs="Times New Roman"/>
          <w:b/>
          <w:sz w:val="36"/>
          <w:szCs w:val="36"/>
        </w:rPr>
      </w:pPr>
      <w:r>
        <w:rPr>
          <w:rFonts w:ascii="Times New Roman" w:hAnsi="Times New Roman" w:eastAsia="楷体_GB2312" w:cs="Times New Roman"/>
          <w:b/>
          <w:sz w:val="36"/>
          <w:szCs w:val="36"/>
        </w:rPr>
        <w:t>《市政道路管理 沥青路面绿色养护作业技术要求》小组</w:t>
      </w:r>
    </w:p>
    <w:p w14:paraId="1197A080">
      <w:pPr>
        <w:spacing w:line="360" w:lineRule="auto"/>
        <w:jc w:val="center"/>
        <w:rPr>
          <w:rFonts w:ascii="Times New Roman" w:hAnsi="Times New Roman" w:eastAsia="楷体_GB2312" w:cs="Times New Roman"/>
          <w:b/>
          <w:sz w:val="36"/>
          <w:szCs w:val="36"/>
        </w:rPr>
      </w:pPr>
      <w:r>
        <w:rPr>
          <w:rFonts w:ascii="Times New Roman" w:hAnsi="Times New Roman" w:eastAsia="楷体_GB2312" w:cs="Times New Roman"/>
          <w:b/>
          <w:sz w:val="36"/>
          <w:szCs w:val="36"/>
        </w:rPr>
        <w:t>二</w:t>
      </w:r>
      <w:r>
        <w:rPr>
          <w:rFonts w:hint="eastAsia" w:ascii="Times New Roman" w:hAnsi="Times New Roman" w:eastAsia="楷体_GB2312" w:cs="Times New Roman"/>
          <w:b/>
          <w:sz w:val="36"/>
          <w:szCs w:val="36"/>
        </w:rPr>
        <w:t>〇</w:t>
      </w:r>
      <w:r>
        <w:rPr>
          <w:rFonts w:ascii="Times New Roman" w:hAnsi="Times New Roman" w:eastAsia="楷体_GB2312" w:cs="Times New Roman"/>
          <w:b/>
          <w:sz w:val="36"/>
          <w:szCs w:val="36"/>
        </w:rPr>
        <w:t>二</w:t>
      </w:r>
      <w:r>
        <w:rPr>
          <w:rFonts w:hint="eastAsia" w:ascii="Times New Roman" w:hAnsi="Times New Roman" w:eastAsia="楷体_GB2312" w:cs="Times New Roman"/>
          <w:b/>
          <w:sz w:val="36"/>
          <w:szCs w:val="36"/>
        </w:rPr>
        <w:t>五</w:t>
      </w:r>
      <w:r>
        <w:rPr>
          <w:rFonts w:ascii="Times New Roman" w:hAnsi="Times New Roman" w:eastAsia="楷体_GB2312" w:cs="Times New Roman"/>
          <w:b/>
          <w:sz w:val="36"/>
          <w:szCs w:val="36"/>
        </w:rPr>
        <w:t>年</w:t>
      </w:r>
      <w:r>
        <w:rPr>
          <w:rFonts w:hint="eastAsia" w:ascii="Times New Roman" w:hAnsi="Times New Roman" w:eastAsia="楷体_GB2312" w:cs="Times New Roman"/>
          <w:b/>
          <w:sz w:val="36"/>
          <w:szCs w:val="36"/>
        </w:rPr>
        <w:t>十</w:t>
      </w:r>
      <w:r>
        <w:rPr>
          <w:rFonts w:ascii="Times New Roman" w:hAnsi="Times New Roman" w:eastAsia="楷体_GB2312" w:cs="Times New Roman"/>
          <w:b/>
          <w:sz w:val="36"/>
          <w:szCs w:val="36"/>
        </w:rPr>
        <w:t>月</w:t>
      </w:r>
    </w:p>
    <w:p w14:paraId="00F5092C">
      <w:pPr>
        <w:spacing w:line="360" w:lineRule="auto"/>
        <w:jc w:val="center"/>
        <w:rPr>
          <w:rFonts w:ascii="Times New Roman" w:hAnsi="Times New Roman" w:eastAsia="楷体_GB2312" w:cs="Times New Roman"/>
          <w:b/>
          <w:sz w:val="36"/>
          <w:szCs w:val="36"/>
        </w:rPr>
      </w:pPr>
    </w:p>
    <w:p w14:paraId="536D9913">
      <w:pPr>
        <w:spacing w:line="360" w:lineRule="auto"/>
        <w:jc w:val="center"/>
        <w:rPr>
          <w:rFonts w:ascii="Times New Roman" w:hAnsi="Times New Roman" w:eastAsia="黑体" w:cs="Times New Roman"/>
          <w:sz w:val="36"/>
          <w:szCs w:val="36"/>
        </w:rPr>
        <w:sectPr>
          <w:pgSz w:w="11906" w:h="16838"/>
          <w:pgMar w:top="1418" w:right="1418" w:bottom="1985" w:left="1797" w:header="851" w:footer="992" w:gutter="0"/>
          <w:cols w:space="425" w:num="1"/>
          <w:docGrid w:linePitch="312" w:charSpace="0"/>
        </w:sectPr>
      </w:pPr>
    </w:p>
    <w:sdt>
      <w:sdtPr>
        <w:rPr>
          <w:rFonts w:ascii="Times New Roman" w:hAnsi="Times New Roman" w:eastAsia="黑体" w:cs="Times New Roman"/>
          <w:sz w:val="44"/>
          <w:szCs w:val="48"/>
        </w:rPr>
        <w:id w:val="147469836"/>
        <w15:color w:val="DBDBDB"/>
        <w:docPartObj>
          <w:docPartGallery w:val="Table of Contents"/>
          <w:docPartUnique/>
        </w:docPartObj>
      </w:sdtPr>
      <w:sdtEndPr>
        <w:rPr>
          <w:rFonts w:ascii="Times New Roman" w:hAnsi="Times New Roman" w:eastAsia="黑体" w:cs="Times New Roman"/>
          <w:sz w:val="21"/>
          <w:szCs w:val="36"/>
        </w:rPr>
      </w:sdtEndPr>
      <w:sdtContent>
        <w:p w14:paraId="2E9661AB">
          <w:pPr>
            <w:spacing w:before="480" w:beforeLines="200" w:after="480" w:afterLines="200"/>
            <w:jc w:val="center"/>
            <w:rPr>
              <w:rFonts w:ascii="Times New Roman" w:hAnsi="Times New Roman" w:eastAsia="黑体" w:cs="Times New Roman"/>
              <w:sz w:val="44"/>
              <w:szCs w:val="48"/>
            </w:rPr>
          </w:pPr>
          <w:r>
            <w:rPr>
              <w:rFonts w:ascii="Times New Roman" w:hAnsi="Times New Roman" w:eastAsia="黑体" w:cs="Times New Roman"/>
              <w:sz w:val="44"/>
              <w:szCs w:val="48"/>
            </w:rPr>
            <w:t>目  录</w:t>
          </w:r>
        </w:p>
        <w:p w14:paraId="5A2DB469">
          <w:pPr>
            <w:pStyle w:val="10"/>
            <w:tabs>
              <w:tab w:val="right" w:leader="dot" w:pos="8691"/>
            </w:tabs>
            <w:spacing w:line="480" w:lineRule="auto"/>
            <w:rPr>
              <w:rFonts w:ascii="Times New Roman" w:hAnsi="Times New Roman" w:eastAsia="黑体" w:cs="Times New Roman"/>
              <w:sz w:val="28"/>
              <w:szCs w:val="32"/>
            </w:rPr>
          </w:pPr>
          <w:r>
            <w:rPr>
              <w:rFonts w:ascii="Times New Roman" w:hAnsi="Times New Roman" w:eastAsia="黑体" w:cs="Times New Roman"/>
              <w:sz w:val="32"/>
              <w:szCs w:val="32"/>
            </w:rPr>
            <w:fldChar w:fldCharType="begin"/>
          </w:r>
          <w:r>
            <w:rPr>
              <w:rFonts w:ascii="Times New Roman" w:hAnsi="Times New Roman" w:eastAsia="黑体" w:cs="Times New Roman"/>
              <w:sz w:val="32"/>
              <w:szCs w:val="32"/>
            </w:rPr>
            <w:instrText xml:space="preserve">TOC \o "1-1" \h \u </w:instrText>
          </w:r>
          <w:r>
            <w:rPr>
              <w:rFonts w:ascii="Times New Roman" w:hAnsi="Times New Roman" w:eastAsia="黑体" w:cs="Times New Roman"/>
              <w:sz w:val="32"/>
              <w:szCs w:val="32"/>
            </w:rPr>
            <w:fldChar w:fldCharType="separate"/>
          </w:r>
          <w:r>
            <w:fldChar w:fldCharType="begin"/>
          </w:r>
          <w:r>
            <w:instrText xml:space="preserve"> HYPERLINK \l "_Toc19956" </w:instrText>
          </w:r>
          <w:r>
            <w:fldChar w:fldCharType="separate"/>
          </w:r>
          <w:r>
            <w:rPr>
              <w:rFonts w:ascii="Times New Roman" w:hAnsi="Times New Roman" w:eastAsia="黑体" w:cs="Times New Roman"/>
              <w:sz w:val="28"/>
              <w:szCs w:val="40"/>
            </w:rPr>
            <w:t>一、工作简况</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_Toc19956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266F1170">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"_Toc16067" </w:instrText>
          </w:r>
          <w:r>
            <w:fldChar w:fldCharType="separate"/>
          </w:r>
          <w:r>
            <w:rPr>
              <w:rFonts w:ascii="Times New Roman" w:hAnsi="Times New Roman" w:eastAsia="黑体" w:cs="Times New Roman"/>
              <w:sz w:val="28"/>
              <w:szCs w:val="40"/>
            </w:rPr>
            <w:t>二、标准编制原则和主要内容</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_Toc16067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3</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0DFCC1BE">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"_Toc12675" </w:instrText>
          </w:r>
          <w:r>
            <w:fldChar w:fldCharType="separate"/>
          </w:r>
          <w:r>
            <w:rPr>
              <w:rFonts w:ascii="Times New Roman" w:hAnsi="Times New Roman" w:eastAsia="黑体" w:cs="Times New Roman"/>
              <w:kern w:val="0"/>
              <w:sz w:val="28"/>
              <w:szCs w:val="40"/>
            </w:rPr>
            <w:t>三、主要试验和情况分析</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_Toc12675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18</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34A15783">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"_Toc20840" </w:instrText>
          </w:r>
          <w:r>
            <w:fldChar w:fldCharType="separate"/>
          </w:r>
          <w:r>
            <w:rPr>
              <w:rFonts w:ascii="Times New Roman" w:hAnsi="Times New Roman" w:eastAsia="黑体" w:cs="Times New Roman"/>
              <w:kern w:val="0"/>
              <w:sz w:val="28"/>
              <w:szCs w:val="40"/>
            </w:rPr>
            <w:t>四、标准中涉及专利的情况</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_Toc20840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18</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2CA70CFD">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"_Toc29243" </w:instrText>
          </w:r>
          <w:r>
            <w:fldChar w:fldCharType="separate"/>
          </w:r>
          <w:r>
            <w:rPr>
              <w:rFonts w:ascii="Times New Roman" w:hAnsi="Times New Roman" w:eastAsia="黑体" w:cs="Times New Roman"/>
              <w:kern w:val="0"/>
              <w:sz w:val="28"/>
              <w:szCs w:val="40"/>
            </w:rPr>
            <w:t>五、预期达到的效益（经济、效益、生态等），对产业发展的作用的情况</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_Toc29243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18</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1FAA1BEE">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"_Toc4979" </w:instrText>
          </w:r>
          <w:r>
            <w:fldChar w:fldCharType="separate"/>
          </w:r>
          <w:r>
            <w:rPr>
              <w:rFonts w:ascii="Times New Roman" w:hAnsi="Times New Roman" w:eastAsia="黑体" w:cs="Times New Roman"/>
              <w:kern w:val="0"/>
              <w:sz w:val="28"/>
              <w:szCs w:val="40"/>
            </w:rPr>
            <w:t>六、与有关的现行法律、法规和强制性国家标准的关系</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_Toc4979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18</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5BFE4104">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"_Toc21799" </w:instrText>
          </w:r>
          <w:r>
            <w:fldChar w:fldCharType="separate"/>
          </w:r>
          <w:r>
            <w:rPr>
              <w:rFonts w:ascii="Times New Roman" w:hAnsi="Times New Roman" w:eastAsia="黑体" w:cs="Times New Roman"/>
              <w:kern w:val="0"/>
              <w:sz w:val="28"/>
              <w:szCs w:val="40"/>
            </w:rPr>
            <w:t>七、重大意见分歧的处理依据和结果</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_Toc21799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18</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44112233">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"_Toc20135" </w:instrText>
          </w:r>
          <w:r>
            <w:fldChar w:fldCharType="separate"/>
          </w:r>
          <w:r>
            <w:rPr>
              <w:rFonts w:ascii="Times New Roman" w:hAnsi="Times New Roman" w:eastAsia="黑体" w:cs="Times New Roman"/>
              <w:kern w:val="0"/>
              <w:sz w:val="28"/>
              <w:szCs w:val="40"/>
            </w:rPr>
            <w:t>八、标准性质的建议说明</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_Toc20135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18</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6059E002">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"_Toc23106" </w:instrText>
          </w:r>
          <w:r>
            <w:fldChar w:fldCharType="separate"/>
          </w:r>
          <w:r>
            <w:rPr>
              <w:rFonts w:ascii="Times New Roman" w:hAnsi="Times New Roman" w:eastAsia="黑体" w:cs="Times New Roman"/>
              <w:kern w:val="0"/>
              <w:sz w:val="28"/>
              <w:szCs w:val="40"/>
            </w:rPr>
            <w:t>九、贯彻标准的要求和措施建议</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_Toc23106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19</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72F392A0">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"_Toc29517" </w:instrText>
          </w:r>
          <w:r>
            <w:fldChar w:fldCharType="separate"/>
          </w:r>
          <w:r>
            <w:rPr>
              <w:rFonts w:ascii="Times New Roman" w:hAnsi="Times New Roman" w:eastAsia="黑体" w:cs="Times New Roman"/>
              <w:kern w:val="0"/>
              <w:sz w:val="28"/>
              <w:szCs w:val="40"/>
            </w:rPr>
            <w:t>十、废止现行相关标准的建议</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_Toc29517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19</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054D0588">
          <w:pPr>
            <w:pStyle w:val="10"/>
            <w:tabs>
              <w:tab w:val="right" w:leader="dot" w:pos="8691"/>
            </w:tabs>
            <w:spacing w:line="480" w:lineRule="auto"/>
            <w:rPr>
              <w:rFonts w:ascii="Times New Roman" w:hAnsi="Times New Roman" w:eastAsia="黑体" w:cs="Times New Roman"/>
              <w:sz w:val="36"/>
              <w:szCs w:val="36"/>
            </w:rPr>
            <w:sectPr>
              <w:footerReference r:id="rId3" w:type="default"/>
              <w:pgSz w:w="11906" w:h="16838"/>
              <w:pgMar w:top="1418" w:right="1418" w:bottom="1985" w:left="1797" w:header="851" w:footer="992" w:gutter="0"/>
              <w:pgNumType w:start="1"/>
              <w:cols w:space="425" w:num="1"/>
              <w:docGrid w:linePitch="312" w:charSpace="0"/>
            </w:sectPr>
          </w:pPr>
          <w:r>
            <w:fldChar w:fldCharType="begin"/>
          </w:r>
          <w:r>
            <w:instrText xml:space="preserve"> HYPERLINK \l "_Toc18435" </w:instrText>
          </w:r>
          <w:r>
            <w:fldChar w:fldCharType="separate"/>
          </w:r>
          <w:r>
            <w:rPr>
              <w:rFonts w:ascii="Times New Roman" w:hAnsi="Times New Roman" w:eastAsia="黑体" w:cs="Times New Roman"/>
              <w:kern w:val="0"/>
              <w:sz w:val="28"/>
              <w:szCs w:val="40"/>
            </w:rPr>
            <w:t>十一、其他应予说明的事项</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_Toc18435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19</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r>
            <w:rPr>
              <w:rFonts w:ascii="Times New Roman" w:hAnsi="Times New Roman" w:eastAsia="黑体" w:cs="Times New Roman"/>
              <w:szCs w:val="32"/>
            </w:rPr>
            <w:fldChar w:fldCharType="end"/>
          </w:r>
        </w:p>
      </w:sdtContent>
    </w:sdt>
    <w:p w14:paraId="4313987A">
      <w:pPr>
        <w:spacing w:line="360" w:lineRule="auto"/>
        <w:jc w:val="center"/>
        <w:outlineLvl w:val="1"/>
        <w:rPr>
          <w:rFonts w:ascii="Times New Roman" w:hAnsi="Times New Roman" w:eastAsia="黑体" w:cs="Times New Roman"/>
          <w:b/>
          <w:sz w:val="36"/>
          <w:szCs w:val="36"/>
        </w:rPr>
      </w:pPr>
      <w:r>
        <w:rPr>
          <w:rFonts w:ascii="Times New Roman" w:hAnsi="Times New Roman" w:eastAsia="黑体" w:cs="Times New Roman"/>
          <w:b/>
          <w:sz w:val="36"/>
          <w:szCs w:val="36"/>
        </w:rPr>
        <w:t>《市政道路管理 沥青路面绿色养护作业技术要求》</w:t>
      </w:r>
    </w:p>
    <w:p w14:paraId="76D9DA31">
      <w:pPr>
        <w:spacing w:line="360" w:lineRule="auto"/>
        <w:jc w:val="center"/>
        <w:outlineLvl w:val="1"/>
        <w:rPr>
          <w:rFonts w:ascii="Times New Roman" w:hAnsi="Times New Roman" w:eastAsia="黑体" w:cs="Times New Roman"/>
          <w:b/>
          <w:sz w:val="36"/>
          <w:szCs w:val="36"/>
        </w:rPr>
      </w:pPr>
      <w:r>
        <w:rPr>
          <w:rFonts w:ascii="Times New Roman" w:hAnsi="Times New Roman" w:eastAsia="黑体" w:cs="Times New Roman"/>
          <w:b/>
          <w:sz w:val="36"/>
          <w:szCs w:val="36"/>
        </w:rPr>
        <w:t>团体标准</w:t>
      </w:r>
    </w:p>
    <w:p w14:paraId="1E9474F3">
      <w:pPr>
        <w:spacing w:line="360" w:lineRule="auto"/>
        <w:jc w:val="center"/>
        <w:outlineLvl w:val="1"/>
        <w:rPr>
          <w:rFonts w:ascii="Times New Roman" w:hAnsi="Times New Roman" w:eastAsia="黑体" w:cs="Times New Roman"/>
          <w:b/>
          <w:sz w:val="36"/>
          <w:szCs w:val="36"/>
        </w:rPr>
      </w:pPr>
      <w:r>
        <w:rPr>
          <w:rFonts w:ascii="Times New Roman" w:hAnsi="Times New Roman" w:eastAsia="黑体" w:cs="Times New Roman"/>
          <w:b/>
          <w:sz w:val="36"/>
          <w:szCs w:val="36"/>
        </w:rPr>
        <w:t>编制说明</w:t>
      </w:r>
    </w:p>
    <w:p w14:paraId="40575E87">
      <w:pPr>
        <w:spacing w:line="360" w:lineRule="auto"/>
        <w:outlineLvl w:val="0"/>
        <w:rPr>
          <w:rFonts w:ascii="Times New Roman" w:hAnsi="Times New Roman" w:eastAsia="黑体" w:cs="Times New Roman"/>
          <w:b/>
          <w:color w:val="000000" w:themeColor="text1"/>
          <w:sz w:val="30"/>
          <w:szCs w:val="30"/>
        </w:rPr>
      </w:pPr>
      <w:bookmarkStart w:id="0" w:name="_Toc19956"/>
      <w:r>
        <w:rPr>
          <w:rFonts w:ascii="Times New Roman" w:hAnsi="Times New Roman" w:eastAsia="黑体" w:cs="Times New Roman"/>
          <w:b/>
          <w:sz w:val="30"/>
          <w:szCs w:val="30"/>
        </w:rPr>
        <w:t>一、工作简况</w:t>
      </w:r>
      <w:bookmarkEnd w:id="0"/>
    </w:p>
    <w:p w14:paraId="72D2291F">
      <w:pPr>
        <w:spacing w:line="360" w:lineRule="auto"/>
        <w:outlineLvl w:val="2"/>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（一）任务来源</w:t>
      </w:r>
    </w:p>
    <w:p w14:paraId="2D057D58">
      <w:pPr>
        <w:snapToGrid w:val="0"/>
        <w:spacing w:line="360" w:lineRule="auto"/>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随着城市化进程加速，市政道路作为城市基础设施的核心组成部分，其养护作业的环保性、可持续性日益成为社会关注的焦点。当前，沥青路面养护领域仍存在技术标准不统一、绿色工艺推广不足、资源循环利用率偏低等问题。传统养护方式过度依赖热拌沥青混合料，不仅能耗高、碳排放量大，且施工过程中易产生废料堆积、粉尘污染等环境问题，与我国"双碳"战略目标及生态文明建设要求存在差距。本项目的核心目的在于通过制定团体标准，系统规范绿色养护作业的技术流程、材料选择及设备要求，推动行业从"末端治理"向"源头防控"转型。标准的实施将有助于统一行业认知，明确绿色养护的技术边界与操作规范，为市政道路管理单位提供可复制、可推广的技术解决方案，进而提升城市基础设施养护的环保效益与社会效益。</w:t>
      </w:r>
    </w:p>
    <w:p w14:paraId="73CB9A4E">
      <w:pPr>
        <w:snapToGrid w:val="0"/>
        <w:spacing w:line="360" w:lineRule="auto"/>
        <w:ind w:firstLine="560" w:firstLineChars="200"/>
        <w:rPr>
          <w:rFonts w:ascii="Times New Roman" w:hAnsi="Times New Roman" w:cs="Times New Roman"/>
          <w:kern w:val="0"/>
          <w:sz w:val="28"/>
          <w:szCs w:val="28"/>
          <w:highlight w:val="yellow"/>
        </w:rPr>
      </w:pPr>
      <w:r>
        <w:rPr>
          <w:rFonts w:hint="eastAsia" w:ascii="Times New Roman" w:hAnsi="Times New Roman" w:cs="Times New Roman"/>
          <w:kern w:val="0"/>
          <w:sz w:val="28"/>
          <w:szCs w:val="28"/>
        </w:rPr>
        <w:t>因此，编写《市政道路管理 沥青路面绿色养护作业技术要求》的团体标准具有重要意义。随着环保法规趋严及公众环保意识增强，市场迫切需要一套兼具科学性、操作性与前瞻性的技术标准，以指导养护单位在保证路面性能的前提下，优先采用冷再生、温拌沥青等低能耗工艺，推广橡胶沥青、废旧胎面胶粉等再生材料应用。本标准的制定将填补行业空白，促进技术创新与产业升级，助力构建资源节约型、环境友好型的市政养护体系。同时，通过标准引领，可推动形成政府监管、企业自律、社会监督的协同治理格局，为城市道路养护的绿色转型提供制度保障，最终实现经济效益与环境效益的双赢。</w:t>
      </w:r>
    </w:p>
    <w:p w14:paraId="64EB91D4">
      <w:pPr>
        <w:spacing w:line="360" w:lineRule="auto"/>
        <w:outlineLvl w:val="2"/>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（二）编制过程</w:t>
      </w:r>
    </w:p>
    <w:p w14:paraId="3C4656A5">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为使本标准在市政沥青路面绿色养护作业管理工作中起到规范信息化管理作用，标准起草工作组力求科学性、可操作性，以科学、谨慎的态度，在对我国现有市政沥青路面绿色养护作业相关管理服务体系文件、模式基础上，经过综合分析、充分验证资料、反复讨论研究和修改，最终确定了本标准的主要内容。</w:t>
      </w:r>
    </w:p>
    <w:p w14:paraId="7176CF9B">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标准起草工作组在标准起草期间主要开展工作情况如下</w:t>
      </w:r>
      <w:r>
        <w:rPr>
          <w:rFonts w:hint="eastAsia" w:ascii="Times New Roman" w:hAnsi="Times New Roman" w:cs="Times New Roman"/>
          <w:kern w:val="0"/>
          <w:sz w:val="28"/>
          <w:szCs w:val="28"/>
        </w:rPr>
        <w:t>：</w:t>
      </w:r>
    </w:p>
    <w:p w14:paraId="76075B13">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1、项目立项及理论研究阶段</w:t>
      </w:r>
    </w:p>
    <w:p w14:paraId="133DEC27">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标准起草组成立伊始就对国内外市政沥青路面绿色养护相关情况进行了深入的调查研究，同时广泛搜集相关标准和国外技术资料，进行了大量的研究分析、资料查证工作，确定了市政沥青路面绿色养护作业标准化管理中现存问题，结合现有产品实际应用经验，为标准起草奠定了基础。</w:t>
      </w:r>
    </w:p>
    <w:p w14:paraId="49995E92">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标准起草组进一步研究了市政沥青路面绿色养护需要具备的特殊条件，明确了技术要求和指标，为标准的具体起草指明了方向。</w:t>
      </w:r>
    </w:p>
    <w:p w14:paraId="1BCDEF0B">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2、标准起草阶段</w:t>
      </w:r>
    </w:p>
    <w:p w14:paraId="465830F8">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在理论研究基础上，起草组在标准编制过程中充分借鉴已有的理论研究和实践成果，基于我国市场行情，经过数次修订，形成了《市政道路管理 沥青路面绿色养护作业技术要求》标准草案。</w:t>
      </w:r>
    </w:p>
    <w:p w14:paraId="405B67DF">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3、标准征求意见阶段</w:t>
      </w:r>
    </w:p>
    <w:p w14:paraId="0DAC9E52">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形成标准草案之后，起草组召开了多次专家研讨会，从标准框架、标准起草等角度广泛征求多方意见，从理论完善和实践应用多方面提升标准的适用性和实用性。经过理论研究和方法验证，起草组形成了《市政道路管理 沥青路面绿色养护作业技术要求》（征求意见稿）。</w:t>
      </w:r>
    </w:p>
    <w:p w14:paraId="32426E21">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（三）主要起草单位及起草人所做的工作</w:t>
      </w:r>
    </w:p>
    <w:p w14:paraId="3987C6A0">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1、主要起草单位</w:t>
      </w:r>
    </w:p>
    <w:p w14:paraId="0155B183">
      <w:pPr>
        <w:spacing w:line="360" w:lineRule="auto"/>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天津中北建设工程管理有限公司在该标准所属领域行业实践、标准制定经验</w:t>
      </w:r>
      <w:r>
        <w:rPr>
          <w:rFonts w:hint="eastAsia" w:ascii="Times New Roman" w:hAnsi="Times New Roman" w:cs="Times New Roman"/>
          <w:kern w:val="0"/>
          <w:sz w:val="28"/>
          <w:szCs w:val="28"/>
          <w:lang w:eastAsia="zh-CN"/>
        </w:rPr>
        <w:t>等方面</w:t>
      </w:r>
      <w:r>
        <w:rPr>
          <w:rFonts w:hint="eastAsia" w:ascii="Times New Roman" w:hAnsi="Times New Roman" w:cs="Times New Roman"/>
          <w:kern w:val="0"/>
          <w:sz w:val="28"/>
          <w:szCs w:val="28"/>
        </w:rPr>
        <w:t>具备更深厚的积累，能更好地协调</w:t>
      </w:r>
      <w:bookmarkStart w:id="31" w:name="_GoBack"/>
      <w:bookmarkEnd w:id="31"/>
      <w:r>
        <w:rPr>
          <w:rFonts w:hint="eastAsia" w:ascii="Times New Roman" w:hAnsi="Times New Roman" w:cs="Times New Roman"/>
          <w:kern w:val="0"/>
          <w:sz w:val="28"/>
          <w:szCs w:val="28"/>
        </w:rPr>
        <w:t>行业资源、解决技术难点，提升标准的科学性与实用性</w:t>
      </w:r>
      <w:r>
        <w:rPr>
          <w:rFonts w:hint="eastAsia" w:ascii="Times New Roman" w:hAnsi="Times New Roman" w:cs="Times New Roman"/>
          <w:kern w:val="0"/>
          <w:sz w:val="28"/>
          <w:szCs w:val="28"/>
          <w:lang w:val="en-US" w:eastAsia="zh-CN"/>
        </w:rPr>
        <w:t>，因此更换牵头单位便于提升标准质量、加快制定进度、优化资源配置。</w:t>
      </w:r>
      <w:r>
        <w:rPr>
          <w:rFonts w:ascii="Times New Roman" w:hAnsi="Times New Roman" w:cs="Times New Roman"/>
          <w:kern w:val="0"/>
          <w:sz w:val="28"/>
          <w:szCs w:val="28"/>
        </w:rPr>
        <w:t>协会</w:t>
      </w:r>
      <w:r>
        <w:rPr>
          <w:rFonts w:hint="eastAsia" w:ascii="Times New Roman" w:hAnsi="Times New Roman" w:cs="Times New Roman"/>
          <w:kern w:val="0"/>
          <w:sz w:val="28"/>
          <w:szCs w:val="28"/>
        </w:rPr>
        <w:t>、企业</w:t>
      </w:r>
      <w:r>
        <w:rPr>
          <w:rFonts w:ascii="Times New Roman" w:hAnsi="Times New Roman" w:cs="Times New Roman"/>
          <w:kern w:val="0"/>
          <w:sz w:val="28"/>
          <w:szCs w:val="28"/>
        </w:rPr>
        <w:t>等多家单位的专家成立了规范起草小组，开展标准的编制工作。</w:t>
      </w:r>
    </w:p>
    <w:p w14:paraId="0E4BB955">
      <w:pPr>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经工作组的不懈努力，在202</w:t>
      </w:r>
      <w:r>
        <w:rPr>
          <w:rFonts w:hint="eastAsia" w:ascii="Times New Roman" w:hAnsi="Times New Roman" w:cs="Times New Roman"/>
          <w:kern w:val="0"/>
          <w:sz w:val="28"/>
          <w:szCs w:val="28"/>
        </w:rPr>
        <w:t>5</w:t>
      </w:r>
      <w:r>
        <w:rPr>
          <w:rFonts w:ascii="Times New Roman" w:hAnsi="Times New Roman" w:cs="Times New Roman"/>
          <w:kern w:val="0"/>
          <w:sz w:val="28"/>
          <w:szCs w:val="28"/>
        </w:rPr>
        <w:t>年</w:t>
      </w:r>
      <w:r>
        <w:rPr>
          <w:rFonts w:hint="eastAsia" w:ascii="Times New Roman" w:hAnsi="Times New Roman" w:cs="Times New Roman"/>
          <w:kern w:val="0"/>
          <w:sz w:val="28"/>
          <w:szCs w:val="28"/>
        </w:rPr>
        <w:t>10</w:t>
      </w:r>
      <w:r>
        <w:rPr>
          <w:rFonts w:ascii="Times New Roman" w:hAnsi="Times New Roman" w:cs="Times New Roman"/>
          <w:kern w:val="0"/>
          <w:sz w:val="28"/>
          <w:szCs w:val="28"/>
        </w:rPr>
        <w:t>月，完成了标准征求意见稿的编写工作。</w:t>
      </w:r>
    </w:p>
    <w:p w14:paraId="0A11B1B9">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2、起草人所做工作</w:t>
      </w:r>
    </w:p>
    <w:p w14:paraId="63DBB064">
      <w:pPr>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广泛收集相关资料。在广泛调研、查阅和研究国际标准、国家标准、行业标准的基础之上，形成本标准草案稿。</w:t>
      </w:r>
    </w:p>
    <w:p w14:paraId="7E0AD047">
      <w:pPr>
        <w:spacing w:line="360" w:lineRule="auto"/>
        <w:outlineLvl w:val="0"/>
        <w:rPr>
          <w:rFonts w:ascii="Times New Roman" w:hAnsi="Times New Roman" w:eastAsia="黑体" w:cs="Times New Roman"/>
          <w:b/>
          <w:sz w:val="30"/>
          <w:szCs w:val="30"/>
        </w:rPr>
      </w:pPr>
      <w:bookmarkStart w:id="1" w:name="_Toc16067"/>
      <w:r>
        <w:rPr>
          <w:rFonts w:ascii="Times New Roman" w:hAnsi="Times New Roman" w:eastAsia="黑体" w:cs="Times New Roman"/>
          <w:b/>
          <w:sz w:val="30"/>
          <w:szCs w:val="30"/>
        </w:rPr>
        <w:t>二、标准编制原则和主要内容</w:t>
      </w:r>
      <w:bookmarkEnd w:id="1"/>
    </w:p>
    <w:p w14:paraId="7FE53FD5">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（一）标准编制原则</w:t>
      </w:r>
    </w:p>
    <w:p w14:paraId="18CEBAF4">
      <w:pPr>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本标准依据相关行业标准，标准编制遵循“前瞻性、实用性、统一性、规范性”的原则，注重标准的可操作性，本标准严格按照《标准化工作指南》和GB/T 1.1《标准化工作导则 第一部分：标准的结构和编写》的要求进行编制。标准文本的编排采用中国标准编写模板TCS 2009版进行排版，确保标准文本的规范性。</w:t>
      </w:r>
    </w:p>
    <w:p w14:paraId="4DE6DDC2">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（二）标准主要技术内容</w:t>
      </w:r>
    </w:p>
    <w:p w14:paraId="2CD64161">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本标准报批稿包括</w:t>
      </w:r>
      <w:r>
        <w:rPr>
          <w:rFonts w:hint="eastAsia" w:ascii="Times New Roman" w:hAnsi="Times New Roman" w:cs="Times New Roman"/>
          <w:sz w:val="28"/>
          <w:szCs w:val="28"/>
        </w:rPr>
        <w:t>7</w:t>
      </w:r>
      <w:r>
        <w:rPr>
          <w:rFonts w:ascii="Times New Roman" w:hAnsi="Times New Roman" w:cs="Times New Roman"/>
          <w:sz w:val="28"/>
          <w:szCs w:val="28"/>
        </w:rPr>
        <w:t>个部分，主要内容如下：</w:t>
      </w:r>
    </w:p>
    <w:p w14:paraId="54AB389D">
      <w:pPr>
        <w:pStyle w:val="39"/>
        <w:spacing w:before="0" w:beforeLines="0" w:after="0" w:afterLines="0" w:line="360" w:lineRule="auto"/>
        <w:outlineLvl w:val="9"/>
        <w:rPr>
          <w:rFonts w:ascii="宋体" w:hAnsi="宋体" w:eastAsia="宋体"/>
          <w:sz w:val="28"/>
          <w:szCs w:val="28"/>
        </w:rPr>
      </w:pPr>
      <w:bookmarkStart w:id="2" w:name="_Toc24884218"/>
      <w:bookmarkStart w:id="3" w:name="_Toc26718930"/>
      <w:bookmarkStart w:id="4" w:name="_Toc26986530"/>
      <w:bookmarkStart w:id="5" w:name="_Toc26986771"/>
      <w:bookmarkStart w:id="6" w:name="_Toc26648465"/>
      <w:bookmarkStart w:id="7" w:name="_Toc97192964"/>
      <w:bookmarkStart w:id="8" w:name="_Toc24884211"/>
      <w:bookmarkStart w:id="9" w:name="_Toc17233333"/>
      <w:bookmarkStart w:id="10" w:name="_Toc17233325"/>
      <w:r>
        <w:rPr>
          <w:rFonts w:hint="eastAsia" w:ascii="宋体" w:hAnsi="宋体" w:eastAsia="宋体"/>
          <w:sz w:val="28"/>
          <w:szCs w:val="28"/>
        </w:rPr>
        <w:t>范围</w:t>
      </w:r>
      <w:bookmarkEnd w:id="2"/>
      <w:bookmarkEnd w:id="3"/>
      <w:bookmarkEnd w:id="4"/>
      <w:bookmarkEnd w:id="5"/>
      <w:bookmarkEnd w:id="6"/>
      <w:bookmarkEnd w:id="7"/>
      <w:bookmarkEnd w:id="8"/>
      <w:bookmarkEnd w:id="9"/>
      <w:bookmarkEnd w:id="10"/>
    </w:p>
    <w:p w14:paraId="47A7CD8E">
      <w:pPr>
        <w:pStyle w:val="34"/>
        <w:spacing w:line="360" w:lineRule="auto"/>
        <w:ind w:firstLine="560"/>
        <w:rPr>
          <w:rFonts w:hAnsi="宋体"/>
          <w:sz w:val="28"/>
          <w:szCs w:val="28"/>
        </w:rPr>
      </w:pPr>
      <w:bookmarkStart w:id="11" w:name="_Toc17233334"/>
      <w:bookmarkStart w:id="12" w:name="_Toc17233326"/>
      <w:bookmarkStart w:id="13" w:name="_Toc24884219"/>
      <w:bookmarkStart w:id="14" w:name="_Toc24884212"/>
      <w:bookmarkStart w:id="15" w:name="_Toc26648466"/>
      <w:r>
        <w:rPr>
          <w:rFonts w:hint="eastAsia" w:hAnsi="宋体"/>
          <w:sz w:val="28"/>
          <w:szCs w:val="28"/>
        </w:rPr>
        <w:t>本文件规定了市政沥青路面绿色养护作业的术语和定义、基本要求、材料与设备、路面养护、质量检验。</w:t>
      </w:r>
    </w:p>
    <w:p w14:paraId="0B85975B">
      <w:pPr>
        <w:pStyle w:val="34"/>
        <w:spacing w:line="360" w:lineRule="auto"/>
        <w:ind w:firstLine="560"/>
        <w:rPr>
          <w:rFonts w:hAnsi="宋体"/>
          <w:sz w:val="28"/>
          <w:szCs w:val="28"/>
        </w:rPr>
      </w:pPr>
      <w:r>
        <w:rPr>
          <w:rFonts w:hint="eastAsia" w:hAnsi="宋体"/>
          <w:sz w:val="28"/>
          <w:szCs w:val="28"/>
        </w:rPr>
        <w:t>本文件适用于市政沥青路面绿色养护作业。</w:t>
      </w:r>
    </w:p>
    <w:p w14:paraId="1F0C3E93">
      <w:pPr>
        <w:pStyle w:val="39"/>
        <w:spacing w:before="0" w:beforeLines="0" w:after="0" w:afterLines="0" w:line="360" w:lineRule="auto"/>
        <w:outlineLvl w:val="9"/>
        <w:rPr>
          <w:rFonts w:ascii="宋体" w:hAnsi="宋体" w:eastAsia="宋体"/>
          <w:sz w:val="28"/>
          <w:szCs w:val="28"/>
        </w:rPr>
      </w:pPr>
      <w:bookmarkStart w:id="16" w:name="_Toc26718931"/>
      <w:bookmarkStart w:id="17" w:name="_Toc26986531"/>
      <w:bookmarkStart w:id="18" w:name="_Toc26986772"/>
      <w:bookmarkStart w:id="19" w:name="_Toc97192965"/>
      <w:r>
        <w:rPr>
          <w:rFonts w:hint="eastAsia" w:ascii="宋体" w:hAnsi="宋体" w:eastAsia="宋体"/>
          <w:sz w:val="28"/>
          <w:szCs w:val="28"/>
        </w:rPr>
        <w:t>规范性引用文件</w:t>
      </w:r>
      <w:bookmarkEnd w:id="11"/>
      <w:bookmarkEnd w:id="12"/>
      <w:bookmarkEnd w:id="13"/>
      <w:bookmarkEnd w:id="14"/>
      <w:bookmarkEnd w:id="15"/>
      <w:bookmarkEnd w:id="16"/>
      <w:bookmarkEnd w:id="17"/>
      <w:bookmarkEnd w:id="18"/>
      <w:bookmarkEnd w:id="19"/>
    </w:p>
    <w:sdt>
      <w:sdtPr>
        <w:rPr>
          <w:rFonts w:hint="eastAsia" w:hAnsi="宋体"/>
          <w:sz w:val="28"/>
          <w:szCs w:val="28"/>
        </w:rPr>
        <w:id w:val="715848253"/>
        <w:placeholder>
          <w:docPart w:val="8D73C649C99D4631AED3F3ED9C07B6E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hAnsi="宋体"/>
          <w:sz w:val="28"/>
          <w:szCs w:val="28"/>
        </w:rPr>
      </w:sdtEndPr>
      <w:sdtContent>
        <w:p w14:paraId="33C94FF1">
          <w:pPr>
            <w:pStyle w:val="34"/>
            <w:spacing w:line="360" w:lineRule="auto"/>
            <w:ind w:firstLine="560"/>
            <w:rPr>
              <w:rFonts w:hAnsi="宋体"/>
              <w:sz w:val="28"/>
              <w:szCs w:val="28"/>
            </w:rPr>
          </w:pPr>
          <w:r>
            <w:rPr>
              <w:rFonts w:hint="eastAsia" w:hAnsi="宋体"/>
              <w:sz w:val="28"/>
              <w:szCs w:val="28"/>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D0C8F6A">
      <w:pPr>
        <w:pStyle w:val="34"/>
        <w:spacing w:line="360" w:lineRule="auto"/>
        <w:ind w:firstLine="560"/>
        <w:rPr>
          <w:rFonts w:hint="eastAsia" w:hAnsi="宋体"/>
          <w:sz w:val="28"/>
          <w:szCs w:val="28"/>
        </w:rPr>
      </w:pPr>
      <w:r>
        <w:rPr>
          <w:rFonts w:hAnsi="宋体"/>
          <w:sz w:val="28"/>
          <w:szCs w:val="28"/>
        </w:rPr>
        <w:t>CJJ 1</w:t>
      </w:r>
      <w:r>
        <w:rPr>
          <w:rFonts w:hint="eastAsia" w:hAnsi="宋体"/>
          <w:sz w:val="28"/>
          <w:szCs w:val="28"/>
        </w:rPr>
        <w:t xml:space="preserve"> 城镇道路工程施工与质量验收规范</w:t>
      </w:r>
    </w:p>
    <w:p w14:paraId="75E6BE8E">
      <w:pPr>
        <w:pStyle w:val="34"/>
        <w:spacing w:line="360" w:lineRule="auto"/>
        <w:ind w:firstLine="560"/>
        <w:rPr>
          <w:rFonts w:hint="eastAsia" w:hAnsi="宋体"/>
          <w:sz w:val="28"/>
          <w:szCs w:val="28"/>
        </w:rPr>
      </w:pPr>
      <w:r>
        <w:rPr>
          <w:rFonts w:hAnsi="宋体"/>
          <w:sz w:val="28"/>
          <w:szCs w:val="28"/>
        </w:rPr>
        <w:t>CJJ/T 43</w:t>
      </w:r>
      <w:r>
        <w:rPr>
          <w:rFonts w:hint="eastAsia" w:hAnsi="宋体"/>
          <w:sz w:val="28"/>
          <w:szCs w:val="28"/>
        </w:rPr>
        <w:t xml:space="preserve"> 城镇道路沥青路面再生利用技术规程</w:t>
      </w:r>
    </w:p>
    <w:p w14:paraId="302940C1">
      <w:pPr>
        <w:pStyle w:val="34"/>
        <w:spacing w:line="360" w:lineRule="auto"/>
        <w:ind w:firstLine="560"/>
        <w:rPr>
          <w:rFonts w:hAnsi="宋体"/>
          <w:sz w:val="28"/>
          <w:szCs w:val="28"/>
        </w:rPr>
      </w:pPr>
      <w:r>
        <w:rPr>
          <w:rFonts w:hAnsi="宋体"/>
          <w:sz w:val="28"/>
          <w:szCs w:val="28"/>
        </w:rPr>
        <w:t>CJJ 169</w:t>
      </w:r>
      <w:r>
        <w:rPr>
          <w:rFonts w:hint="eastAsia" w:hAnsi="宋体"/>
          <w:sz w:val="28"/>
          <w:szCs w:val="28"/>
        </w:rPr>
        <w:t xml:space="preserve"> 城镇道路路面设计规范</w:t>
      </w:r>
    </w:p>
    <w:p w14:paraId="39A5E6A2">
      <w:pPr>
        <w:pStyle w:val="34"/>
        <w:spacing w:line="360" w:lineRule="auto"/>
        <w:ind w:firstLine="560"/>
        <w:rPr>
          <w:rFonts w:hint="eastAsia" w:hAnsi="宋体"/>
          <w:sz w:val="28"/>
          <w:szCs w:val="28"/>
        </w:rPr>
      </w:pPr>
      <w:r>
        <w:rPr>
          <w:rFonts w:hAnsi="宋体"/>
          <w:sz w:val="28"/>
          <w:szCs w:val="28"/>
        </w:rPr>
        <w:t>JTG E20</w:t>
      </w:r>
      <w:r>
        <w:rPr>
          <w:rFonts w:hint="eastAsia" w:hAnsi="宋体"/>
          <w:sz w:val="28"/>
          <w:szCs w:val="28"/>
        </w:rPr>
        <w:t xml:space="preserve"> 公路工程沥青及沥青混合料试验规程</w:t>
      </w:r>
    </w:p>
    <w:p w14:paraId="2C8DA95F">
      <w:pPr>
        <w:pStyle w:val="39"/>
        <w:spacing w:before="0" w:beforeLines="0" w:after="0" w:afterLines="0" w:line="360" w:lineRule="auto"/>
        <w:outlineLvl w:val="9"/>
        <w:rPr>
          <w:rFonts w:ascii="宋体" w:hAnsi="宋体" w:eastAsia="宋体"/>
          <w:sz w:val="28"/>
          <w:szCs w:val="28"/>
        </w:rPr>
      </w:pPr>
      <w:bookmarkStart w:id="20" w:name="_Toc97192966"/>
      <w:r>
        <w:rPr>
          <w:rFonts w:hint="eastAsia" w:ascii="宋体" w:hAnsi="宋体" w:eastAsia="宋体"/>
          <w:sz w:val="28"/>
          <w:szCs w:val="28"/>
        </w:rPr>
        <w:t>术语和定义</w:t>
      </w:r>
      <w:bookmarkEnd w:id="20"/>
    </w:p>
    <w:sdt>
      <w:sdtPr>
        <w:rPr>
          <w:rFonts w:hAnsi="宋体"/>
          <w:sz w:val="28"/>
          <w:szCs w:val="28"/>
        </w:rPr>
        <w:id w:val="-1909835108"/>
        <w:placeholder>
          <w:docPart w:val="113F3804D0A1468981AB9E1181B05AC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Ansi="宋体"/>
          <w:sz w:val="28"/>
          <w:szCs w:val="28"/>
        </w:rPr>
      </w:sdtEndPr>
      <w:sdtContent>
        <w:p w14:paraId="51A77727">
          <w:pPr>
            <w:pStyle w:val="34"/>
            <w:spacing w:line="360" w:lineRule="auto"/>
            <w:ind w:firstLine="560"/>
            <w:rPr>
              <w:rFonts w:hAnsi="宋体"/>
              <w:sz w:val="28"/>
              <w:szCs w:val="28"/>
            </w:rPr>
          </w:pPr>
          <w:bookmarkStart w:id="21" w:name="_Toc26986532"/>
          <w:bookmarkEnd w:id="21"/>
          <w:r>
            <w:rPr>
              <w:rFonts w:hAnsi="宋体"/>
              <w:sz w:val="28"/>
              <w:szCs w:val="28"/>
            </w:rPr>
            <w:t>下列术语和定义适用于本文件。</w:t>
          </w:r>
        </w:p>
      </w:sdtContent>
    </w:sdt>
    <w:p w14:paraId="2093049D">
      <w:pPr>
        <w:pStyle w:val="52"/>
        <w:spacing w:line="360" w:lineRule="auto"/>
        <w:ind w:left="560" w:hanging="560" w:hangingChars="200"/>
        <w:rPr>
          <w:rFonts w:hAnsi="宋体"/>
          <w:sz w:val="28"/>
          <w:szCs w:val="28"/>
        </w:rPr>
      </w:pPr>
      <w:r>
        <w:rPr>
          <w:rFonts w:hAnsi="宋体"/>
          <w:sz w:val="28"/>
          <w:szCs w:val="28"/>
        </w:rPr>
        <w:br w:type="textWrapping"/>
      </w:r>
      <w:r>
        <w:rPr>
          <w:rFonts w:hint="eastAsia" w:hAnsi="宋体"/>
          <w:sz w:val="28"/>
          <w:szCs w:val="28"/>
        </w:rPr>
        <w:t>沥青路面绿色养护 g</w:t>
      </w:r>
      <w:r>
        <w:rPr>
          <w:rFonts w:hAnsi="宋体"/>
          <w:sz w:val="28"/>
          <w:szCs w:val="28"/>
        </w:rPr>
        <w:t xml:space="preserve">reen </w:t>
      </w:r>
      <w:r>
        <w:rPr>
          <w:rFonts w:hint="eastAsia" w:hAnsi="宋体"/>
          <w:sz w:val="28"/>
          <w:szCs w:val="28"/>
        </w:rPr>
        <w:t>m</w:t>
      </w:r>
      <w:r>
        <w:rPr>
          <w:rFonts w:hAnsi="宋体"/>
          <w:sz w:val="28"/>
          <w:szCs w:val="28"/>
        </w:rPr>
        <w:t xml:space="preserve">aintenance of </w:t>
      </w:r>
      <w:r>
        <w:rPr>
          <w:rFonts w:hint="eastAsia" w:hAnsi="宋体"/>
          <w:sz w:val="28"/>
          <w:szCs w:val="28"/>
        </w:rPr>
        <w:t>a</w:t>
      </w:r>
      <w:r>
        <w:rPr>
          <w:rFonts w:hAnsi="宋体"/>
          <w:sz w:val="28"/>
          <w:szCs w:val="28"/>
        </w:rPr>
        <w:t xml:space="preserve">sphalt </w:t>
      </w:r>
      <w:r>
        <w:rPr>
          <w:rFonts w:hint="eastAsia" w:hAnsi="宋体"/>
          <w:sz w:val="28"/>
          <w:szCs w:val="28"/>
        </w:rPr>
        <w:t>p</w:t>
      </w:r>
      <w:r>
        <w:rPr>
          <w:rFonts w:hAnsi="宋体"/>
          <w:sz w:val="28"/>
          <w:szCs w:val="28"/>
        </w:rPr>
        <w:t>avement</w:t>
      </w:r>
    </w:p>
    <w:p w14:paraId="4324AEA9">
      <w:pPr>
        <w:pStyle w:val="34"/>
        <w:spacing w:line="360" w:lineRule="auto"/>
        <w:ind w:firstLine="560"/>
        <w:rPr>
          <w:rFonts w:hint="eastAsia" w:hAnsi="宋体"/>
          <w:sz w:val="28"/>
          <w:szCs w:val="28"/>
        </w:rPr>
      </w:pPr>
      <w:r>
        <w:rPr>
          <w:rFonts w:hint="eastAsia" w:hAnsi="宋体"/>
          <w:sz w:val="28"/>
          <w:szCs w:val="28"/>
        </w:rPr>
        <w:t>在沥青路面养护的全生命周期内，通过采用环境友好的材料、先进的工艺技术、智能化的管理手段和资源循环利用模式，在保障或提升路面使用性能与安全性的同时，最大限度地节约资源、降低能源消耗、减少环境污染和碳排放的可持续性养护活动体系。</w:t>
      </w:r>
    </w:p>
    <w:p w14:paraId="714D6900">
      <w:pPr>
        <w:pStyle w:val="52"/>
        <w:spacing w:line="360" w:lineRule="auto"/>
        <w:ind w:left="560" w:hanging="560" w:hangingChars="200"/>
        <w:rPr>
          <w:rFonts w:hint="eastAsia" w:hAnsi="宋体"/>
          <w:sz w:val="28"/>
          <w:szCs w:val="28"/>
        </w:rPr>
      </w:pPr>
      <w:r>
        <w:rPr>
          <w:rFonts w:hAnsi="宋体"/>
          <w:sz w:val="28"/>
          <w:szCs w:val="28"/>
        </w:rPr>
        <w:br w:type="textWrapping"/>
      </w:r>
      <w:r>
        <w:rPr>
          <w:rFonts w:hint="eastAsia" w:hAnsi="宋体"/>
          <w:sz w:val="28"/>
          <w:szCs w:val="28"/>
        </w:rPr>
        <w:t>新沥青混合料热拌料</w:t>
      </w:r>
      <w:r>
        <w:rPr>
          <w:rFonts w:hint="eastAsia" w:hAnsi="宋体"/>
          <w:sz w:val="28"/>
          <w:szCs w:val="28"/>
        </w:rPr>
        <w:tab/>
      </w:r>
      <w:r>
        <w:rPr>
          <w:rFonts w:hint="eastAsia" w:hAnsi="宋体"/>
          <w:sz w:val="28"/>
          <w:szCs w:val="28"/>
        </w:rPr>
        <w:t>new hot asphalt mixture</w:t>
      </w:r>
      <w:r>
        <w:rPr>
          <w:rFonts w:hint="eastAsia" w:hAnsi="宋体"/>
          <w:sz w:val="28"/>
          <w:szCs w:val="28"/>
        </w:rPr>
        <w:tab/>
      </w:r>
    </w:p>
    <w:p w14:paraId="41C21C83">
      <w:pPr>
        <w:pStyle w:val="34"/>
        <w:spacing w:line="360" w:lineRule="auto"/>
        <w:ind w:firstLine="560"/>
        <w:rPr>
          <w:rFonts w:hint="eastAsia" w:hAnsi="宋体"/>
          <w:sz w:val="28"/>
          <w:szCs w:val="28"/>
        </w:rPr>
      </w:pPr>
      <w:r>
        <w:rPr>
          <w:rFonts w:hint="eastAsia" w:hAnsi="宋体"/>
          <w:sz w:val="28"/>
          <w:szCs w:val="28"/>
        </w:rPr>
        <w:t>由沥青拌和站热拌生产的新沥青混合料。</w:t>
      </w:r>
    </w:p>
    <w:p w14:paraId="4ECC9CA3">
      <w:pPr>
        <w:pStyle w:val="52"/>
        <w:spacing w:line="360" w:lineRule="auto"/>
        <w:ind w:left="560" w:hanging="560" w:hangingChars="200"/>
        <w:rPr>
          <w:rFonts w:hint="eastAsia" w:hAnsi="宋体"/>
          <w:sz w:val="28"/>
          <w:szCs w:val="28"/>
        </w:rPr>
      </w:pPr>
      <w:r>
        <w:rPr>
          <w:rFonts w:hAnsi="宋体"/>
          <w:sz w:val="28"/>
          <w:szCs w:val="28"/>
        </w:rPr>
        <w:br w:type="textWrapping"/>
      </w:r>
      <w:r>
        <w:rPr>
          <w:rFonts w:hint="eastAsia" w:hAnsi="宋体"/>
          <w:sz w:val="28"/>
          <w:szCs w:val="28"/>
        </w:rPr>
        <w:t>新沥青混合料冷却料</w:t>
      </w:r>
      <w:r>
        <w:rPr>
          <w:rFonts w:hint="eastAsia" w:hAnsi="宋体"/>
          <w:sz w:val="28"/>
          <w:szCs w:val="28"/>
        </w:rPr>
        <w:tab/>
      </w:r>
      <w:r>
        <w:rPr>
          <w:rFonts w:hint="eastAsia" w:hAnsi="宋体"/>
          <w:sz w:val="28"/>
          <w:szCs w:val="28"/>
        </w:rPr>
        <w:t>new cooled asphalt mixture</w:t>
      </w:r>
      <w:r>
        <w:rPr>
          <w:rFonts w:hint="eastAsia" w:hAnsi="宋体"/>
          <w:sz w:val="28"/>
          <w:szCs w:val="28"/>
        </w:rPr>
        <w:tab/>
      </w:r>
    </w:p>
    <w:p w14:paraId="1AA20B42">
      <w:pPr>
        <w:pStyle w:val="34"/>
        <w:spacing w:line="360" w:lineRule="auto"/>
        <w:ind w:firstLine="560"/>
        <w:rPr>
          <w:rFonts w:hAnsi="宋体"/>
          <w:sz w:val="28"/>
          <w:szCs w:val="28"/>
        </w:rPr>
      </w:pPr>
      <w:r>
        <w:rPr>
          <w:rFonts w:hint="eastAsia" w:hAnsi="宋体"/>
          <w:sz w:val="28"/>
          <w:szCs w:val="28"/>
        </w:rPr>
        <w:t>由沥青拌和站热拌生产，经冷却后备用的新沥青混合。</w:t>
      </w:r>
    </w:p>
    <w:p w14:paraId="5596A7FC">
      <w:pPr>
        <w:pStyle w:val="52"/>
        <w:spacing w:line="360" w:lineRule="auto"/>
        <w:ind w:left="560" w:hanging="560" w:hangingChars="200"/>
        <w:rPr>
          <w:rFonts w:hint="eastAsia" w:hAnsi="宋体"/>
          <w:sz w:val="28"/>
          <w:szCs w:val="28"/>
        </w:rPr>
      </w:pPr>
      <w:r>
        <w:rPr>
          <w:rFonts w:hAnsi="宋体"/>
          <w:sz w:val="28"/>
          <w:szCs w:val="28"/>
        </w:rPr>
        <w:br w:type="textWrapping"/>
      </w:r>
      <w:r>
        <w:rPr>
          <w:rFonts w:hint="eastAsia" w:hAnsi="宋体"/>
          <w:sz w:val="28"/>
          <w:szCs w:val="28"/>
        </w:rPr>
        <w:t>热态沥青混合料hot asphalt mixture</w:t>
      </w:r>
    </w:p>
    <w:p w14:paraId="0FB7538E">
      <w:pPr>
        <w:pStyle w:val="34"/>
        <w:spacing w:line="360" w:lineRule="auto"/>
        <w:ind w:firstLine="560"/>
        <w:rPr>
          <w:rFonts w:hint="eastAsia" w:hAnsi="宋体"/>
          <w:sz w:val="28"/>
          <w:szCs w:val="28"/>
        </w:rPr>
      </w:pPr>
      <w:r>
        <w:rPr>
          <w:rFonts w:hint="eastAsia" w:hAnsi="宋体"/>
          <w:sz w:val="28"/>
          <w:szCs w:val="28"/>
        </w:rPr>
        <w:t>由热修复设备热拌加工、供应的沥青混合料，其来源包括新沥青混合料热拌料、新沥青混合料冷却料和原沥青路面再用料。</w:t>
      </w:r>
    </w:p>
    <w:p w14:paraId="070D1C5F">
      <w:pPr>
        <w:pStyle w:val="52"/>
        <w:spacing w:line="360" w:lineRule="auto"/>
        <w:ind w:left="560" w:hanging="560" w:hangingChars="200"/>
        <w:rPr>
          <w:rFonts w:hint="eastAsia" w:hAnsi="宋体"/>
          <w:sz w:val="28"/>
          <w:szCs w:val="28"/>
        </w:rPr>
      </w:pPr>
      <w:r>
        <w:rPr>
          <w:rFonts w:hAnsi="宋体"/>
          <w:sz w:val="28"/>
          <w:szCs w:val="28"/>
        </w:rPr>
        <w:br w:type="textWrapping"/>
      </w:r>
      <w:r>
        <w:rPr>
          <w:rFonts w:hint="eastAsia" w:hAnsi="宋体"/>
          <w:sz w:val="28"/>
          <w:szCs w:val="28"/>
        </w:rPr>
        <w:t>路面功能性热修复functional hot repair of pavement</w:t>
      </w:r>
    </w:p>
    <w:p w14:paraId="1D061B51">
      <w:pPr>
        <w:pStyle w:val="34"/>
        <w:spacing w:line="360" w:lineRule="auto"/>
        <w:ind w:firstLine="560"/>
        <w:rPr>
          <w:rFonts w:hint="eastAsia" w:hAnsi="宋体"/>
          <w:sz w:val="28"/>
          <w:szCs w:val="28"/>
        </w:rPr>
      </w:pPr>
      <w:r>
        <w:rPr>
          <w:rFonts w:hint="eastAsia" w:hAnsi="宋体"/>
          <w:sz w:val="28"/>
          <w:szCs w:val="28"/>
        </w:rPr>
        <w:t>针对沥青路面表层病害，经快速热修复后恢复路面平整度、抗滑等使用功能的养护措施。</w:t>
      </w:r>
    </w:p>
    <w:p w14:paraId="0E52ABC0">
      <w:pPr>
        <w:pStyle w:val="52"/>
        <w:spacing w:line="360" w:lineRule="auto"/>
        <w:ind w:left="560" w:hanging="560" w:hangingChars="200"/>
        <w:rPr>
          <w:rFonts w:hint="eastAsia" w:hAnsi="宋体"/>
          <w:sz w:val="28"/>
          <w:szCs w:val="28"/>
        </w:rPr>
      </w:pPr>
      <w:r>
        <w:rPr>
          <w:rFonts w:hAnsi="宋体"/>
          <w:sz w:val="28"/>
          <w:szCs w:val="28"/>
        </w:rPr>
        <w:br w:type="textWrapping"/>
      </w:r>
      <w:r>
        <w:rPr>
          <w:rFonts w:hint="eastAsia" w:hAnsi="宋体"/>
          <w:sz w:val="28"/>
          <w:szCs w:val="28"/>
        </w:rPr>
        <w:t>路面结构性热修复structural hot repair of pavement</w:t>
      </w:r>
    </w:p>
    <w:p w14:paraId="14939681">
      <w:pPr>
        <w:pStyle w:val="34"/>
        <w:spacing w:line="360" w:lineRule="auto"/>
        <w:ind w:firstLine="560"/>
        <w:rPr>
          <w:rFonts w:hint="eastAsia" w:hAnsi="宋体"/>
          <w:sz w:val="28"/>
          <w:szCs w:val="28"/>
        </w:rPr>
      </w:pPr>
      <w:r>
        <w:rPr>
          <w:rFonts w:hint="eastAsia" w:hAnsi="宋体"/>
          <w:sz w:val="28"/>
          <w:szCs w:val="28"/>
        </w:rPr>
        <w:t>针对沥青路面中下面层及基层出现车辙，坑槽，唧浆，网裂沉陷等局部的结构性病害，经快速热修复后恢复路面结构层承载力和完整性的养护措施。</w:t>
      </w:r>
    </w:p>
    <w:p w14:paraId="7D019DB7">
      <w:pPr>
        <w:pStyle w:val="52"/>
        <w:spacing w:line="360" w:lineRule="auto"/>
        <w:ind w:left="560" w:hanging="560" w:hangingChars="200"/>
        <w:rPr>
          <w:rFonts w:hAnsi="宋体"/>
          <w:sz w:val="28"/>
          <w:szCs w:val="28"/>
        </w:rPr>
      </w:pPr>
      <w:r>
        <w:rPr>
          <w:rFonts w:hAnsi="宋体"/>
          <w:sz w:val="28"/>
          <w:szCs w:val="28"/>
        </w:rPr>
        <w:br w:type="textWrapping"/>
      </w:r>
      <w:r>
        <w:rPr>
          <w:rFonts w:hint="eastAsia" w:hAnsi="宋体"/>
          <w:sz w:val="28"/>
          <w:szCs w:val="28"/>
        </w:rPr>
        <w:t>路面附属构造物ancillary structure of pavement</w:t>
      </w:r>
    </w:p>
    <w:p w14:paraId="420C60EE">
      <w:pPr>
        <w:pStyle w:val="34"/>
        <w:spacing w:line="360" w:lineRule="auto"/>
        <w:ind w:firstLine="560"/>
        <w:rPr>
          <w:rFonts w:hint="eastAsia" w:hAnsi="宋体"/>
          <w:sz w:val="28"/>
          <w:szCs w:val="28"/>
        </w:rPr>
      </w:pPr>
      <w:r>
        <w:rPr>
          <w:rFonts w:hint="eastAsia" w:hAnsi="宋体"/>
          <w:sz w:val="28"/>
          <w:szCs w:val="28"/>
        </w:rPr>
        <w:t>与沥青路面相接的构造物。</w:t>
      </w:r>
    </w:p>
    <w:p w14:paraId="6FEF5037">
      <w:pPr>
        <w:pStyle w:val="34"/>
        <w:spacing w:line="360" w:lineRule="auto"/>
        <w:ind w:firstLine="560"/>
        <w:rPr>
          <w:rFonts w:hint="eastAsia" w:hAnsi="宋体"/>
          <w:sz w:val="28"/>
          <w:szCs w:val="28"/>
        </w:rPr>
      </w:pPr>
      <w:r>
        <w:rPr>
          <w:rFonts w:hint="eastAsia" w:hAnsi="宋体"/>
          <w:sz w:val="28"/>
          <w:szCs w:val="28"/>
        </w:rPr>
        <w:t>注:包括检查井、路缘石、雨水井等。</w:t>
      </w:r>
    </w:p>
    <w:p w14:paraId="4AE5524E">
      <w:pPr>
        <w:pStyle w:val="39"/>
        <w:spacing w:before="0" w:beforeLines="0" w:after="0" w:afterLines="0" w:line="360" w:lineRule="auto"/>
        <w:outlineLvl w:val="9"/>
        <w:rPr>
          <w:rFonts w:ascii="宋体" w:hAnsi="宋体" w:eastAsia="宋体"/>
          <w:sz w:val="28"/>
          <w:szCs w:val="28"/>
        </w:rPr>
      </w:pPr>
      <w:r>
        <w:rPr>
          <w:rFonts w:hint="eastAsia" w:ascii="宋体" w:hAnsi="宋体" w:eastAsia="宋体"/>
          <w:sz w:val="28"/>
          <w:szCs w:val="28"/>
        </w:rPr>
        <w:t>基本要求</w:t>
      </w:r>
    </w:p>
    <w:p w14:paraId="5A934BC8">
      <w:pPr>
        <w:pStyle w:val="44"/>
        <w:spacing w:line="360" w:lineRule="auto"/>
        <w:rPr>
          <w:rFonts w:hAnsi="宋体"/>
          <w:sz w:val="28"/>
          <w:szCs w:val="28"/>
        </w:rPr>
      </w:pPr>
      <w:r>
        <w:rPr>
          <w:rFonts w:hint="eastAsia" w:hAnsi="宋体"/>
          <w:sz w:val="28"/>
          <w:szCs w:val="28"/>
        </w:rPr>
        <w:t>施工单位应遵守国家及地方有关安全生产、质量、环保等方面的法律、法规与标准规范，建立健全并有效实施安全生产、质量保证和环境保护管理体系。</w:t>
      </w:r>
    </w:p>
    <w:p w14:paraId="5FCF2281">
      <w:pPr>
        <w:pStyle w:val="44"/>
        <w:spacing w:line="360" w:lineRule="auto"/>
        <w:rPr>
          <w:rFonts w:hAnsi="宋体"/>
          <w:sz w:val="28"/>
          <w:szCs w:val="28"/>
        </w:rPr>
      </w:pPr>
      <w:r>
        <w:rPr>
          <w:rFonts w:hint="eastAsia" w:hAnsi="宋体"/>
          <w:sz w:val="28"/>
          <w:szCs w:val="28"/>
        </w:rPr>
        <w:t>施工前应对沥青路面病害进行全面调查与诊断，详细查明病害的类型、程度、范围及成因，并依据调查结果制定具有针对性的修复技术方案。</w:t>
      </w:r>
    </w:p>
    <w:p w14:paraId="286B8974">
      <w:pPr>
        <w:pStyle w:val="44"/>
        <w:spacing w:line="360" w:lineRule="auto"/>
        <w:rPr>
          <w:rFonts w:hAnsi="宋体"/>
          <w:sz w:val="28"/>
          <w:szCs w:val="28"/>
        </w:rPr>
      </w:pPr>
      <w:r>
        <w:rPr>
          <w:rFonts w:hint="eastAsia" w:hAnsi="宋体"/>
          <w:sz w:val="28"/>
          <w:szCs w:val="28"/>
        </w:rPr>
        <w:t>沥青路面日常养护中的热修补作业，不得在雨、雪等不利气象条件下进行。施工过程中应采取有效措施进行全过程质量控制，并对已完成修复的段落实施必要的成品保护。</w:t>
      </w:r>
    </w:p>
    <w:p w14:paraId="4084F1C5">
      <w:pPr>
        <w:pStyle w:val="44"/>
        <w:spacing w:line="360" w:lineRule="auto"/>
        <w:rPr>
          <w:rFonts w:hAnsi="宋体"/>
          <w:sz w:val="28"/>
          <w:szCs w:val="28"/>
        </w:rPr>
      </w:pPr>
      <w:r>
        <w:rPr>
          <w:rFonts w:hint="eastAsia" w:hAnsi="宋体"/>
          <w:sz w:val="28"/>
          <w:szCs w:val="28"/>
        </w:rPr>
        <w:t>用于路面上面层修复的新增沥青混合料，宜选用细粒式类型。其集料岩性宜与原路面材料相协调，以降低修复后的路面色差，保持路面外观的均匀性。</w:t>
      </w:r>
    </w:p>
    <w:p w14:paraId="473BE91C">
      <w:pPr>
        <w:pStyle w:val="39"/>
        <w:spacing w:before="0" w:beforeLines="0" w:after="0" w:afterLines="0" w:line="360" w:lineRule="auto"/>
        <w:outlineLvl w:val="9"/>
        <w:rPr>
          <w:rFonts w:ascii="宋体" w:hAnsi="宋体" w:eastAsia="宋体"/>
          <w:sz w:val="28"/>
          <w:szCs w:val="28"/>
        </w:rPr>
      </w:pPr>
      <w:r>
        <w:rPr>
          <w:rFonts w:hint="eastAsia" w:ascii="宋体" w:hAnsi="宋体" w:eastAsia="宋体"/>
          <w:sz w:val="28"/>
          <w:szCs w:val="28"/>
        </w:rPr>
        <w:t>材料与设备</w:t>
      </w:r>
    </w:p>
    <w:p w14:paraId="606AA924">
      <w:pPr>
        <w:pStyle w:val="40"/>
        <w:spacing w:before="0" w:beforeLines="0" w:after="0" w:afterLines="0" w:line="360" w:lineRule="auto"/>
        <w:outlineLvl w:val="9"/>
        <w:rPr>
          <w:rFonts w:ascii="宋体" w:hAnsi="宋体" w:eastAsia="宋体"/>
          <w:sz w:val="28"/>
          <w:szCs w:val="28"/>
        </w:rPr>
      </w:pPr>
      <w:r>
        <w:rPr>
          <w:rFonts w:hint="eastAsia" w:ascii="宋体" w:hAnsi="宋体" w:eastAsia="宋体"/>
          <w:sz w:val="28"/>
          <w:szCs w:val="28"/>
        </w:rPr>
        <w:t>材料要求</w:t>
      </w:r>
    </w:p>
    <w:p w14:paraId="76E7BF56">
      <w:pPr>
        <w:pStyle w:val="46"/>
        <w:spacing w:line="360" w:lineRule="auto"/>
        <w:rPr>
          <w:rFonts w:hAnsi="宋体"/>
          <w:sz w:val="28"/>
          <w:szCs w:val="28"/>
        </w:rPr>
      </w:pPr>
      <w:r>
        <w:rPr>
          <w:rFonts w:hint="eastAsia" w:hAnsi="宋体"/>
          <w:sz w:val="28"/>
          <w:szCs w:val="28"/>
        </w:rPr>
        <w:t>沥青再生剂性能应符合CJJ/T 43的规定，</w:t>
      </w:r>
      <w:r>
        <w:rPr>
          <w:rFonts w:hAnsi="宋体"/>
          <w:sz w:val="28"/>
          <w:szCs w:val="28"/>
        </w:rPr>
        <w:t>其主要技术指标应符合表1的要求，</w:t>
      </w:r>
      <w:r>
        <w:rPr>
          <w:rFonts w:hint="eastAsia" w:hAnsi="宋体"/>
          <w:sz w:val="28"/>
          <w:szCs w:val="28"/>
        </w:rPr>
        <w:t>表1中检测方法应按JTG E20执行。</w:t>
      </w:r>
    </w:p>
    <w:p w14:paraId="33A450B6">
      <w:pPr>
        <w:pStyle w:val="41"/>
        <w:spacing w:before="0" w:beforeLines="0" w:after="0" w:afterLines="0" w:line="360" w:lineRule="auto"/>
        <w:rPr>
          <w:rFonts w:ascii="宋体" w:hAnsi="宋体" w:eastAsia="宋体"/>
          <w:sz w:val="28"/>
          <w:szCs w:val="28"/>
        </w:rPr>
      </w:pPr>
      <w:r>
        <w:rPr>
          <w:rFonts w:hint="eastAsia" w:ascii="宋体" w:hAnsi="宋体" w:eastAsia="宋体"/>
          <w:sz w:val="28"/>
          <w:szCs w:val="28"/>
        </w:rPr>
        <w:t>沥青再生剂的性能指标</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933"/>
        <w:gridCol w:w="2829"/>
        <w:gridCol w:w="2949"/>
      </w:tblGrid>
      <w:tr w14:paraId="251CF1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114" w:type="dxa"/>
            <w:tcBorders>
              <w:top w:val="single" w:color="auto" w:sz="8" w:space="0"/>
              <w:bottom w:val="single" w:color="auto" w:sz="8" w:space="0"/>
            </w:tcBorders>
            <w:vAlign w:val="center"/>
          </w:tcPr>
          <w:p w14:paraId="41B9235E">
            <w:pPr>
              <w:pStyle w:val="48"/>
              <w:spacing w:line="360" w:lineRule="auto"/>
              <w:rPr>
                <w:rFonts w:hAnsi="宋体"/>
                <w:sz w:val="28"/>
                <w:szCs w:val="28"/>
              </w:rPr>
            </w:pPr>
            <w:r>
              <w:rPr>
                <w:rFonts w:hint="eastAsia" w:hAnsi="宋体"/>
                <w:sz w:val="28"/>
                <w:szCs w:val="28"/>
              </w:rPr>
              <w:t>检测项目</w:t>
            </w:r>
          </w:p>
        </w:tc>
        <w:tc>
          <w:tcPr>
            <w:tcW w:w="3115" w:type="dxa"/>
            <w:tcBorders>
              <w:top w:val="single" w:color="auto" w:sz="8" w:space="0"/>
              <w:bottom w:val="single" w:color="auto" w:sz="8" w:space="0"/>
            </w:tcBorders>
            <w:vAlign w:val="center"/>
          </w:tcPr>
          <w:p w14:paraId="768EB166">
            <w:pPr>
              <w:pStyle w:val="48"/>
              <w:spacing w:line="360" w:lineRule="auto"/>
              <w:rPr>
                <w:rFonts w:hAnsi="宋体"/>
                <w:sz w:val="28"/>
                <w:szCs w:val="28"/>
              </w:rPr>
            </w:pPr>
            <w:r>
              <w:rPr>
                <w:rFonts w:hint="eastAsia" w:hAnsi="宋体"/>
                <w:sz w:val="28"/>
                <w:szCs w:val="28"/>
              </w:rPr>
              <w:t>性能指标</w:t>
            </w:r>
          </w:p>
        </w:tc>
        <w:tc>
          <w:tcPr>
            <w:tcW w:w="3115" w:type="dxa"/>
            <w:tcBorders>
              <w:top w:val="single" w:color="auto" w:sz="8" w:space="0"/>
              <w:bottom w:val="single" w:color="auto" w:sz="8" w:space="0"/>
            </w:tcBorders>
            <w:vAlign w:val="center"/>
          </w:tcPr>
          <w:p w14:paraId="5B38979B">
            <w:pPr>
              <w:pStyle w:val="48"/>
              <w:spacing w:line="360" w:lineRule="auto"/>
              <w:rPr>
                <w:rFonts w:hAnsi="宋体"/>
                <w:sz w:val="28"/>
                <w:szCs w:val="28"/>
              </w:rPr>
            </w:pPr>
            <w:r>
              <w:rPr>
                <w:rFonts w:hint="eastAsia" w:hAnsi="宋体"/>
                <w:sz w:val="28"/>
                <w:szCs w:val="28"/>
              </w:rPr>
              <w:t>检测方法</w:t>
            </w:r>
          </w:p>
        </w:tc>
      </w:tr>
      <w:tr w14:paraId="5FC513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4" w:type="dxa"/>
            <w:tcBorders>
              <w:top w:val="single" w:color="auto" w:sz="8" w:space="0"/>
            </w:tcBorders>
            <w:vAlign w:val="center"/>
          </w:tcPr>
          <w:p w14:paraId="62659298">
            <w:pPr>
              <w:pStyle w:val="48"/>
              <w:spacing w:line="360" w:lineRule="auto"/>
              <w:rPr>
                <w:rFonts w:hAnsi="宋体"/>
                <w:sz w:val="28"/>
                <w:szCs w:val="28"/>
              </w:rPr>
            </w:pPr>
            <w:r>
              <w:rPr>
                <w:rFonts w:hint="eastAsia" w:hAnsi="宋体"/>
                <w:sz w:val="28"/>
                <w:szCs w:val="28"/>
              </w:rPr>
              <w:t>60℃黏度/（ mm²/s）</w:t>
            </w:r>
          </w:p>
        </w:tc>
        <w:tc>
          <w:tcPr>
            <w:tcW w:w="3115" w:type="dxa"/>
            <w:tcBorders>
              <w:top w:val="single" w:color="auto" w:sz="8" w:space="0"/>
            </w:tcBorders>
            <w:vAlign w:val="center"/>
          </w:tcPr>
          <w:p w14:paraId="6DB5C86D">
            <w:pPr>
              <w:pStyle w:val="48"/>
              <w:spacing w:line="360" w:lineRule="auto"/>
              <w:rPr>
                <w:rFonts w:hAnsi="宋体"/>
                <w:sz w:val="28"/>
                <w:szCs w:val="28"/>
              </w:rPr>
            </w:pPr>
            <w:r>
              <w:rPr>
                <w:rFonts w:hint="eastAsia" w:hAnsi="宋体"/>
                <w:sz w:val="28"/>
                <w:szCs w:val="28"/>
              </w:rPr>
              <w:t>≥50</w:t>
            </w:r>
          </w:p>
        </w:tc>
        <w:tc>
          <w:tcPr>
            <w:tcW w:w="3115" w:type="dxa"/>
            <w:tcBorders>
              <w:top w:val="single" w:color="auto" w:sz="8" w:space="0"/>
            </w:tcBorders>
            <w:vAlign w:val="center"/>
          </w:tcPr>
          <w:p w14:paraId="71D6FD6C">
            <w:pPr>
              <w:pStyle w:val="48"/>
              <w:spacing w:line="360" w:lineRule="auto"/>
              <w:rPr>
                <w:rFonts w:hAnsi="宋体"/>
                <w:sz w:val="28"/>
                <w:szCs w:val="28"/>
              </w:rPr>
            </w:pPr>
            <w:r>
              <w:rPr>
                <w:rFonts w:hAnsi="宋体"/>
                <w:sz w:val="28"/>
                <w:szCs w:val="28"/>
              </w:rPr>
              <w:t>T0619</w:t>
            </w:r>
          </w:p>
        </w:tc>
      </w:tr>
      <w:tr w14:paraId="58AC28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4" w:type="dxa"/>
            <w:vAlign w:val="center"/>
          </w:tcPr>
          <w:p w14:paraId="269ADA32">
            <w:pPr>
              <w:pStyle w:val="48"/>
              <w:spacing w:line="360" w:lineRule="auto"/>
              <w:rPr>
                <w:rFonts w:hAnsi="宋体"/>
                <w:sz w:val="28"/>
                <w:szCs w:val="28"/>
              </w:rPr>
            </w:pPr>
            <w:r>
              <w:rPr>
                <w:rFonts w:hint="eastAsia" w:hAnsi="宋体"/>
                <w:sz w:val="28"/>
                <w:szCs w:val="28"/>
              </w:rPr>
              <w:t>闪点/℃</w:t>
            </w:r>
          </w:p>
        </w:tc>
        <w:tc>
          <w:tcPr>
            <w:tcW w:w="3115" w:type="dxa"/>
            <w:vAlign w:val="center"/>
          </w:tcPr>
          <w:p w14:paraId="1DB17B3F">
            <w:pPr>
              <w:pStyle w:val="48"/>
              <w:spacing w:line="360" w:lineRule="auto"/>
              <w:rPr>
                <w:rFonts w:hAnsi="宋体"/>
                <w:sz w:val="28"/>
                <w:szCs w:val="28"/>
              </w:rPr>
            </w:pPr>
            <w:r>
              <w:rPr>
                <w:rFonts w:hint="eastAsia" w:hAnsi="宋体"/>
                <w:sz w:val="28"/>
                <w:szCs w:val="28"/>
              </w:rPr>
              <w:t>≥220</w:t>
            </w:r>
          </w:p>
        </w:tc>
        <w:tc>
          <w:tcPr>
            <w:tcW w:w="3115" w:type="dxa"/>
            <w:vAlign w:val="center"/>
          </w:tcPr>
          <w:p w14:paraId="3CD1D383">
            <w:pPr>
              <w:pStyle w:val="48"/>
              <w:spacing w:line="360" w:lineRule="auto"/>
              <w:rPr>
                <w:rFonts w:hAnsi="宋体"/>
                <w:sz w:val="28"/>
                <w:szCs w:val="28"/>
              </w:rPr>
            </w:pPr>
            <w:r>
              <w:rPr>
                <w:rFonts w:hAnsi="宋体"/>
                <w:sz w:val="28"/>
                <w:szCs w:val="28"/>
              </w:rPr>
              <w:t>T0611</w:t>
            </w:r>
          </w:p>
        </w:tc>
      </w:tr>
      <w:tr w14:paraId="19D773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4" w:type="dxa"/>
            <w:vAlign w:val="center"/>
          </w:tcPr>
          <w:p w14:paraId="5F8EFDAC">
            <w:pPr>
              <w:pStyle w:val="48"/>
              <w:spacing w:line="360" w:lineRule="auto"/>
              <w:rPr>
                <w:rFonts w:hAnsi="宋体"/>
                <w:sz w:val="28"/>
                <w:szCs w:val="28"/>
              </w:rPr>
            </w:pPr>
            <w:r>
              <w:rPr>
                <w:rFonts w:hint="eastAsia" w:hAnsi="宋体"/>
                <w:sz w:val="28"/>
                <w:szCs w:val="28"/>
              </w:rPr>
              <w:t>饱和分含量/%</w:t>
            </w:r>
          </w:p>
        </w:tc>
        <w:tc>
          <w:tcPr>
            <w:tcW w:w="3115" w:type="dxa"/>
            <w:vAlign w:val="center"/>
          </w:tcPr>
          <w:p w14:paraId="0BA6A4D3">
            <w:pPr>
              <w:pStyle w:val="48"/>
              <w:spacing w:line="360" w:lineRule="auto"/>
              <w:rPr>
                <w:rFonts w:hAnsi="宋体"/>
                <w:sz w:val="28"/>
                <w:szCs w:val="28"/>
              </w:rPr>
            </w:pPr>
            <w:r>
              <w:rPr>
                <w:rFonts w:hint="eastAsia" w:hAnsi="宋体"/>
                <w:sz w:val="28"/>
                <w:szCs w:val="28"/>
              </w:rPr>
              <w:t>≤30</w:t>
            </w:r>
          </w:p>
        </w:tc>
        <w:tc>
          <w:tcPr>
            <w:tcW w:w="3115" w:type="dxa"/>
            <w:vAlign w:val="center"/>
          </w:tcPr>
          <w:p w14:paraId="130DF75D">
            <w:pPr>
              <w:pStyle w:val="48"/>
              <w:spacing w:line="360" w:lineRule="auto"/>
              <w:rPr>
                <w:rFonts w:hAnsi="宋体"/>
                <w:sz w:val="28"/>
                <w:szCs w:val="28"/>
              </w:rPr>
            </w:pPr>
            <w:r>
              <w:rPr>
                <w:rFonts w:hAnsi="宋体"/>
                <w:sz w:val="28"/>
                <w:szCs w:val="28"/>
              </w:rPr>
              <w:t>T0618</w:t>
            </w:r>
          </w:p>
        </w:tc>
      </w:tr>
      <w:tr w14:paraId="0D8E19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4" w:type="dxa"/>
            <w:vAlign w:val="center"/>
          </w:tcPr>
          <w:p w14:paraId="7986BCA2">
            <w:pPr>
              <w:pStyle w:val="48"/>
              <w:spacing w:line="360" w:lineRule="auto"/>
              <w:rPr>
                <w:rFonts w:hAnsi="宋体"/>
                <w:sz w:val="28"/>
                <w:szCs w:val="28"/>
              </w:rPr>
            </w:pPr>
            <w:r>
              <w:rPr>
                <w:rFonts w:hint="eastAsia" w:hAnsi="宋体"/>
                <w:sz w:val="28"/>
                <w:szCs w:val="28"/>
              </w:rPr>
              <w:t>芳香分含量/%</w:t>
            </w:r>
          </w:p>
        </w:tc>
        <w:tc>
          <w:tcPr>
            <w:tcW w:w="3115" w:type="dxa"/>
            <w:vAlign w:val="center"/>
          </w:tcPr>
          <w:p w14:paraId="40FF90E2">
            <w:pPr>
              <w:pStyle w:val="48"/>
              <w:spacing w:line="360" w:lineRule="auto"/>
              <w:rPr>
                <w:rFonts w:hAnsi="宋体"/>
                <w:sz w:val="28"/>
                <w:szCs w:val="28"/>
              </w:rPr>
            </w:pPr>
            <w:r>
              <w:rPr>
                <w:rFonts w:hint="eastAsia" w:hAnsi="宋体"/>
                <w:sz w:val="28"/>
                <w:szCs w:val="28"/>
              </w:rPr>
              <w:t>≥60</w:t>
            </w:r>
          </w:p>
        </w:tc>
        <w:tc>
          <w:tcPr>
            <w:tcW w:w="3115" w:type="dxa"/>
            <w:vAlign w:val="center"/>
          </w:tcPr>
          <w:p w14:paraId="2765F5A9">
            <w:pPr>
              <w:pStyle w:val="48"/>
              <w:spacing w:line="360" w:lineRule="auto"/>
              <w:rPr>
                <w:rFonts w:hAnsi="宋体"/>
                <w:sz w:val="28"/>
                <w:szCs w:val="28"/>
              </w:rPr>
            </w:pPr>
            <w:r>
              <w:rPr>
                <w:rFonts w:hAnsi="宋体"/>
                <w:sz w:val="28"/>
                <w:szCs w:val="28"/>
              </w:rPr>
              <w:t>T0618</w:t>
            </w:r>
          </w:p>
        </w:tc>
      </w:tr>
      <w:tr w14:paraId="59FC85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4" w:type="dxa"/>
            <w:vAlign w:val="center"/>
          </w:tcPr>
          <w:p w14:paraId="1F7FC8C7">
            <w:pPr>
              <w:pStyle w:val="48"/>
              <w:spacing w:line="360" w:lineRule="auto"/>
              <w:rPr>
                <w:rFonts w:hAnsi="宋体"/>
                <w:sz w:val="28"/>
                <w:szCs w:val="28"/>
              </w:rPr>
            </w:pPr>
            <w:r>
              <w:rPr>
                <w:rFonts w:hint="eastAsia" w:hAnsi="宋体"/>
                <w:sz w:val="28"/>
                <w:szCs w:val="28"/>
              </w:rPr>
              <w:t>薄膜烘箱试验前后黏度对比</w:t>
            </w:r>
          </w:p>
        </w:tc>
        <w:tc>
          <w:tcPr>
            <w:tcW w:w="3115" w:type="dxa"/>
            <w:vAlign w:val="center"/>
          </w:tcPr>
          <w:p w14:paraId="044639D6">
            <w:pPr>
              <w:pStyle w:val="48"/>
              <w:spacing w:line="360" w:lineRule="auto"/>
              <w:rPr>
                <w:rFonts w:hAnsi="宋体"/>
                <w:sz w:val="28"/>
                <w:szCs w:val="28"/>
              </w:rPr>
            </w:pPr>
            <w:r>
              <w:rPr>
                <w:rFonts w:hint="eastAsia" w:hAnsi="宋体"/>
                <w:sz w:val="28"/>
                <w:szCs w:val="28"/>
              </w:rPr>
              <w:t>≤3</w:t>
            </w:r>
          </w:p>
        </w:tc>
        <w:tc>
          <w:tcPr>
            <w:tcW w:w="3115" w:type="dxa"/>
            <w:vAlign w:val="center"/>
          </w:tcPr>
          <w:p w14:paraId="15257B6B">
            <w:pPr>
              <w:pStyle w:val="48"/>
              <w:spacing w:line="360" w:lineRule="auto"/>
              <w:rPr>
                <w:rFonts w:hAnsi="宋体"/>
                <w:sz w:val="28"/>
                <w:szCs w:val="28"/>
              </w:rPr>
            </w:pPr>
            <w:r>
              <w:rPr>
                <w:rFonts w:hAnsi="宋体"/>
                <w:sz w:val="28"/>
                <w:szCs w:val="28"/>
              </w:rPr>
              <w:t>T0619</w:t>
            </w:r>
          </w:p>
        </w:tc>
      </w:tr>
      <w:tr w14:paraId="474369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4" w:type="dxa"/>
            <w:vAlign w:val="center"/>
          </w:tcPr>
          <w:p w14:paraId="47AB7918">
            <w:pPr>
              <w:pStyle w:val="48"/>
              <w:spacing w:line="360" w:lineRule="auto"/>
              <w:rPr>
                <w:rFonts w:hAnsi="宋体"/>
                <w:sz w:val="28"/>
                <w:szCs w:val="28"/>
              </w:rPr>
            </w:pPr>
            <w:r>
              <w:rPr>
                <w:rFonts w:hint="eastAsia" w:hAnsi="宋体"/>
                <w:sz w:val="28"/>
                <w:szCs w:val="28"/>
              </w:rPr>
              <w:t>薄膜烘箱试验前后质量变化/%</w:t>
            </w:r>
          </w:p>
        </w:tc>
        <w:tc>
          <w:tcPr>
            <w:tcW w:w="3115" w:type="dxa"/>
            <w:vAlign w:val="center"/>
          </w:tcPr>
          <w:p w14:paraId="185161F1">
            <w:pPr>
              <w:pStyle w:val="48"/>
              <w:spacing w:line="360" w:lineRule="auto"/>
              <w:rPr>
                <w:rFonts w:hAnsi="宋体"/>
                <w:sz w:val="28"/>
                <w:szCs w:val="28"/>
              </w:rPr>
            </w:pPr>
            <w:r>
              <w:rPr>
                <w:rFonts w:hint="eastAsia" w:hAnsi="宋体"/>
                <w:sz w:val="28"/>
                <w:szCs w:val="28"/>
              </w:rPr>
              <w:t>≤4</w:t>
            </w:r>
          </w:p>
        </w:tc>
        <w:tc>
          <w:tcPr>
            <w:tcW w:w="3115" w:type="dxa"/>
            <w:vAlign w:val="center"/>
          </w:tcPr>
          <w:p w14:paraId="05271453">
            <w:pPr>
              <w:pStyle w:val="48"/>
              <w:spacing w:line="360" w:lineRule="auto"/>
              <w:rPr>
                <w:rFonts w:hAnsi="宋体"/>
                <w:sz w:val="28"/>
                <w:szCs w:val="28"/>
              </w:rPr>
            </w:pPr>
            <w:r>
              <w:rPr>
                <w:rFonts w:hAnsi="宋体"/>
                <w:sz w:val="28"/>
                <w:szCs w:val="28"/>
              </w:rPr>
              <w:t>T0609/T0610</w:t>
            </w:r>
          </w:p>
        </w:tc>
      </w:tr>
      <w:tr w14:paraId="622118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4" w:type="dxa"/>
            <w:vAlign w:val="center"/>
          </w:tcPr>
          <w:p w14:paraId="002D7A31">
            <w:pPr>
              <w:pStyle w:val="48"/>
              <w:spacing w:line="360" w:lineRule="auto"/>
              <w:rPr>
                <w:rFonts w:hAnsi="宋体"/>
                <w:sz w:val="28"/>
                <w:szCs w:val="28"/>
              </w:rPr>
            </w:pPr>
            <w:r>
              <w:rPr>
                <w:rFonts w:hint="eastAsia" w:hAnsi="宋体"/>
                <w:sz w:val="28"/>
                <w:szCs w:val="28"/>
              </w:rPr>
              <w:t>相对密度</w:t>
            </w:r>
          </w:p>
        </w:tc>
        <w:tc>
          <w:tcPr>
            <w:tcW w:w="3115" w:type="dxa"/>
            <w:vAlign w:val="center"/>
          </w:tcPr>
          <w:p w14:paraId="6BB54AC4">
            <w:pPr>
              <w:pStyle w:val="48"/>
              <w:spacing w:line="360" w:lineRule="auto"/>
              <w:rPr>
                <w:rFonts w:hAnsi="宋体"/>
                <w:sz w:val="28"/>
                <w:szCs w:val="28"/>
              </w:rPr>
            </w:pPr>
            <w:r>
              <w:rPr>
                <w:rFonts w:hint="eastAsia" w:hAnsi="宋体"/>
                <w:sz w:val="28"/>
                <w:szCs w:val="28"/>
              </w:rPr>
              <w:t>实测</w:t>
            </w:r>
          </w:p>
        </w:tc>
        <w:tc>
          <w:tcPr>
            <w:tcW w:w="3115" w:type="dxa"/>
            <w:vAlign w:val="center"/>
          </w:tcPr>
          <w:p w14:paraId="25023E69">
            <w:pPr>
              <w:pStyle w:val="48"/>
              <w:spacing w:line="360" w:lineRule="auto"/>
              <w:rPr>
                <w:rFonts w:hAnsi="宋体"/>
                <w:sz w:val="28"/>
                <w:szCs w:val="28"/>
              </w:rPr>
            </w:pPr>
            <w:r>
              <w:rPr>
                <w:rFonts w:hAnsi="宋体"/>
                <w:sz w:val="28"/>
                <w:szCs w:val="28"/>
              </w:rPr>
              <w:t>T0603</w:t>
            </w:r>
          </w:p>
        </w:tc>
      </w:tr>
    </w:tbl>
    <w:p w14:paraId="2AA5EAF2">
      <w:pPr>
        <w:pStyle w:val="34"/>
        <w:spacing w:line="360" w:lineRule="auto"/>
        <w:ind w:firstLine="560"/>
        <w:rPr>
          <w:rFonts w:hAnsi="宋体"/>
          <w:sz w:val="28"/>
          <w:szCs w:val="28"/>
        </w:rPr>
      </w:pPr>
    </w:p>
    <w:p w14:paraId="3A330F6B">
      <w:pPr>
        <w:pStyle w:val="46"/>
        <w:spacing w:line="360" w:lineRule="auto"/>
        <w:rPr>
          <w:rFonts w:hAnsi="宋体"/>
          <w:sz w:val="28"/>
          <w:szCs w:val="28"/>
        </w:rPr>
      </w:pPr>
      <w:r>
        <w:rPr>
          <w:rFonts w:hint="eastAsia" w:hAnsi="宋体"/>
          <w:sz w:val="28"/>
          <w:szCs w:val="28"/>
        </w:rPr>
        <w:t>乳化沥青性能应符合CJJ 1的规定，宜采用阳离子快裂型改性乳化沥青，具体性能指标应符合表2中的规定。</w:t>
      </w:r>
    </w:p>
    <w:p w14:paraId="53E35CFA">
      <w:pPr>
        <w:pStyle w:val="41"/>
        <w:spacing w:before="0" w:beforeLines="0" w:after="0" w:afterLines="0" w:line="360" w:lineRule="auto"/>
        <w:rPr>
          <w:rFonts w:ascii="宋体" w:hAnsi="宋体" w:eastAsia="宋体"/>
          <w:sz w:val="28"/>
          <w:szCs w:val="28"/>
        </w:rPr>
      </w:pPr>
      <w:r>
        <w:rPr>
          <w:rFonts w:hint="eastAsia" w:ascii="宋体" w:hAnsi="宋体" w:eastAsia="宋体"/>
          <w:sz w:val="28"/>
          <w:szCs w:val="28"/>
        </w:rPr>
        <w:t>乳化沥青的性能指标</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550"/>
        <w:gridCol w:w="2806"/>
        <w:gridCol w:w="2184"/>
        <w:gridCol w:w="2171"/>
      </w:tblGrid>
      <w:tr w14:paraId="391B1D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4668" w:type="dxa"/>
            <w:gridSpan w:val="2"/>
            <w:tcBorders>
              <w:top w:val="single" w:color="auto" w:sz="8" w:space="0"/>
              <w:bottom w:val="single" w:color="auto" w:sz="8" w:space="0"/>
            </w:tcBorders>
            <w:vAlign w:val="center"/>
          </w:tcPr>
          <w:p w14:paraId="5472CC3E">
            <w:pPr>
              <w:pStyle w:val="48"/>
              <w:spacing w:line="360" w:lineRule="auto"/>
              <w:rPr>
                <w:rFonts w:hAnsi="宋体"/>
                <w:sz w:val="28"/>
                <w:szCs w:val="28"/>
              </w:rPr>
            </w:pPr>
            <w:r>
              <w:rPr>
                <w:rFonts w:hint="eastAsia" w:hAnsi="宋体"/>
                <w:sz w:val="28"/>
                <w:szCs w:val="28"/>
              </w:rPr>
              <w:t>检测项目</w:t>
            </w:r>
          </w:p>
        </w:tc>
        <w:tc>
          <w:tcPr>
            <w:tcW w:w="2333" w:type="dxa"/>
            <w:tcBorders>
              <w:top w:val="single" w:color="auto" w:sz="8" w:space="0"/>
              <w:bottom w:val="single" w:color="auto" w:sz="8" w:space="0"/>
            </w:tcBorders>
            <w:vAlign w:val="center"/>
          </w:tcPr>
          <w:p w14:paraId="5312562A">
            <w:pPr>
              <w:pStyle w:val="48"/>
              <w:spacing w:line="360" w:lineRule="auto"/>
              <w:rPr>
                <w:rFonts w:hAnsi="宋体"/>
                <w:sz w:val="28"/>
                <w:szCs w:val="28"/>
              </w:rPr>
            </w:pPr>
            <w:r>
              <w:rPr>
                <w:rFonts w:hint="eastAsia" w:hAnsi="宋体"/>
                <w:sz w:val="28"/>
                <w:szCs w:val="28"/>
              </w:rPr>
              <w:t>性能指标</w:t>
            </w:r>
          </w:p>
        </w:tc>
        <w:tc>
          <w:tcPr>
            <w:tcW w:w="2333" w:type="dxa"/>
            <w:tcBorders>
              <w:top w:val="single" w:color="auto" w:sz="8" w:space="0"/>
              <w:bottom w:val="single" w:color="auto" w:sz="8" w:space="0"/>
            </w:tcBorders>
            <w:vAlign w:val="center"/>
          </w:tcPr>
          <w:p w14:paraId="01807BD4">
            <w:pPr>
              <w:pStyle w:val="48"/>
              <w:spacing w:line="360" w:lineRule="auto"/>
              <w:rPr>
                <w:rFonts w:hAnsi="宋体"/>
                <w:sz w:val="28"/>
                <w:szCs w:val="28"/>
              </w:rPr>
            </w:pPr>
            <w:r>
              <w:rPr>
                <w:rFonts w:hint="eastAsia" w:hAnsi="宋体"/>
                <w:sz w:val="28"/>
                <w:szCs w:val="28"/>
              </w:rPr>
              <w:t>检测方法</w:t>
            </w:r>
          </w:p>
        </w:tc>
      </w:tr>
      <w:tr w14:paraId="79E397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8" w:type="dxa"/>
            <w:gridSpan w:val="2"/>
            <w:tcBorders>
              <w:top w:val="single" w:color="auto" w:sz="8" w:space="0"/>
            </w:tcBorders>
            <w:vAlign w:val="center"/>
          </w:tcPr>
          <w:p w14:paraId="6037506C">
            <w:pPr>
              <w:pStyle w:val="48"/>
              <w:spacing w:line="360" w:lineRule="auto"/>
              <w:rPr>
                <w:rFonts w:hAnsi="宋体"/>
                <w:sz w:val="28"/>
                <w:szCs w:val="28"/>
              </w:rPr>
            </w:pPr>
            <w:r>
              <w:rPr>
                <w:rFonts w:hint="eastAsia" w:hAnsi="宋体"/>
                <w:sz w:val="28"/>
                <w:szCs w:val="28"/>
              </w:rPr>
              <w:t>筛上残留物（1.8mm筛）/%</w:t>
            </w:r>
          </w:p>
        </w:tc>
        <w:tc>
          <w:tcPr>
            <w:tcW w:w="2333" w:type="dxa"/>
            <w:tcBorders>
              <w:top w:val="single" w:color="auto" w:sz="8" w:space="0"/>
            </w:tcBorders>
            <w:vAlign w:val="center"/>
          </w:tcPr>
          <w:p w14:paraId="45152177">
            <w:pPr>
              <w:pStyle w:val="48"/>
              <w:spacing w:line="360" w:lineRule="auto"/>
              <w:rPr>
                <w:rFonts w:hAnsi="宋体"/>
                <w:sz w:val="28"/>
                <w:szCs w:val="28"/>
              </w:rPr>
            </w:pPr>
            <w:r>
              <w:rPr>
                <w:rFonts w:hint="eastAsia" w:hAnsi="宋体"/>
                <w:sz w:val="28"/>
                <w:szCs w:val="28"/>
              </w:rPr>
              <w:t>≤0.1</w:t>
            </w:r>
          </w:p>
        </w:tc>
        <w:tc>
          <w:tcPr>
            <w:tcW w:w="2333" w:type="dxa"/>
            <w:tcBorders>
              <w:top w:val="single" w:color="auto" w:sz="8" w:space="0"/>
            </w:tcBorders>
            <w:vAlign w:val="center"/>
          </w:tcPr>
          <w:p w14:paraId="56B1B117">
            <w:pPr>
              <w:pStyle w:val="48"/>
              <w:spacing w:line="360" w:lineRule="auto"/>
              <w:rPr>
                <w:rFonts w:hAnsi="宋体"/>
                <w:sz w:val="28"/>
                <w:szCs w:val="28"/>
              </w:rPr>
            </w:pPr>
            <w:r>
              <w:rPr>
                <w:rFonts w:hAnsi="宋体"/>
                <w:sz w:val="28"/>
                <w:szCs w:val="28"/>
              </w:rPr>
              <w:t>T0652</w:t>
            </w:r>
          </w:p>
        </w:tc>
      </w:tr>
      <w:tr w14:paraId="1334FC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8" w:type="dxa"/>
            <w:gridSpan w:val="2"/>
            <w:vAlign w:val="center"/>
          </w:tcPr>
          <w:p w14:paraId="2B39A7AF">
            <w:pPr>
              <w:pStyle w:val="48"/>
              <w:spacing w:line="360" w:lineRule="auto"/>
              <w:rPr>
                <w:rFonts w:hAnsi="宋体"/>
                <w:sz w:val="28"/>
                <w:szCs w:val="28"/>
              </w:rPr>
            </w:pPr>
            <w:r>
              <w:rPr>
                <w:rFonts w:hint="eastAsia" w:hAnsi="宋体"/>
                <w:sz w:val="28"/>
                <w:szCs w:val="28"/>
              </w:rPr>
              <w:t>沥青标准粘度计/s</w:t>
            </w:r>
          </w:p>
        </w:tc>
        <w:tc>
          <w:tcPr>
            <w:tcW w:w="2333" w:type="dxa"/>
            <w:vAlign w:val="center"/>
          </w:tcPr>
          <w:p w14:paraId="5DE2A589">
            <w:pPr>
              <w:pStyle w:val="48"/>
              <w:spacing w:line="360" w:lineRule="auto"/>
              <w:rPr>
                <w:rFonts w:hAnsi="宋体"/>
                <w:sz w:val="28"/>
                <w:szCs w:val="28"/>
              </w:rPr>
            </w:pPr>
            <w:r>
              <w:rPr>
                <w:rFonts w:hAnsi="宋体"/>
                <w:sz w:val="28"/>
                <w:szCs w:val="28"/>
              </w:rPr>
              <w:t>8-25</w:t>
            </w:r>
          </w:p>
        </w:tc>
        <w:tc>
          <w:tcPr>
            <w:tcW w:w="2333" w:type="dxa"/>
            <w:vAlign w:val="center"/>
          </w:tcPr>
          <w:p w14:paraId="5AF5651D">
            <w:pPr>
              <w:pStyle w:val="48"/>
              <w:spacing w:line="360" w:lineRule="auto"/>
              <w:rPr>
                <w:rFonts w:hAnsi="宋体"/>
                <w:sz w:val="28"/>
                <w:szCs w:val="28"/>
              </w:rPr>
            </w:pPr>
            <w:r>
              <w:rPr>
                <w:rFonts w:hAnsi="宋体"/>
                <w:sz w:val="28"/>
                <w:szCs w:val="28"/>
              </w:rPr>
              <w:t>T0621</w:t>
            </w:r>
          </w:p>
        </w:tc>
      </w:tr>
      <w:tr w14:paraId="4B3EA9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vMerge w:val="restart"/>
            <w:vAlign w:val="center"/>
          </w:tcPr>
          <w:p w14:paraId="72C3C059">
            <w:pPr>
              <w:pStyle w:val="48"/>
              <w:spacing w:line="360" w:lineRule="auto"/>
              <w:rPr>
                <w:rFonts w:hAnsi="宋体"/>
                <w:sz w:val="28"/>
                <w:szCs w:val="28"/>
              </w:rPr>
            </w:pPr>
            <w:r>
              <w:rPr>
                <w:rFonts w:hint="eastAsia" w:hAnsi="宋体"/>
                <w:sz w:val="28"/>
                <w:szCs w:val="28"/>
              </w:rPr>
              <w:t>蒸发残留物</w:t>
            </w:r>
          </w:p>
        </w:tc>
        <w:tc>
          <w:tcPr>
            <w:tcW w:w="2977" w:type="dxa"/>
            <w:vAlign w:val="center"/>
          </w:tcPr>
          <w:p w14:paraId="5AB71ABB">
            <w:pPr>
              <w:pStyle w:val="48"/>
              <w:spacing w:line="360" w:lineRule="auto"/>
              <w:rPr>
                <w:rFonts w:hAnsi="宋体"/>
                <w:sz w:val="28"/>
                <w:szCs w:val="28"/>
              </w:rPr>
            </w:pPr>
            <w:r>
              <w:rPr>
                <w:rFonts w:hint="eastAsia" w:hAnsi="宋体"/>
                <w:sz w:val="28"/>
                <w:szCs w:val="28"/>
              </w:rPr>
              <w:t>含量/%</w:t>
            </w:r>
          </w:p>
        </w:tc>
        <w:tc>
          <w:tcPr>
            <w:tcW w:w="2333" w:type="dxa"/>
            <w:vAlign w:val="center"/>
          </w:tcPr>
          <w:p w14:paraId="3D895046">
            <w:pPr>
              <w:pStyle w:val="48"/>
              <w:spacing w:line="360" w:lineRule="auto"/>
              <w:rPr>
                <w:rFonts w:hAnsi="宋体"/>
                <w:sz w:val="28"/>
                <w:szCs w:val="28"/>
              </w:rPr>
            </w:pPr>
            <w:r>
              <w:rPr>
                <w:rFonts w:hint="eastAsia" w:hAnsi="宋体"/>
                <w:sz w:val="28"/>
                <w:szCs w:val="28"/>
              </w:rPr>
              <w:t>≥50</w:t>
            </w:r>
          </w:p>
        </w:tc>
        <w:tc>
          <w:tcPr>
            <w:tcW w:w="2333" w:type="dxa"/>
            <w:vAlign w:val="center"/>
          </w:tcPr>
          <w:p w14:paraId="57D96D30">
            <w:pPr>
              <w:pStyle w:val="48"/>
              <w:spacing w:line="360" w:lineRule="auto"/>
              <w:rPr>
                <w:rFonts w:hAnsi="宋体"/>
                <w:sz w:val="28"/>
                <w:szCs w:val="28"/>
              </w:rPr>
            </w:pPr>
            <w:r>
              <w:rPr>
                <w:rFonts w:hAnsi="宋体"/>
                <w:sz w:val="28"/>
                <w:szCs w:val="28"/>
              </w:rPr>
              <w:t>T0651</w:t>
            </w:r>
          </w:p>
        </w:tc>
      </w:tr>
      <w:tr w14:paraId="02367A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vMerge w:val="continue"/>
            <w:vAlign w:val="center"/>
          </w:tcPr>
          <w:p w14:paraId="3DFA406A">
            <w:pPr>
              <w:pStyle w:val="48"/>
              <w:spacing w:line="360" w:lineRule="auto"/>
              <w:rPr>
                <w:rFonts w:hAnsi="宋体"/>
                <w:sz w:val="28"/>
                <w:szCs w:val="28"/>
              </w:rPr>
            </w:pPr>
          </w:p>
        </w:tc>
        <w:tc>
          <w:tcPr>
            <w:tcW w:w="2977" w:type="dxa"/>
            <w:vAlign w:val="center"/>
          </w:tcPr>
          <w:p w14:paraId="4485E7F7">
            <w:pPr>
              <w:pStyle w:val="48"/>
              <w:spacing w:line="360" w:lineRule="auto"/>
              <w:rPr>
                <w:rFonts w:hAnsi="宋体"/>
                <w:sz w:val="28"/>
                <w:szCs w:val="28"/>
              </w:rPr>
            </w:pPr>
            <w:r>
              <w:rPr>
                <w:rFonts w:hint="eastAsia" w:hAnsi="宋体"/>
                <w:sz w:val="28"/>
                <w:szCs w:val="28"/>
              </w:rPr>
              <w:t>溶解度（三氯乙烯 ） /%</w:t>
            </w:r>
          </w:p>
        </w:tc>
        <w:tc>
          <w:tcPr>
            <w:tcW w:w="2333" w:type="dxa"/>
            <w:vAlign w:val="center"/>
          </w:tcPr>
          <w:p w14:paraId="6020D72E">
            <w:pPr>
              <w:pStyle w:val="48"/>
              <w:spacing w:line="360" w:lineRule="auto"/>
              <w:rPr>
                <w:rFonts w:hAnsi="宋体"/>
                <w:sz w:val="28"/>
                <w:szCs w:val="28"/>
              </w:rPr>
            </w:pPr>
            <w:r>
              <w:rPr>
                <w:rFonts w:hint="eastAsia" w:hAnsi="宋体"/>
                <w:sz w:val="28"/>
                <w:szCs w:val="28"/>
              </w:rPr>
              <w:t>≥97.5</w:t>
            </w:r>
          </w:p>
        </w:tc>
        <w:tc>
          <w:tcPr>
            <w:tcW w:w="2333" w:type="dxa"/>
            <w:vAlign w:val="center"/>
          </w:tcPr>
          <w:p w14:paraId="66EBE17E">
            <w:pPr>
              <w:pStyle w:val="48"/>
              <w:spacing w:line="360" w:lineRule="auto"/>
              <w:rPr>
                <w:rFonts w:hAnsi="宋体"/>
                <w:sz w:val="28"/>
                <w:szCs w:val="28"/>
              </w:rPr>
            </w:pPr>
            <w:r>
              <w:rPr>
                <w:rFonts w:hAnsi="宋体"/>
                <w:sz w:val="28"/>
                <w:szCs w:val="28"/>
              </w:rPr>
              <w:t>T0607</w:t>
            </w:r>
          </w:p>
        </w:tc>
      </w:tr>
      <w:tr w14:paraId="5F2DCD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vMerge w:val="continue"/>
            <w:vAlign w:val="center"/>
          </w:tcPr>
          <w:p w14:paraId="7EFA4DFD">
            <w:pPr>
              <w:pStyle w:val="48"/>
              <w:spacing w:line="360" w:lineRule="auto"/>
              <w:rPr>
                <w:rFonts w:hAnsi="宋体"/>
                <w:sz w:val="28"/>
                <w:szCs w:val="28"/>
              </w:rPr>
            </w:pPr>
          </w:p>
        </w:tc>
        <w:tc>
          <w:tcPr>
            <w:tcW w:w="2977" w:type="dxa"/>
            <w:vAlign w:val="center"/>
          </w:tcPr>
          <w:p w14:paraId="638ED8D9">
            <w:pPr>
              <w:pStyle w:val="48"/>
              <w:spacing w:line="360" w:lineRule="auto"/>
              <w:rPr>
                <w:rFonts w:hAnsi="宋体"/>
                <w:sz w:val="28"/>
                <w:szCs w:val="28"/>
              </w:rPr>
            </w:pPr>
            <w:r>
              <w:rPr>
                <w:rFonts w:hint="eastAsia" w:hAnsi="宋体"/>
                <w:sz w:val="28"/>
                <w:szCs w:val="28"/>
              </w:rPr>
              <w:t>针入度（100 g、25℃、5 s）（0.1mm）</w:t>
            </w:r>
          </w:p>
        </w:tc>
        <w:tc>
          <w:tcPr>
            <w:tcW w:w="2333" w:type="dxa"/>
            <w:vAlign w:val="center"/>
          </w:tcPr>
          <w:p w14:paraId="7A21EA00">
            <w:pPr>
              <w:pStyle w:val="48"/>
              <w:spacing w:line="360" w:lineRule="auto"/>
              <w:rPr>
                <w:rFonts w:hAnsi="宋体"/>
                <w:sz w:val="28"/>
                <w:szCs w:val="28"/>
              </w:rPr>
            </w:pPr>
            <w:r>
              <w:rPr>
                <w:rFonts w:hAnsi="宋体"/>
                <w:sz w:val="28"/>
                <w:szCs w:val="28"/>
              </w:rPr>
              <w:t>40~120</w:t>
            </w:r>
          </w:p>
        </w:tc>
        <w:tc>
          <w:tcPr>
            <w:tcW w:w="2333" w:type="dxa"/>
            <w:vAlign w:val="center"/>
          </w:tcPr>
          <w:p w14:paraId="021AF4CB">
            <w:pPr>
              <w:pStyle w:val="48"/>
              <w:spacing w:line="360" w:lineRule="auto"/>
              <w:rPr>
                <w:rFonts w:hAnsi="宋体"/>
                <w:sz w:val="28"/>
                <w:szCs w:val="28"/>
              </w:rPr>
            </w:pPr>
            <w:r>
              <w:rPr>
                <w:rFonts w:hAnsi="宋体"/>
                <w:sz w:val="28"/>
                <w:szCs w:val="28"/>
              </w:rPr>
              <w:t>T0604</w:t>
            </w:r>
          </w:p>
        </w:tc>
      </w:tr>
      <w:tr w14:paraId="4C4931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vMerge w:val="continue"/>
            <w:vAlign w:val="center"/>
          </w:tcPr>
          <w:p w14:paraId="7B39A146">
            <w:pPr>
              <w:pStyle w:val="48"/>
              <w:spacing w:line="360" w:lineRule="auto"/>
              <w:rPr>
                <w:rFonts w:hAnsi="宋体"/>
                <w:sz w:val="28"/>
                <w:szCs w:val="28"/>
              </w:rPr>
            </w:pPr>
          </w:p>
        </w:tc>
        <w:tc>
          <w:tcPr>
            <w:tcW w:w="2977" w:type="dxa"/>
            <w:vAlign w:val="center"/>
          </w:tcPr>
          <w:p w14:paraId="6CECE952">
            <w:pPr>
              <w:pStyle w:val="48"/>
              <w:spacing w:line="360" w:lineRule="auto"/>
              <w:rPr>
                <w:rFonts w:hAnsi="宋体"/>
                <w:sz w:val="28"/>
                <w:szCs w:val="28"/>
              </w:rPr>
            </w:pPr>
            <w:r>
              <w:rPr>
                <w:rFonts w:hint="eastAsia" w:hAnsi="宋体"/>
                <w:sz w:val="28"/>
                <w:szCs w:val="28"/>
              </w:rPr>
              <w:t>延度（5℃）/cm</w:t>
            </w:r>
          </w:p>
        </w:tc>
        <w:tc>
          <w:tcPr>
            <w:tcW w:w="2333" w:type="dxa"/>
            <w:vAlign w:val="center"/>
          </w:tcPr>
          <w:p w14:paraId="57BFE866">
            <w:pPr>
              <w:pStyle w:val="48"/>
              <w:spacing w:line="360" w:lineRule="auto"/>
              <w:rPr>
                <w:rFonts w:hAnsi="宋体"/>
                <w:sz w:val="28"/>
                <w:szCs w:val="28"/>
              </w:rPr>
            </w:pPr>
            <w:r>
              <w:rPr>
                <w:rFonts w:hAnsi="宋体"/>
                <w:sz w:val="28"/>
                <w:szCs w:val="28"/>
              </w:rPr>
              <w:t>20</w:t>
            </w:r>
          </w:p>
        </w:tc>
        <w:tc>
          <w:tcPr>
            <w:tcW w:w="2333" w:type="dxa"/>
            <w:vAlign w:val="center"/>
          </w:tcPr>
          <w:p w14:paraId="78436366">
            <w:pPr>
              <w:pStyle w:val="48"/>
              <w:spacing w:line="360" w:lineRule="auto"/>
              <w:rPr>
                <w:rFonts w:hAnsi="宋体"/>
                <w:sz w:val="28"/>
                <w:szCs w:val="28"/>
              </w:rPr>
            </w:pPr>
            <w:r>
              <w:rPr>
                <w:rFonts w:hAnsi="宋体"/>
                <w:sz w:val="28"/>
                <w:szCs w:val="28"/>
              </w:rPr>
              <w:t>T0605</w:t>
            </w:r>
          </w:p>
        </w:tc>
      </w:tr>
      <w:tr w14:paraId="2F6227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vMerge w:val="continue"/>
            <w:vAlign w:val="center"/>
          </w:tcPr>
          <w:p w14:paraId="2F082EC2">
            <w:pPr>
              <w:pStyle w:val="48"/>
              <w:spacing w:line="360" w:lineRule="auto"/>
              <w:rPr>
                <w:rFonts w:hAnsi="宋体"/>
                <w:sz w:val="28"/>
                <w:szCs w:val="28"/>
              </w:rPr>
            </w:pPr>
          </w:p>
        </w:tc>
        <w:tc>
          <w:tcPr>
            <w:tcW w:w="2977" w:type="dxa"/>
            <w:vAlign w:val="center"/>
          </w:tcPr>
          <w:p w14:paraId="67F6A589">
            <w:pPr>
              <w:pStyle w:val="48"/>
              <w:spacing w:line="360" w:lineRule="auto"/>
              <w:rPr>
                <w:rFonts w:hAnsi="宋体"/>
                <w:sz w:val="28"/>
                <w:szCs w:val="28"/>
              </w:rPr>
            </w:pPr>
            <w:r>
              <w:rPr>
                <w:rFonts w:hint="eastAsia" w:hAnsi="宋体"/>
                <w:sz w:val="28"/>
                <w:szCs w:val="28"/>
              </w:rPr>
              <w:t>软化点/℃</w:t>
            </w:r>
          </w:p>
        </w:tc>
        <w:tc>
          <w:tcPr>
            <w:tcW w:w="2333" w:type="dxa"/>
            <w:vAlign w:val="center"/>
          </w:tcPr>
          <w:p w14:paraId="7C396989">
            <w:pPr>
              <w:pStyle w:val="48"/>
              <w:spacing w:line="360" w:lineRule="auto"/>
              <w:rPr>
                <w:rFonts w:hAnsi="宋体"/>
                <w:sz w:val="28"/>
                <w:szCs w:val="28"/>
              </w:rPr>
            </w:pPr>
            <w:r>
              <w:rPr>
                <w:rFonts w:hint="eastAsia" w:hAnsi="宋体"/>
                <w:sz w:val="28"/>
                <w:szCs w:val="28"/>
              </w:rPr>
              <w:t>≥50</w:t>
            </w:r>
          </w:p>
        </w:tc>
        <w:tc>
          <w:tcPr>
            <w:tcW w:w="2333" w:type="dxa"/>
            <w:vAlign w:val="center"/>
          </w:tcPr>
          <w:p w14:paraId="419294C5">
            <w:pPr>
              <w:pStyle w:val="48"/>
              <w:spacing w:line="360" w:lineRule="auto"/>
              <w:rPr>
                <w:rFonts w:hAnsi="宋体"/>
                <w:sz w:val="28"/>
                <w:szCs w:val="28"/>
              </w:rPr>
            </w:pPr>
            <w:r>
              <w:rPr>
                <w:rFonts w:hAnsi="宋体"/>
                <w:sz w:val="28"/>
                <w:szCs w:val="28"/>
              </w:rPr>
              <w:t>T0606</w:t>
            </w:r>
          </w:p>
        </w:tc>
      </w:tr>
      <w:tr w14:paraId="3A6488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8" w:type="dxa"/>
            <w:gridSpan w:val="2"/>
            <w:vAlign w:val="center"/>
          </w:tcPr>
          <w:p w14:paraId="63A196B1">
            <w:pPr>
              <w:pStyle w:val="48"/>
              <w:spacing w:line="360" w:lineRule="auto"/>
              <w:rPr>
                <w:rFonts w:hAnsi="宋体"/>
                <w:sz w:val="28"/>
                <w:szCs w:val="28"/>
              </w:rPr>
            </w:pPr>
            <w:r>
              <w:rPr>
                <w:rFonts w:hint="eastAsia" w:hAnsi="宋体"/>
                <w:sz w:val="28"/>
                <w:szCs w:val="28"/>
              </w:rPr>
              <w:t>与矿料的粘附性，裏附面积</w:t>
            </w:r>
          </w:p>
        </w:tc>
        <w:tc>
          <w:tcPr>
            <w:tcW w:w="2333" w:type="dxa"/>
            <w:vAlign w:val="center"/>
          </w:tcPr>
          <w:p w14:paraId="491EF2F8">
            <w:pPr>
              <w:pStyle w:val="48"/>
              <w:spacing w:line="360" w:lineRule="auto"/>
              <w:rPr>
                <w:rFonts w:hAnsi="宋体"/>
                <w:sz w:val="28"/>
                <w:szCs w:val="28"/>
              </w:rPr>
            </w:pPr>
            <w:r>
              <w:rPr>
                <w:rFonts w:hint="eastAsia" w:hAnsi="宋体"/>
                <w:sz w:val="28"/>
                <w:szCs w:val="28"/>
              </w:rPr>
              <w:t>≥2/3</w:t>
            </w:r>
          </w:p>
        </w:tc>
        <w:tc>
          <w:tcPr>
            <w:tcW w:w="2333" w:type="dxa"/>
            <w:vAlign w:val="center"/>
          </w:tcPr>
          <w:p w14:paraId="435BF8CC">
            <w:pPr>
              <w:pStyle w:val="48"/>
              <w:spacing w:line="360" w:lineRule="auto"/>
              <w:rPr>
                <w:rFonts w:hAnsi="宋体"/>
                <w:sz w:val="28"/>
                <w:szCs w:val="28"/>
              </w:rPr>
            </w:pPr>
            <w:r>
              <w:rPr>
                <w:rFonts w:hAnsi="宋体"/>
                <w:sz w:val="28"/>
                <w:szCs w:val="28"/>
              </w:rPr>
              <w:t>T0654</w:t>
            </w:r>
          </w:p>
        </w:tc>
      </w:tr>
      <w:tr w14:paraId="390B4B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vMerge w:val="restart"/>
            <w:vAlign w:val="center"/>
          </w:tcPr>
          <w:p w14:paraId="3DDECAAC">
            <w:pPr>
              <w:pStyle w:val="48"/>
              <w:spacing w:line="360" w:lineRule="auto"/>
              <w:rPr>
                <w:rFonts w:hAnsi="宋体"/>
                <w:sz w:val="28"/>
                <w:szCs w:val="28"/>
              </w:rPr>
            </w:pPr>
            <w:r>
              <w:rPr>
                <w:rFonts w:hint="eastAsia" w:hAnsi="宋体"/>
                <w:sz w:val="28"/>
                <w:szCs w:val="28"/>
              </w:rPr>
              <w:t>储存稳定性/%</w:t>
            </w:r>
          </w:p>
        </w:tc>
        <w:tc>
          <w:tcPr>
            <w:tcW w:w="2977" w:type="dxa"/>
            <w:vAlign w:val="center"/>
          </w:tcPr>
          <w:p w14:paraId="271206AC">
            <w:pPr>
              <w:pStyle w:val="48"/>
              <w:spacing w:line="360" w:lineRule="auto"/>
              <w:rPr>
                <w:rFonts w:hAnsi="宋体"/>
                <w:sz w:val="28"/>
                <w:szCs w:val="28"/>
              </w:rPr>
            </w:pPr>
            <w:r>
              <w:rPr>
                <w:rFonts w:hAnsi="宋体"/>
                <w:sz w:val="28"/>
                <w:szCs w:val="28"/>
              </w:rPr>
              <w:t>1d</w:t>
            </w:r>
          </w:p>
        </w:tc>
        <w:tc>
          <w:tcPr>
            <w:tcW w:w="2333" w:type="dxa"/>
            <w:vAlign w:val="center"/>
          </w:tcPr>
          <w:p w14:paraId="7996B452">
            <w:pPr>
              <w:pStyle w:val="48"/>
              <w:spacing w:line="360" w:lineRule="auto"/>
              <w:rPr>
                <w:rFonts w:hAnsi="宋体"/>
                <w:sz w:val="28"/>
                <w:szCs w:val="28"/>
              </w:rPr>
            </w:pPr>
            <w:r>
              <w:rPr>
                <w:rFonts w:hint="eastAsia" w:hAnsi="宋体"/>
                <w:sz w:val="28"/>
                <w:szCs w:val="28"/>
              </w:rPr>
              <w:t>≤1</w:t>
            </w:r>
          </w:p>
        </w:tc>
        <w:tc>
          <w:tcPr>
            <w:tcW w:w="2333" w:type="dxa"/>
            <w:vMerge w:val="restart"/>
            <w:vAlign w:val="center"/>
          </w:tcPr>
          <w:p w14:paraId="2590A4B4">
            <w:pPr>
              <w:pStyle w:val="48"/>
              <w:spacing w:line="360" w:lineRule="auto"/>
              <w:rPr>
                <w:rFonts w:hAnsi="宋体"/>
                <w:sz w:val="28"/>
                <w:szCs w:val="28"/>
              </w:rPr>
            </w:pPr>
            <w:r>
              <w:rPr>
                <w:rFonts w:hAnsi="宋体"/>
                <w:sz w:val="28"/>
                <w:szCs w:val="28"/>
              </w:rPr>
              <w:t>T0655</w:t>
            </w:r>
          </w:p>
        </w:tc>
      </w:tr>
      <w:tr w14:paraId="5D5962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vMerge w:val="continue"/>
            <w:vAlign w:val="center"/>
          </w:tcPr>
          <w:p w14:paraId="014B44BC">
            <w:pPr>
              <w:pStyle w:val="48"/>
              <w:spacing w:line="360" w:lineRule="auto"/>
              <w:rPr>
                <w:rFonts w:hAnsi="宋体"/>
                <w:sz w:val="28"/>
                <w:szCs w:val="28"/>
              </w:rPr>
            </w:pPr>
          </w:p>
        </w:tc>
        <w:tc>
          <w:tcPr>
            <w:tcW w:w="2977" w:type="dxa"/>
            <w:vAlign w:val="center"/>
          </w:tcPr>
          <w:p w14:paraId="3F98A24F">
            <w:pPr>
              <w:pStyle w:val="48"/>
              <w:spacing w:line="360" w:lineRule="auto"/>
              <w:rPr>
                <w:rFonts w:hAnsi="宋体"/>
                <w:sz w:val="28"/>
                <w:szCs w:val="28"/>
              </w:rPr>
            </w:pPr>
            <w:r>
              <w:rPr>
                <w:rFonts w:hAnsi="宋体"/>
                <w:sz w:val="28"/>
                <w:szCs w:val="28"/>
              </w:rPr>
              <w:t>5d</w:t>
            </w:r>
          </w:p>
        </w:tc>
        <w:tc>
          <w:tcPr>
            <w:tcW w:w="2333" w:type="dxa"/>
            <w:vAlign w:val="center"/>
          </w:tcPr>
          <w:p w14:paraId="5D978B83">
            <w:pPr>
              <w:pStyle w:val="48"/>
              <w:spacing w:line="360" w:lineRule="auto"/>
              <w:rPr>
                <w:rFonts w:hAnsi="宋体"/>
                <w:sz w:val="28"/>
                <w:szCs w:val="28"/>
              </w:rPr>
            </w:pPr>
            <w:r>
              <w:rPr>
                <w:rFonts w:hint="eastAsia" w:hAnsi="宋体"/>
                <w:sz w:val="28"/>
                <w:szCs w:val="28"/>
              </w:rPr>
              <w:t>≤5</w:t>
            </w:r>
          </w:p>
        </w:tc>
        <w:tc>
          <w:tcPr>
            <w:tcW w:w="2333" w:type="dxa"/>
            <w:vMerge w:val="continue"/>
            <w:vAlign w:val="center"/>
          </w:tcPr>
          <w:p w14:paraId="19D00B97">
            <w:pPr>
              <w:pStyle w:val="48"/>
              <w:spacing w:line="360" w:lineRule="auto"/>
              <w:rPr>
                <w:rFonts w:hAnsi="宋体"/>
                <w:sz w:val="28"/>
                <w:szCs w:val="28"/>
              </w:rPr>
            </w:pPr>
          </w:p>
        </w:tc>
      </w:tr>
    </w:tbl>
    <w:p w14:paraId="49121C34">
      <w:pPr>
        <w:pStyle w:val="34"/>
        <w:spacing w:line="360" w:lineRule="auto"/>
        <w:ind w:firstLine="560"/>
        <w:rPr>
          <w:rFonts w:hAnsi="宋体"/>
          <w:sz w:val="28"/>
          <w:szCs w:val="28"/>
        </w:rPr>
      </w:pPr>
    </w:p>
    <w:p w14:paraId="56D0CE2E">
      <w:pPr>
        <w:pStyle w:val="46"/>
        <w:spacing w:line="360" w:lineRule="auto"/>
        <w:rPr>
          <w:rFonts w:hAnsi="宋体"/>
          <w:sz w:val="28"/>
          <w:szCs w:val="28"/>
        </w:rPr>
      </w:pPr>
      <w:r>
        <w:rPr>
          <w:rFonts w:hint="eastAsia" w:hAnsi="宋体"/>
          <w:sz w:val="28"/>
          <w:szCs w:val="28"/>
        </w:rPr>
        <w:t>新沥青混合料热拌料应符合CJJ 169的技术要求。</w:t>
      </w:r>
    </w:p>
    <w:p w14:paraId="2382AC01">
      <w:pPr>
        <w:pStyle w:val="46"/>
        <w:spacing w:line="360" w:lineRule="auto"/>
        <w:rPr>
          <w:rFonts w:hAnsi="宋体"/>
          <w:sz w:val="28"/>
          <w:szCs w:val="28"/>
        </w:rPr>
      </w:pPr>
      <w:r>
        <w:rPr>
          <w:rFonts w:hint="eastAsia" w:hAnsi="宋体"/>
          <w:sz w:val="28"/>
          <w:szCs w:val="28"/>
        </w:rPr>
        <w:t>新沥青混合料冷却料可用于热修复施工，应按类型分开储存，避免混杂，料块直径宜小于20 cm。</w:t>
      </w:r>
    </w:p>
    <w:p w14:paraId="670D6E6A">
      <w:pPr>
        <w:pStyle w:val="49"/>
        <w:spacing w:line="360" w:lineRule="auto"/>
        <w:rPr>
          <w:rFonts w:hAnsi="宋体"/>
          <w:sz w:val="28"/>
          <w:szCs w:val="28"/>
        </w:rPr>
      </w:pPr>
      <w:r>
        <w:rPr>
          <w:rFonts w:hint="eastAsia" w:hAnsi="宋体"/>
          <w:sz w:val="28"/>
          <w:szCs w:val="28"/>
        </w:rPr>
        <w:t>限定料块直径目的是能够提高冷却料的加热速度，缩短施工准备时间。</w:t>
      </w:r>
    </w:p>
    <w:p w14:paraId="0951C05D">
      <w:pPr>
        <w:pStyle w:val="40"/>
        <w:spacing w:before="0" w:beforeLines="0" w:after="0" w:afterLines="0" w:line="360" w:lineRule="auto"/>
        <w:outlineLvl w:val="9"/>
        <w:rPr>
          <w:rFonts w:ascii="宋体" w:hAnsi="宋体" w:eastAsia="宋体"/>
          <w:sz w:val="28"/>
          <w:szCs w:val="28"/>
        </w:rPr>
      </w:pPr>
      <w:r>
        <w:rPr>
          <w:rFonts w:hint="eastAsia" w:ascii="宋体" w:hAnsi="宋体" w:eastAsia="宋体"/>
          <w:sz w:val="28"/>
          <w:szCs w:val="28"/>
        </w:rPr>
        <w:t>设备要求</w:t>
      </w:r>
    </w:p>
    <w:p w14:paraId="204D59D2">
      <w:pPr>
        <w:pStyle w:val="46"/>
        <w:spacing w:line="360" w:lineRule="auto"/>
        <w:rPr>
          <w:rFonts w:hAnsi="宋体"/>
          <w:sz w:val="28"/>
          <w:szCs w:val="28"/>
        </w:rPr>
      </w:pPr>
      <w:r>
        <w:rPr>
          <w:rFonts w:hint="eastAsia" w:hAnsi="宋体"/>
          <w:sz w:val="28"/>
          <w:szCs w:val="28"/>
        </w:rPr>
        <w:t>应综合集成沥青路面加热、耙松、喷洒乳化沥青、供应热态沥青混合料、压实、回收原路面废弃料等功能于一体，实现快速施工和转场。</w:t>
      </w:r>
    </w:p>
    <w:p w14:paraId="527BA34E">
      <w:pPr>
        <w:pStyle w:val="46"/>
        <w:spacing w:line="360" w:lineRule="auto"/>
        <w:rPr>
          <w:rFonts w:hAnsi="宋体"/>
          <w:sz w:val="28"/>
          <w:szCs w:val="28"/>
        </w:rPr>
      </w:pPr>
      <w:r>
        <w:rPr>
          <w:rFonts w:hint="eastAsia" w:hAnsi="宋体"/>
          <w:sz w:val="28"/>
          <w:szCs w:val="28"/>
        </w:rPr>
        <w:t>宜采用清洁能源燃料加热路面，燃料的储存容器和使用装置应安全可靠。</w:t>
      </w:r>
    </w:p>
    <w:p w14:paraId="6C34D541">
      <w:pPr>
        <w:pStyle w:val="46"/>
        <w:spacing w:line="360" w:lineRule="auto"/>
        <w:rPr>
          <w:rFonts w:hAnsi="宋体"/>
          <w:sz w:val="28"/>
          <w:szCs w:val="28"/>
        </w:rPr>
      </w:pPr>
      <w:r>
        <w:rPr>
          <w:rFonts w:hint="eastAsia" w:hAnsi="宋体"/>
          <w:sz w:val="28"/>
          <w:szCs w:val="28"/>
        </w:rPr>
        <w:t>宜采用间歇式加热方式加热路面，应确保加热深度满足施工要求，同时路面表层温度不应高于200 ℃。</w:t>
      </w:r>
    </w:p>
    <w:p w14:paraId="41E60A5C">
      <w:pPr>
        <w:pStyle w:val="49"/>
        <w:spacing w:line="360" w:lineRule="auto"/>
        <w:rPr>
          <w:rFonts w:hAnsi="宋体"/>
          <w:sz w:val="28"/>
          <w:szCs w:val="28"/>
        </w:rPr>
      </w:pPr>
      <w:r>
        <w:rPr>
          <w:rFonts w:hint="eastAsia" w:hAnsi="宋体"/>
          <w:sz w:val="28"/>
          <w:szCs w:val="28"/>
        </w:rPr>
        <w:t>热修复设备采用间歇式加热方式加热路面时，能根据环境温度、原路面沥青混合料受热特性，通过电脑系统设定或调整循环加热过程中的加热时间和间歇时间，确保加热深度满足施工要求，同时路面表层不致过热而加速老化。</w:t>
      </w:r>
    </w:p>
    <w:p w14:paraId="31284D0E">
      <w:pPr>
        <w:pStyle w:val="46"/>
        <w:spacing w:line="360" w:lineRule="auto"/>
        <w:rPr>
          <w:rFonts w:hAnsi="宋体"/>
          <w:sz w:val="28"/>
          <w:szCs w:val="28"/>
        </w:rPr>
      </w:pPr>
      <w:r>
        <w:rPr>
          <w:rFonts w:hint="eastAsia" w:hAnsi="宋体"/>
          <w:sz w:val="28"/>
          <w:szCs w:val="28"/>
        </w:rPr>
        <w:t>热修复设备的路面加热功能应具备定点和移动两种作业方式，加热装置宜分区独立控制。</w:t>
      </w:r>
    </w:p>
    <w:p w14:paraId="7220DF8F">
      <w:pPr>
        <w:pStyle w:val="49"/>
        <w:spacing w:line="360" w:lineRule="auto"/>
        <w:rPr>
          <w:rFonts w:hAnsi="宋体"/>
          <w:sz w:val="28"/>
          <w:szCs w:val="28"/>
        </w:rPr>
      </w:pPr>
      <w:r>
        <w:rPr>
          <w:rFonts w:hint="eastAsia" w:hAnsi="宋体"/>
          <w:sz w:val="28"/>
          <w:szCs w:val="28"/>
        </w:rPr>
        <w:t>强调设备应具备移动加热功能，以适应不同面积的病害修复的需要。很多情况下，病害面积超过加热装置定点的加热面积，移动加热可大大提高热修复的施工效率，同时能够提高平整度。病害面积小于加热装置可加热面积时，采用加热装置其中一个或几个区加热，既不影响非病害处的路面，又提高了作业效率。</w:t>
      </w:r>
    </w:p>
    <w:p w14:paraId="722D6A1B">
      <w:pPr>
        <w:pStyle w:val="46"/>
        <w:spacing w:line="360" w:lineRule="auto"/>
        <w:rPr>
          <w:rFonts w:hAnsi="宋体"/>
          <w:sz w:val="28"/>
          <w:szCs w:val="28"/>
        </w:rPr>
      </w:pPr>
      <w:r>
        <w:rPr>
          <w:rFonts w:hint="eastAsia" w:hAnsi="宋体"/>
          <w:sz w:val="28"/>
          <w:szCs w:val="28"/>
        </w:rPr>
        <w:t>应配备新沥青混合料冷却料自动上料装置。</w:t>
      </w:r>
    </w:p>
    <w:p w14:paraId="534C8312">
      <w:pPr>
        <w:pStyle w:val="46"/>
        <w:spacing w:line="360" w:lineRule="auto"/>
        <w:rPr>
          <w:rFonts w:hAnsi="宋体"/>
          <w:sz w:val="28"/>
          <w:szCs w:val="28"/>
        </w:rPr>
      </w:pPr>
      <w:r>
        <w:rPr>
          <w:rFonts w:hint="eastAsia" w:hAnsi="宋体"/>
          <w:sz w:val="28"/>
          <w:szCs w:val="28"/>
        </w:rPr>
        <w:t>应配备沥青混合料加热、拌和及保温装置。</w:t>
      </w:r>
    </w:p>
    <w:p w14:paraId="394D2DB8">
      <w:pPr>
        <w:pStyle w:val="46"/>
        <w:spacing w:line="360" w:lineRule="auto"/>
        <w:rPr>
          <w:rFonts w:hAnsi="宋体"/>
          <w:sz w:val="28"/>
          <w:szCs w:val="28"/>
        </w:rPr>
      </w:pPr>
      <w:r>
        <w:rPr>
          <w:rFonts w:hint="eastAsia" w:hAnsi="宋体"/>
          <w:sz w:val="28"/>
          <w:szCs w:val="28"/>
        </w:rPr>
        <w:t>乳化沥青的储存容器应具备加热和保温功能。</w:t>
      </w:r>
    </w:p>
    <w:p w14:paraId="60DFC010">
      <w:pPr>
        <w:pStyle w:val="46"/>
        <w:spacing w:line="360" w:lineRule="auto"/>
        <w:rPr>
          <w:rFonts w:hAnsi="宋体"/>
          <w:sz w:val="28"/>
          <w:szCs w:val="28"/>
        </w:rPr>
      </w:pPr>
      <w:r>
        <w:rPr>
          <w:rFonts w:hint="eastAsia" w:hAnsi="宋体"/>
          <w:sz w:val="28"/>
          <w:szCs w:val="28"/>
        </w:rPr>
        <w:t>压实装置应具备静止压实和振动压实两种功能。</w:t>
      </w:r>
    </w:p>
    <w:p w14:paraId="02D805F3">
      <w:pPr>
        <w:pStyle w:val="39"/>
        <w:spacing w:before="0" w:beforeLines="0" w:after="0" w:afterLines="0" w:line="360" w:lineRule="auto"/>
        <w:outlineLvl w:val="9"/>
        <w:rPr>
          <w:rFonts w:ascii="宋体" w:hAnsi="宋体" w:eastAsia="宋体"/>
          <w:sz w:val="28"/>
          <w:szCs w:val="28"/>
        </w:rPr>
      </w:pPr>
      <w:r>
        <w:rPr>
          <w:rFonts w:hint="eastAsia" w:ascii="宋体" w:hAnsi="宋体" w:eastAsia="宋体"/>
          <w:sz w:val="28"/>
          <w:szCs w:val="28"/>
        </w:rPr>
        <w:t>路面养护</w:t>
      </w:r>
    </w:p>
    <w:p w14:paraId="3468F07A">
      <w:pPr>
        <w:pStyle w:val="40"/>
        <w:spacing w:before="0" w:beforeLines="0" w:after="0" w:afterLines="0" w:line="360" w:lineRule="auto"/>
        <w:outlineLvl w:val="9"/>
        <w:rPr>
          <w:rFonts w:ascii="宋体" w:hAnsi="宋体" w:eastAsia="宋体"/>
          <w:sz w:val="28"/>
          <w:szCs w:val="28"/>
        </w:rPr>
      </w:pPr>
      <w:r>
        <w:rPr>
          <w:rFonts w:hint="eastAsia" w:ascii="宋体" w:hAnsi="宋体" w:eastAsia="宋体"/>
          <w:sz w:val="28"/>
          <w:szCs w:val="28"/>
        </w:rPr>
        <w:t>一般规定</w:t>
      </w:r>
    </w:p>
    <w:p w14:paraId="38DE50D0">
      <w:pPr>
        <w:pStyle w:val="46"/>
        <w:spacing w:line="360" w:lineRule="auto"/>
        <w:rPr>
          <w:rFonts w:hAnsi="宋体"/>
          <w:sz w:val="28"/>
          <w:szCs w:val="28"/>
        </w:rPr>
      </w:pPr>
      <w:r>
        <w:rPr>
          <w:rFonts w:hint="eastAsia" w:hAnsi="宋体"/>
          <w:sz w:val="28"/>
          <w:szCs w:val="28"/>
        </w:rPr>
        <w:t>沥青路面绿色养护作业的实施，应建立在全面、科学的路面调查与病害诊断基础之上。调查内容应包括但不限于：病害的类型、严重程度、波及范围、成因分析以及对路面结构性能的潜在影响。</w:t>
      </w:r>
    </w:p>
    <w:p w14:paraId="43CF19E6">
      <w:pPr>
        <w:pStyle w:val="46"/>
        <w:spacing w:line="360" w:lineRule="auto"/>
        <w:rPr>
          <w:rFonts w:hAnsi="宋体"/>
          <w:sz w:val="28"/>
          <w:szCs w:val="28"/>
        </w:rPr>
      </w:pPr>
      <w:r>
        <w:rPr>
          <w:rFonts w:hint="eastAsia" w:hAnsi="宋体"/>
          <w:sz w:val="28"/>
          <w:szCs w:val="28"/>
        </w:rPr>
        <w:t>应在调查数据支持下，遵循经济适用、技术可靠、资源节约、环境友好的原则，选择与病害特征相匹配的绿色养护工艺（如现场热再生、低温再生、精准挖补等），并制定详尽的修复技术方案。方案应明确工艺参数、材料要求、设备配置及环境保护措施。</w:t>
      </w:r>
    </w:p>
    <w:p w14:paraId="7B215A54">
      <w:pPr>
        <w:pStyle w:val="46"/>
        <w:spacing w:line="360" w:lineRule="auto"/>
        <w:rPr>
          <w:rFonts w:hAnsi="宋体"/>
          <w:sz w:val="28"/>
          <w:szCs w:val="28"/>
        </w:rPr>
      </w:pPr>
      <w:r>
        <w:rPr>
          <w:rFonts w:hint="eastAsia" w:hAnsi="宋体"/>
          <w:sz w:val="28"/>
          <w:szCs w:val="28"/>
        </w:rPr>
        <w:t>施工前，应对所有投入使用的养护设备与机具进行系统性检查、调试与维护，确保其技术性能完好、工作状态稳定，各项功能符合相关规定。</w:t>
      </w:r>
    </w:p>
    <w:p w14:paraId="4993372F">
      <w:pPr>
        <w:pStyle w:val="46"/>
        <w:spacing w:line="360" w:lineRule="auto"/>
        <w:rPr>
          <w:rFonts w:hAnsi="宋体"/>
          <w:sz w:val="28"/>
          <w:szCs w:val="28"/>
        </w:rPr>
      </w:pPr>
      <w:r>
        <w:rPr>
          <w:rFonts w:hint="eastAsia" w:hAnsi="宋体"/>
          <w:sz w:val="28"/>
          <w:szCs w:val="28"/>
        </w:rPr>
        <w:t>重点核查加热系统的温度控制精度、废气处理装置的有效性、旧料回收系统的运转情况以及能源类型的合规性，确保设备满足绿色养护作业对能耗、排放与材料再生利用的核心要求。</w:t>
      </w:r>
    </w:p>
    <w:p w14:paraId="2FB8EADB">
      <w:pPr>
        <w:pStyle w:val="46"/>
        <w:spacing w:line="360" w:lineRule="auto"/>
        <w:rPr>
          <w:rFonts w:hAnsi="宋体"/>
          <w:sz w:val="28"/>
          <w:szCs w:val="28"/>
        </w:rPr>
      </w:pPr>
      <w:r>
        <w:rPr>
          <w:rFonts w:hint="eastAsia" w:hAnsi="宋体"/>
          <w:sz w:val="28"/>
          <w:szCs w:val="28"/>
        </w:rPr>
        <w:t>养护作业所用各类材料，包括但不限于沥青再生剂、乳化沥青、新沥青混合料（热拌料与冷却料）等，其性能指标必须完全符合规定。严禁使用不合格材料。</w:t>
      </w:r>
    </w:p>
    <w:p w14:paraId="641692CC">
      <w:pPr>
        <w:pStyle w:val="46"/>
        <w:spacing w:line="360" w:lineRule="auto"/>
        <w:rPr>
          <w:rFonts w:hAnsi="宋体"/>
          <w:sz w:val="28"/>
          <w:szCs w:val="28"/>
        </w:rPr>
      </w:pPr>
      <w:r>
        <w:rPr>
          <w:rFonts w:hint="eastAsia" w:hAnsi="宋体"/>
          <w:sz w:val="28"/>
          <w:szCs w:val="28"/>
        </w:rPr>
        <w:t>宜优先采用再生材料、低温改性沥青、温拌技术产品等环境效益显著的绿色建材，以降低能源消耗与温室气体排放。所有进场材料应具备齐全的质量证明文件，并按规定进行抽检复试。</w:t>
      </w:r>
    </w:p>
    <w:p w14:paraId="510A81A3">
      <w:pPr>
        <w:pStyle w:val="46"/>
        <w:spacing w:line="360" w:lineRule="auto"/>
        <w:rPr>
          <w:rFonts w:hAnsi="宋体"/>
          <w:sz w:val="28"/>
          <w:szCs w:val="28"/>
        </w:rPr>
      </w:pPr>
      <w:r>
        <w:rPr>
          <w:rFonts w:hint="eastAsia" w:hAnsi="宋体"/>
          <w:sz w:val="28"/>
          <w:szCs w:val="28"/>
        </w:rPr>
        <w:t>施工过程中应做好施工区域的安全防护与交通组织，应按照国家及地方现行有关安全生产与道路交通管理的法律法规，制定并严格执行施工现场安全防护方案与交通组织方案。</w:t>
      </w:r>
    </w:p>
    <w:p w14:paraId="1B1C28C7">
      <w:pPr>
        <w:pStyle w:val="46"/>
        <w:spacing w:line="360" w:lineRule="auto"/>
        <w:rPr>
          <w:rFonts w:hAnsi="宋体"/>
          <w:sz w:val="28"/>
          <w:szCs w:val="28"/>
        </w:rPr>
      </w:pPr>
      <w:r>
        <w:rPr>
          <w:rFonts w:hint="eastAsia" w:hAnsi="宋体"/>
          <w:sz w:val="28"/>
          <w:szCs w:val="28"/>
        </w:rPr>
        <w:t>作业区域应按规范设置醒目的警示标志、安全隔离设施与夜间照明及警示装置，并配备专职安全员进行疏导与监护。应采取有效措施，最大限度降低养护作业对公共交通的干扰，保障作业人员与通行车辆、行人的安全。</w:t>
      </w:r>
    </w:p>
    <w:p w14:paraId="2255169D">
      <w:pPr>
        <w:pStyle w:val="40"/>
        <w:spacing w:before="0" w:beforeLines="0" w:after="0" w:afterLines="0" w:line="360" w:lineRule="auto"/>
        <w:outlineLvl w:val="9"/>
        <w:rPr>
          <w:rFonts w:ascii="宋体" w:hAnsi="宋体" w:eastAsia="宋体"/>
          <w:sz w:val="28"/>
          <w:szCs w:val="28"/>
        </w:rPr>
      </w:pPr>
      <w:r>
        <w:rPr>
          <w:rFonts w:hint="eastAsia" w:ascii="宋体" w:hAnsi="宋体" w:eastAsia="宋体"/>
          <w:sz w:val="28"/>
          <w:szCs w:val="28"/>
        </w:rPr>
        <w:t>预处理</w:t>
      </w:r>
    </w:p>
    <w:p w14:paraId="355140FB">
      <w:pPr>
        <w:pStyle w:val="35"/>
        <w:spacing w:before="0" w:beforeLines="0" w:after="0" w:afterLines="0" w:line="360" w:lineRule="auto"/>
        <w:outlineLvl w:val="9"/>
        <w:rPr>
          <w:rFonts w:ascii="宋体" w:hAnsi="宋体" w:eastAsia="宋体"/>
          <w:sz w:val="28"/>
          <w:szCs w:val="28"/>
        </w:rPr>
      </w:pPr>
      <w:r>
        <w:rPr>
          <w:rFonts w:hint="eastAsia" w:ascii="宋体" w:hAnsi="宋体" w:eastAsia="宋体"/>
          <w:sz w:val="28"/>
          <w:szCs w:val="28"/>
        </w:rPr>
        <w:t>一般要求</w:t>
      </w:r>
    </w:p>
    <w:p w14:paraId="09369CA7">
      <w:pPr>
        <w:pStyle w:val="34"/>
        <w:spacing w:line="360" w:lineRule="auto"/>
        <w:ind w:firstLine="560"/>
        <w:rPr>
          <w:rFonts w:hAnsi="宋体"/>
          <w:sz w:val="28"/>
          <w:szCs w:val="28"/>
        </w:rPr>
      </w:pPr>
      <w:r>
        <w:rPr>
          <w:rFonts w:hint="eastAsia" w:hAnsi="宋体"/>
          <w:sz w:val="28"/>
          <w:szCs w:val="28"/>
        </w:rPr>
        <w:t>施工前，应对确定的养护作业区进行预处理。预处理作业应确保将病害区域处理成规整的几何形状，并形成干净、坚实、干燥的接触界面，为后续加热与再生修复创造良好条件。</w:t>
      </w:r>
    </w:p>
    <w:p w14:paraId="0F246061">
      <w:pPr>
        <w:pStyle w:val="35"/>
        <w:spacing w:before="0" w:beforeLines="0" w:after="0" w:afterLines="0" w:line="360" w:lineRule="auto"/>
        <w:outlineLvl w:val="9"/>
        <w:rPr>
          <w:rFonts w:ascii="宋体" w:hAnsi="宋体" w:eastAsia="宋体"/>
          <w:sz w:val="28"/>
          <w:szCs w:val="28"/>
        </w:rPr>
      </w:pPr>
      <w:r>
        <w:rPr>
          <w:rFonts w:hint="eastAsia" w:ascii="宋体" w:hAnsi="宋体" w:eastAsia="宋体"/>
          <w:sz w:val="28"/>
          <w:szCs w:val="28"/>
        </w:rPr>
        <w:t>现场清理</w:t>
      </w:r>
    </w:p>
    <w:p w14:paraId="01921513">
      <w:pPr>
        <w:pStyle w:val="45"/>
        <w:spacing w:line="360" w:lineRule="auto"/>
        <w:rPr>
          <w:rFonts w:hAnsi="宋体"/>
          <w:sz w:val="28"/>
          <w:szCs w:val="28"/>
        </w:rPr>
      </w:pPr>
      <w:r>
        <w:rPr>
          <w:rFonts w:hint="eastAsia" w:hAnsi="宋体"/>
          <w:sz w:val="28"/>
          <w:szCs w:val="28"/>
        </w:rPr>
        <w:t>作业前，应使用吹风机、铁锹、钢丝刷等工具，彻底清除路面病害区域内的积水、污泥、尘土、杂物及松动的颗粒。</w:t>
      </w:r>
    </w:p>
    <w:p w14:paraId="5C3F3758">
      <w:pPr>
        <w:pStyle w:val="45"/>
        <w:spacing w:line="360" w:lineRule="auto"/>
        <w:rPr>
          <w:rFonts w:hAnsi="宋体"/>
          <w:sz w:val="28"/>
          <w:szCs w:val="28"/>
        </w:rPr>
      </w:pPr>
      <w:r>
        <w:rPr>
          <w:rFonts w:hint="eastAsia" w:hAnsi="宋体"/>
          <w:sz w:val="28"/>
          <w:szCs w:val="28"/>
        </w:rPr>
        <w:t>对于油污污染的区域，应采用专用的化学清洗剂或物理方法进行清理，确保骨料表面洁净。</w:t>
      </w:r>
    </w:p>
    <w:p w14:paraId="003B02B7">
      <w:pPr>
        <w:pStyle w:val="35"/>
        <w:spacing w:before="0" w:beforeLines="0" w:after="0" w:afterLines="0" w:line="360" w:lineRule="auto"/>
        <w:outlineLvl w:val="9"/>
        <w:rPr>
          <w:rFonts w:ascii="宋体" w:hAnsi="宋体" w:eastAsia="宋体"/>
          <w:sz w:val="28"/>
          <w:szCs w:val="28"/>
        </w:rPr>
      </w:pPr>
      <w:r>
        <w:rPr>
          <w:rFonts w:hint="eastAsia" w:ascii="宋体" w:hAnsi="宋体" w:eastAsia="宋体"/>
          <w:sz w:val="28"/>
          <w:szCs w:val="28"/>
        </w:rPr>
        <w:t>病害区域整形与开挖</w:t>
      </w:r>
    </w:p>
    <w:p w14:paraId="72E3D9F4">
      <w:pPr>
        <w:pStyle w:val="45"/>
        <w:spacing w:line="360" w:lineRule="auto"/>
        <w:rPr>
          <w:rFonts w:hAnsi="宋体"/>
          <w:sz w:val="28"/>
          <w:szCs w:val="28"/>
        </w:rPr>
      </w:pPr>
      <w:r>
        <w:rPr>
          <w:rFonts w:hint="eastAsia" w:hAnsi="宋体"/>
          <w:sz w:val="28"/>
          <w:szCs w:val="28"/>
        </w:rPr>
        <w:t>对于坑槽、松散、碎裂等局部病害，宜先使用切割机、液压镐等机具，沿病害区域外缘切割出边界清晰的规则几何轮廓（如矩形或正方形）。</w:t>
      </w:r>
    </w:p>
    <w:p w14:paraId="2A2D5DAE">
      <w:pPr>
        <w:pStyle w:val="45"/>
        <w:spacing w:line="360" w:lineRule="auto"/>
        <w:rPr>
          <w:rFonts w:hAnsi="宋体"/>
          <w:sz w:val="28"/>
          <w:szCs w:val="28"/>
        </w:rPr>
      </w:pPr>
      <w:r>
        <w:rPr>
          <w:rFonts w:hint="eastAsia" w:hAnsi="宋体"/>
          <w:sz w:val="28"/>
          <w:szCs w:val="28"/>
        </w:rPr>
        <w:t>切割深度应至少达到病害实际深度，并确保切入完好的路面结构层。</w:t>
      </w:r>
    </w:p>
    <w:p w14:paraId="296F9DA0">
      <w:pPr>
        <w:pStyle w:val="45"/>
        <w:spacing w:line="360" w:lineRule="auto"/>
        <w:rPr>
          <w:rFonts w:hAnsi="宋体"/>
          <w:sz w:val="28"/>
          <w:szCs w:val="28"/>
        </w:rPr>
      </w:pPr>
      <w:r>
        <w:rPr>
          <w:rFonts w:hint="eastAsia" w:hAnsi="宋体"/>
          <w:sz w:val="28"/>
          <w:szCs w:val="28"/>
        </w:rPr>
        <w:t>应将切割范围内以及坑槽内所有松散、老化和失效的沥青混合料彻底凿除、清理干净，直至暴露坚实、稳定的底层结构。</w:t>
      </w:r>
    </w:p>
    <w:p w14:paraId="39FECC8E">
      <w:pPr>
        <w:pStyle w:val="45"/>
        <w:spacing w:line="360" w:lineRule="auto"/>
        <w:rPr>
          <w:rFonts w:hAnsi="宋体"/>
          <w:sz w:val="28"/>
          <w:szCs w:val="28"/>
        </w:rPr>
      </w:pPr>
      <w:r>
        <w:rPr>
          <w:rFonts w:hint="eastAsia" w:hAnsi="宋体"/>
          <w:sz w:val="28"/>
          <w:szCs w:val="28"/>
        </w:rPr>
        <w:t>开挖后的坑槽四壁应保持垂直，底面应平整、坚实。开挖产生的废旧沥青混合料应及时收集。</w:t>
      </w:r>
    </w:p>
    <w:p w14:paraId="7EFA3DB9">
      <w:pPr>
        <w:pStyle w:val="35"/>
        <w:spacing w:before="0" w:beforeLines="0" w:after="0" w:afterLines="0" w:line="360" w:lineRule="auto"/>
        <w:outlineLvl w:val="9"/>
        <w:rPr>
          <w:rFonts w:ascii="宋体" w:hAnsi="宋体" w:eastAsia="宋体"/>
          <w:sz w:val="28"/>
          <w:szCs w:val="28"/>
        </w:rPr>
      </w:pPr>
      <w:r>
        <w:rPr>
          <w:rFonts w:hint="eastAsia" w:ascii="宋体" w:hAnsi="宋体" w:eastAsia="宋体"/>
          <w:sz w:val="28"/>
          <w:szCs w:val="28"/>
        </w:rPr>
        <w:t>界面处理</w:t>
      </w:r>
    </w:p>
    <w:p w14:paraId="611ECFC0">
      <w:pPr>
        <w:pStyle w:val="45"/>
        <w:spacing w:line="360" w:lineRule="auto"/>
        <w:rPr>
          <w:rFonts w:hAnsi="宋体"/>
          <w:sz w:val="28"/>
          <w:szCs w:val="28"/>
        </w:rPr>
      </w:pPr>
      <w:r>
        <w:rPr>
          <w:rFonts w:hint="eastAsia" w:hAnsi="宋体"/>
          <w:sz w:val="28"/>
          <w:szCs w:val="28"/>
        </w:rPr>
        <w:t>清理、开挖后，应采用专用吹风机或高压空气设备，将坑槽底部和侧壁的残余粉尘与细小颗粒吹净。</w:t>
      </w:r>
    </w:p>
    <w:p w14:paraId="7614E82A">
      <w:pPr>
        <w:pStyle w:val="45"/>
        <w:spacing w:line="360" w:lineRule="auto"/>
        <w:rPr>
          <w:rFonts w:hAnsi="宋体"/>
          <w:sz w:val="28"/>
          <w:szCs w:val="28"/>
        </w:rPr>
      </w:pPr>
      <w:r>
        <w:rPr>
          <w:rFonts w:hint="eastAsia" w:hAnsi="宋体"/>
          <w:sz w:val="28"/>
          <w:szCs w:val="28"/>
        </w:rPr>
        <w:t>在进行加热再生作业前，坑槽底部与侧壁应保持干燥状态。对于潮湿界面，应通过预热等方式进行烘干处理。</w:t>
      </w:r>
    </w:p>
    <w:p w14:paraId="1B1B9749">
      <w:pPr>
        <w:pStyle w:val="45"/>
        <w:spacing w:line="360" w:lineRule="auto"/>
        <w:rPr>
          <w:rFonts w:hAnsi="宋体"/>
          <w:sz w:val="28"/>
          <w:szCs w:val="28"/>
        </w:rPr>
      </w:pPr>
      <w:r>
        <w:rPr>
          <w:rFonts w:hint="eastAsia" w:hAnsi="宋体"/>
          <w:sz w:val="28"/>
          <w:szCs w:val="28"/>
        </w:rPr>
        <w:t>在摊铺新混合料或再生混合料前，宜在清理干净的坑槽底部与侧壁均匀喷洒（或涂刷）一层粘层油（如符合5.1.2要求的乳化沥青），以增强新旧沥青层间的粘结力。</w:t>
      </w:r>
    </w:p>
    <w:p w14:paraId="0C878119">
      <w:pPr>
        <w:pStyle w:val="35"/>
        <w:spacing w:before="0" w:beforeLines="0" w:after="0" w:afterLines="0" w:line="360" w:lineRule="auto"/>
        <w:outlineLvl w:val="9"/>
        <w:rPr>
          <w:rFonts w:ascii="宋体" w:hAnsi="宋体" w:eastAsia="宋体"/>
          <w:sz w:val="28"/>
          <w:szCs w:val="28"/>
        </w:rPr>
      </w:pPr>
      <w:r>
        <w:rPr>
          <w:rFonts w:hint="eastAsia" w:ascii="宋体" w:hAnsi="宋体" w:eastAsia="宋体"/>
          <w:sz w:val="28"/>
          <w:szCs w:val="28"/>
        </w:rPr>
        <w:t>废旧料回收</w:t>
      </w:r>
    </w:p>
    <w:p w14:paraId="45704AB0">
      <w:pPr>
        <w:pStyle w:val="34"/>
        <w:spacing w:line="360" w:lineRule="auto"/>
        <w:ind w:firstLine="560"/>
        <w:rPr>
          <w:rFonts w:hAnsi="宋体"/>
          <w:sz w:val="28"/>
          <w:szCs w:val="28"/>
          <w:highlight w:val="yellow"/>
        </w:rPr>
      </w:pPr>
      <w:r>
        <w:rPr>
          <w:rFonts w:hint="eastAsia" w:hAnsi="宋体"/>
          <w:sz w:val="28"/>
          <w:szCs w:val="28"/>
        </w:rPr>
        <w:t>预处理过程中产生的所有废旧沥青混合料应进行分类收集。可再生利用的旧料宜运送至固定场地进行集中再生处理；不可利用的废弃物应按环保规定进行处置。</w:t>
      </w:r>
    </w:p>
    <w:p w14:paraId="7FEE1B06">
      <w:pPr>
        <w:pStyle w:val="40"/>
        <w:spacing w:before="0" w:beforeLines="0" w:after="0" w:afterLines="0" w:line="360" w:lineRule="auto"/>
        <w:outlineLvl w:val="9"/>
        <w:rPr>
          <w:rFonts w:ascii="宋体" w:hAnsi="宋体" w:eastAsia="宋体"/>
          <w:sz w:val="28"/>
          <w:szCs w:val="28"/>
        </w:rPr>
      </w:pPr>
      <w:r>
        <w:rPr>
          <w:rFonts w:hint="eastAsia" w:ascii="宋体" w:hAnsi="宋体" w:eastAsia="宋体"/>
          <w:sz w:val="28"/>
          <w:szCs w:val="28"/>
        </w:rPr>
        <w:t>养护类型</w:t>
      </w:r>
    </w:p>
    <w:p w14:paraId="6C8FB441">
      <w:pPr>
        <w:pStyle w:val="35"/>
        <w:spacing w:before="0" w:beforeLines="0" w:after="0" w:afterLines="0" w:line="360" w:lineRule="auto"/>
        <w:outlineLvl w:val="9"/>
        <w:rPr>
          <w:rFonts w:ascii="宋体" w:hAnsi="宋体" w:eastAsia="宋体"/>
          <w:sz w:val="28"/>
          <w:szCs w:val="28"/>
        </w:rPr>
      </w:pPr>
      <w:r>
        <w:rPr>
          <w:rFonts w:hint="eastAsia" w:ascii="宋体" w:hAnsi="宋体" w:eastAsia="宋体"/>
          <w:sz w:val="28"/>
          <w:szCs w:val="28"/>
        </w:rPr>
        <w:t>功能性热修复</w:t>
      </w:r>
    </w:p>
    <w:p w14:paraId="60032436">
      <w:pPr>
        <w:pStyle w:val="45"/>
        <w:spacing w:line="360" w:lineRule="auto"/>
        <w:rPr>
          <w:rFonts w:hAnsi="宋体"/>
          <w:sz w:val="28"/>
          <w:szCs w:val="28"/>
        </w:rPr>
      </w:pPr>
      <w:r>
        <w:rPr>
          <w:rFonts w:hint="eastAsia" w:hAnsi="宋体"/>
          <w:sz w:val="28"/>
          <w:szCs w:val="28"/>
        </w:rPr>
        <w:t>施工前应检查热修复设备状况，确保处于良好的工作状态。</w:t>
      </w:r>
    </w:p>
    <w:p w14:paraId="73911C88">
      <w:pPr>
        <w:pStyle w:val="45"/>
        <w:spacing w:line="360" w:lineRule="auto"/>
        <w:rPr>
          <w:rFonts w:hAnsi="宋体"/>
          <w:sz w:val="28"/>
          <w:szCs w:val="28"/>
        </w:rPr>
      </w:pPr>
      <w:r>
        <w:rPr>
          <w:rFonts w:hint="eastAsia" w:hAnsi="宋体"/>
          <w:sz w:val="28"/>
          <w:szCs w:val="28"/>
        </w:rPr>
        <w:t>施工应根据修复工程量准备足量的沥青混合料、乳化沥青和新沥青。</w:t>
      </w:r>
    </w:p>
    <w:p w14:paraId="21008358">
      <w:pPr>
        <w:pStyle w:val="45"/>
        <w:spacing w:line="360" w:lineRule="auto"/>
        <w:rPr>
          <w:rFonts w:hAnsi="宋体"/>
          <w:sz w:val="28"/>
          <w:szCs w:val="28"/>
        </w:rPr>
      </w:pPr>
      <w:r>
        <w:rPr>
          <w:rFonts w:hint="eastAsia" w:hAnsi="宋体"/>
          <w:sz w:val="28"/>
          <w:szCs w:val="28"/>
        </w:rPr>
        <w:t>施工前应检查原路面破损及污染情况，按业主要求，制定修复方案，清除原沥青路面废弃料。</w:t>
      </w:r>
    </w:p>
    <w:p w14:paraId="2BBB9D36">
      <w:pPr>
        <w:pStyle w:val="45"/>
        <w:spacing w:line="360" w:lineRule="auto"/>
        <w:rPr>
          <w:rFonts w:hAnsi="宋体"/>
          <w:sz w:val="28"/>
          <w:szCs w:val="28"/>
        </w:rPr>
      </w:pPr>
      <w:r>
        <w:rPr>
          <w:rFonts w:hint="eastAsia" w:hAnsi="宋体"/>
          <w:sz w:val="28"/>
          <w:szCs w:val="28"/>
        </w:rPr>
        <w:t>新沥青混合料冷却料应充分均匀加热，加热后的沥青混合料温度宜不低于140 ℃。</w:t>
      </w:r>
    </w:p>
    <w:p w14:paraId="578AFD14">
      <w:pPr>
        <w:pStyle w:val="45"/>
        <w:spacing w:line="360" w:lineRule="auto"/>
        <w:rPr>
          <w:rFonts w:hAnsi="宋体"/>
          <w:sz w:val="28"/>
          <w:szCs w:val="28"/>
        </w:rPr>
      </w:pPr>
      <w:r>
        <w:rPr>
          <w:rFonts w:hint="eastAsia" w:hAnsi="宋体"/>
          <w:sz w:val="28"/>
          <w:szCs w:val="28"/>
        </w:rPr>
        <w:t>原路面加热前应根据病害范围确定修复范围和加热范围。修复范围宜在病害范围基础上外扩10 cm 以上，加热范围应在修复范围基础上外扩10 cm以上。</w:t>
      </w:r>
    </w:p>
    <w:p w14:paraId="0A1BC7A7">
      <w:pPr>
        <w:pStyle w:val="45"/>
        <w:spacing w:line="360" w:lineRule="auto"/>
        <w:rPr>
          <w:rFonts w:hAnsi="宋体"/>
          <w:sz w:val="28"/>
          <w:szCs w:val="28"/>
        </w:rPr>
      </w:pPr>
      <w:r>
        <w:rPr>
          <w:rFonts w:hint="eastAsia" w:hAnsi="宋体"/>
          <w:sz w:val="28"/>
          <w:szCs w:val="28"/>
        </w:rPr>
        <w:t>修复范围应在病害范围基础上向外扩大10 cm以上是考虑到病害周边路面可能已经发生内部损害;加热范围应在修复范围基础上向外扩大10 cm以上是为了使修复范围与周边路面形成热接缝，避免雨水渗入,产生二次损坏。</w:t>
      </w:r>
    </w:p>
    <w:p w14:paraId="66C70DE9">
      <w:pPr>
        <w:pStyle w:val="45"/>
        <w:spacing w:line="360" w:lineRule="auto"/>
        <w:rPr>
          <w:rFonts w:hAnsi="宋体"/>
          <w:sz w:val="28"/>
          <w:szCs w:val="28"/>
        </w:rPr>
      </w:pPr>
      <w:r>
        <w:rPr>
          <w:rFonts w:hint="eastAsia" w:hAnsi="宋体"/>
          <w:sz w:val="28"/>
          <w:szCs w:val="28"/>
        </w:rPr>
        <w:t>加热深度应不小于上面层厚度，路表温度应不超过200℃。</w:t>
      </w:r>
    </w:p>
    <w:p w14:paraId="7D6D7EFB">
      <w:pPr>
        <w:pStyle w:val="45"/>
        <w:spacing w:line="360" w:lineRule="auto"/>
        <w:rPr>
          <w:rFonts w:hAnsi="宋体"/>
          <w:sz w:val="28"/>
          <w:szCs w:val="28"/>
        </w:rPr>
      </w:pPr>
      <w:r>
        <w:rPr>
          <w:rFonts w:hint="eastAsia" w:hAnsi="宋体"/>
          <w:sz w:val="28"/>
          <w:szCs w:val="28"/>
        </w:rPr>
        <w:t>为保障原路面沥青混合料加热温度不过高且达到所需加热深度，建议采用间歇式加热。</w:t>
      </w:r>
    </w:p>
    <w:p w14:paraId="6CAD4D21">
      <w:pPr>
        <w:pStyle w:val="45"/>
        <w:spacing w:line="360" w:lineRule="auto"/>
        <w:rPr>
          <w:rFonts w:hAnsi="宋体"/>
          <w:sz w:val="28"/>
          <w:szCs w:val="28"/>
        </w:rPr>
      </w:pPr>
      <w:r>
        <w:rPr>
          <w:rFonts w:hint="eastAsia" w:hAnsi="宋体"/>
          <w:sz w:val="28"/>
          <w:szCs w:val="28"/>
        </w:rPr>
        <w:t>加热结束后，耙松修复范围内原路面上面层的过程中不应破碎集料级配，耙松后沥青混合料的温度应不低于120 ℃。</w:t>
      </w:r>
    </w:p>
    <w:p w14:paraId="4F74E532">
      <w:pPr>
        <w:pStyle w:val="45"/>
        <w:spacing w:line="360" w:lineRule="auto"/>
        <w:rPr>
          <w:rFonts w:hAnsi="宋体"/>
          <w:sz w:val="28"/>
          <w:szCs w:val="28"/>
        </w:rPr>
      </w:pPr>
      <w:r>
        <w:rPr>
          <w:rFonts w:hint="eastAsia" w:hAnsi="宋体"/>
          <w:sz w:val="28"/>
          <w:szCs w:val="28"/>
        </w:rPr>
        <w:t>耙松后的松散旧沥青混合料应均匀喷洒乳化沥青，喷洒量宜控制在0.3 L/m²~0.6 L/m²。喷洒顺序应为先四周后中间。</w:t>
      </w:r>
    </w:p>
    <w:p w14:paraId="528992E5">
      <w:pPr>
        <w:pStyle w:val="49"/>
        <w:spacing w:line="360" w:lineRule="auto"/>
        <w:rPr>
          <w:rFonts w:hAnsi="宋体"/>
          <w:sz w:val="28"/>
          <w:szCs w:val="28"/>
        </w:rPr>
      </w:pPr>
      <w:r>
        <w:rPr>
          <w:rFonts w:hint="eastAsia" w:hAnsi="宋体"/>
          <w:sz w:val="28"/>
          <w:szCs w:val="28"/>
        </w:rPr>
        <w:t>乳化沥青喷洒量包括稀释剂和水分等在内的乳化沥青总量,乳化沥青中的残留物含量是以50%为基准。</w:t>
      </w:r>
    </w:p>
    <w:p w14:paraId="02D52BF8">
      <w:pPr>
        <w:pStyle w:val="45"/>
        <w:spacing w:line="360" w:lineRule="auto"/>
        <w:rPr>
          <w:rFonts w:hAnsi="宋体"/>
          <w:sz w:val="28"/>
          <w:szCs w:val="28"/>
        </w:rPr>
      </w:pPr>
      <w:r>
        <w:rPr>
          <w:rFonts w:hint="eastAsia" w:hAnsi="宋体"/>
          <w:sz w:val="28"/>
          <w:szCs w:val="28"/>
        </w:rPr>
        <w:t>加热深度应不小于上面层厚度，路表温度应不超过200 ℃。</w:t>
      </w:r>
    </w:p>
    <w:p w14:paraId="4704753A">
      <w:pPr>
        <w:pStyle w:val="45"/>
        <w:spacing w:line="360" w:lineRule="auto"/>
        <w:rPr>
          <w:rFonts w:hAnsi="宋体"/>
          <w:sz w:val="28"/>
          <w:szCs w:val="28"/>
        </w:rPr>
      </w:pPr>
      <w:r>
        <w:rPr>
          <w:rFonts w:hint="eastAsia" w:hAnsi="宋体"/>
          <w:sz w:val="28"/>
          <w:szCs w:val="28"/>
        </w:rPr>
        <w:t>修复范围内应均匀添加细粒式热态沥青混合料，常温下施工热态沥青混合料温度应不低于130℃，低温下施工热态沥青混合料温度应不低于140 ℃，松铺系数宜控制在1.25~1.50，人工整平、收边。</w:t>
      </w:r>
    </w:p>
    <w:p w14:paraId="11120B64">
      <w:pPr>
        <w:pStyle w:val="49"/>
        <w:spacing w:line="360" w:lineRule="auto"/>
        <w:rPr>
          <w:rFonts w:hAnsi="宋体"/>
          <w:sz w:val="28"/>
          <w:szCs w:val="28"/>
        </w:rPr>
      </w:pPr>
      <w:r>
        <w:rPr>
          <w:rFonts w:hint="eastAsia" w:hAnsi="宋体"/>
          <w:sz w:val="28"/>
          <w:szCs w:val="28"/>
        </w:rPr>
        <w:t>热修复设备宜配备带振动功能的小型压路机，碾压时宜静压两遍，振动四遍，最后再静压两逼。在碾压过程中应控制滚轮的喷水量，以不粘滚轮为标准。</w:t>
      </w:r>
    </w:p>
    <w:p w14:paraId="7C4BB339">
      <w:pPr>
        <w:pStyle w:val="45"/>
        <w:spacing w:line="360" w:lineRule="auto"/>
        <w:rPr>
          <w:rFonts w:hAnsi="宋体"/>
          <w:sz w:val="28"/>
          <w:szCs w:val="28"/>
        </w:rPr>
      </w:pPr>
      <w:r>
        <w:rPr>
          <w:rFonts w:hint="eastAsia" w:hAnsi="宋体"/>
          <w:sz w:val="28"/>
          <w:szCs w:val="28"/>
        </w:rPr>
        <w:t>路表温度降至50 ℃以下，方可开放交通。</w:t>
      </w:r>
    </w:p>
    <w:p w14:paraId="7F277EE0">
      <w:pPr>
        <w:pStyle w:val="35"/>
        <w:spacing w:before="0" w:beforeLines="0" w:after="0" w:afterLines="0" w:line="360" w:lineRule="auto"/>
        <w:outlineLvl w:val="9"/>
        <w:rPr>
          <w:rFonts w:ascii="宋体" w:hAnsi="宋体" w:eastAsia="宋体"/>
          <w:sz w:val="28"/>
          <w:szCs w:val="28"/>
        </w:rPr>
      </w:pPr>
      <w:r>
        <w:rPr>
          <w:rFonts w:hint="eastAsia" w:ascii="宋体" w:hAnsi="宋体" w:eastAsia="宋体"/>
          <w:sz w:val="28"/>
          <w:szCs w:val="28"/>
        </w:rPr>
        <w:t>结构性热修复</w:t>
      </w:r>
    </w:p>
    <w:p w14:paraId="293B4A3E">
      <w:pPr>
        <w:pStyle w:val="45"/>
        <w:spacing w:line="360" w:lineRule="auto"/>
        <w:rPr>
          <w:rFonts w:hAnsi="宋体"/>
          <w:sz w:val="28"/>
          <w:szCs w:val="28"/>
        </w:rPr>
      </w:pPr>
      <w:r>
        <w:rPr>
          <w:rFonts w:hint="eastAsia" w:hAnsi="宋体"/>
          <w:sz w:val="28"/>
          <w:szCs w:val="28"/>
        </w:rPr>
        <w:t>路面结构性热修复施工准备应按6.3.1的规定执行。</w:t>
      </w:r>
    </w:p>
    <w:p w14:paraId="629BF188">
      <w:pPr>
        <w:pStyle w:val="45"/>
        <w:spacing w:line="360" w:lineRule="auto"/>
        <w:rPr>
          <w:rFonts w:hAnsi="宋体"/>
          <w:sz w:val="28"/>
          <w:szCs w:val="28"/>
        </w:rPr>
      </w:pPr>
      <w:r>
        <w:rPr>
          <w:rFonts w:hint="eastAsia" w:hAnsi="宋体"/>
          <w:sz w:val="28"/>
          <w:szCs w:val="28"/>
        </w:rPr>
        <w:t>病害深度达到中下面层及基层时，施工前应准备液压镐等破碎装置。</w:t>
      </w:r>
    </w:p>
    <w:p w14:paraId="138DD36A">
      <w:pPr>
        <w:pStyle w:val="49"/>
        <w:spacing w:line="360" w:lineRule="auto"/>
        <w:rPr>
          <w:rFonts w:hAnsi="宋体"/>
          <w:sz w:val="28"/>
          <w:szCs w:val="28"/>
        </w:rPr>
      </w:pPr>
      <w:r>
        <w:rPr>
          <w:rFonts w:hint="eastAsia" w:hAnsi="宋体"/>
          <w:sz w:val="28"/>
          <w:szCs w:val="28"/>
        </w:rPr>
        <w:t>路面结构性修复分层恹复路面时为了保证下层新沥青混和料的压实度，需要一定的工作面，采用液压镐破碎原路面上层沥青混合料，相对于加热方式效率更高，因此应在施工前准备液压镐等破碎装置。</w:t>
      </w:r>
    </w:p>
    <w:p w14:paraId="42F4374A">
      <w:pPr>
        <w:pStyle w:val="45"/>
        <w:spacing w:line="360" w:lineRule="auto"/>
        <w:rPr>
          <w:rFonts w:hAnsi="宋体"/>
          <w:sz w:val="28"/>
          <w:szCs w:val="28"/>
        </w:rPr>
      </w:pPr>
      <w:r>
        <w:rPr>
          <w:rFonts w:hint="eastAsia" w:hAnsi="宋体"/>
          <w:sz w:val="28"/>
          <w:szCs w:val="28"/>
        </w:rPr>
        <w:t>破碎原路面上面层沥青混合料应减少对级配的破坏，不宜使用切割的方式。</w:t>
      </w:r>
    </w:p>
    <w:p w14:paraId="2DF9EB0D">
      <w:pPr>
        <w:pStyle w:val="45"/>
        <w:spacing w:line="360" w:lineRule="auto"/>
        <w:rPr>
          <w:rFonts w:hAnsi="宋体"/>
          <w:sz w:val="28"/>
          <w:szCs w:val="28"/>
        </w:rPr>
      </w:pPr>
      <w:r>
        <w:rPr>
          <w:rFonts w:hint="eastAsia" w:hAnsi="宋体"/>
          <w:sz w:val="28"/>
          <w:szCs w:val="28"/>
        </w:rPr>
        <w:t>原沥青路面再用料回收至热修复设备拌和装置，回收料块最小直径宜不小于上面层厚度，拌和时可添加沥青再生剂，沥青再生剂添加量宜控制在原沥青路面再用料质量的0.140.2%拌和后热态沥青混合料应不出现花白料。</w:t>
      </w:r>
    </w:p>
    <w:p w14:paraId="67BB0B0A">
      <w:pPr>
        <w:pStyle w:val="45"/>
        <w:spacing w:line="360" w:lineRule="auto"/>
        <w:rPr>
          <w:rFonts w:hAnsi="宋体"/>
          <w:sz w:val="28"/>
          <w:szCs w:val="28"/>
        </w:rPr>
      </w:pPr>
      <w:r>
        <w:rPr>
          <w:rFonts w:hint="eastAsia" w:hAnsi="宋体"/>
          <w:sz w:val="28"/>
          <w:szCs w:val="28"/>
        </w:rPr>
        <w:t>破碎、清除病害深度范围内的中下面层和基层材料后底部应干净、完好。</w:t>
      </w:r>
    </w:p>
    <w:p w14:paraId="0DA37D1D">
      <w:pPr>
        <w:pStyle w:val="45"/>
        <w:spacing w:line="360" w:lineRule="auto"/>
        <w:rPr>
          <w:rFonts w:hAnsi="宋体"/>
          <w:sz w:val="28"/>
          <w:szCs w:val="28"/>
        </w:rPr>
      </w:pPr>
      <w:r>
        <w:rPr>
          <w:rFonts w:hint="eastAsia" w:hAnsi="宋体"/>
          <w:sz w:val="28"/>
          <w:szCs w:val="28"/>
        </w:rPr>
        <w:t>采用热态沥青混合料分层恢复中下面层和基层时，每层的压实厚度不宜大于5 cm，松铺系数宜控制在1.25~1.50，各层裸露面宜均匀喷洒乳化沥青，喷洒量和喷洒顺序应按6.3.1的规定执行。</w:t>
      </w:r>
    </w:p>
    <w:p w14:paraId="54038C63">
      <w:pPr>
        <w:pStyle w:val="45"/>
        <w:spacing w:line="360" w:lineRule="auto"/>
        <w:rPr>
          <w:rFonts w:hAnsi="宋体"/>
          <w:sz w:val="28"/>
          <w:szCs w:val="28"/>
        </w:rPr>
      </w:pPr>
      <w:r>
        <w:rPr>
          <w:rFonts w:hint="eastAsia" w:hAnsi="宋体"/>
          <w:sz w:val="28"/>
          <w:szCs w:val="28"/>
        </w:rPr>
        <w:t>恢复上面层之前应对下部结构层裸露面进行加热，加热后裸露面温度应不超过200 ℃。</w:t>
      </w:r>
    </w:p>
    <w:p w14:paraId="272D9D6A">
      <w:pPr>
        <w:pStyle w:val="45"/>
        <w:spacing w:line="360" w:lineRule="auto"/>
        <w:rPr>
          <w:rFonts w:hAnsi="宋体"/>
          <w:sz w:val="28"/>
          <w:szCs w:val="28"/>
        </w:rPr>
      </w:pPr>
      <w:r>
        <w:rPr>
          <w:rFonts w:hint="eastAsia" w:hAnsi="宋体"/>
          <w:sz w:val="28"/>
          <w:szCs w:val="28"/>
        </w:rPr>
        <w:t>加热结束后，耙松修复范围内裸露面的过程中不应破碎集料，耙松后沥青混合料的温度应不低于120 ℃。</w:t>
      </w:r>
    </w:p>
    <w:p w14:paraId="1BFCB11E">
      <w:pPr>
        <w:pStyle w:val="45"/>
        <w:spacing w:line="360" w:lineRule="auto"/>
        <w:rPr>
          <w:rFonts w:hAnsi="宋体"/>
          <w:sz w:val="28"/>
          <w:szCs w:val="28"/>
        </w:rPr>
      </w:pPr>
      <w:r>
        <w:rPr>
          <w:rFonts w:hint="eastAsia" w:hAnsi="宋体"/>
          <w:sz w:val="28"/>
          <w:szCs w:val="28"/>
        </w:rPr>
        <w:t>修复范围内应均匀添加细粒式热态沥青混合料，常温下施工热态沥青混合料温度应不低于130℃，低温下施工热态沥青混合料温度应不低于140 ℃，松铺系数宜控制在1.25~1.50，人工整平、收边。</w:t>
      </w:r>
    </w:p>
    <w:p w14:paraId="48239BEC">
      <w:pPr>
        <w:pStyle w:val="45"/>
        <w:spacing w:line="360" w:lineRule="auto"/>
        <w:rPr>
          <w:rFonts w:hAnsi="宋体"/>
          <w:sz w:val="28"/>
          <w:szCs w:val="28"/>
        </w:rPr>
      </w:pPr>
      <w:r>
        <w:rPr>
          <w:rFonts w:hint="eastAsia" w:hAnsi="宋体"/>
          <w:sz w:val="28"/>
          <w:szCs w:val="28"/>
        </w:rPr>
        <w:t>上面层整平、压实和开放交通应按6.3.1的规定执行。</w:t>
      </w:r>
      <w:r>
        <w:rPr>
          <w:rFonts w:hint="eastAsia" w:hAnsi="宋体"/>
          <w:sz w:val="28"/>
          <w:szCs w:val="28"/>
        </w:rPr>
        <w:tab/>
      </w:r>
    </w:p>
    <w:p w14:paraId="19218647">
      <w:pPr>
        <w:pStyle w:val="35"/>
        <w:spacing w:before="0" w:beforeLines="0" w:after="0" w:afterLines="0" w:line="360" w:lineRule="auto"/>
        <w:outlineLvl w:val="9"/>
        <w:rPr>
          <w:rFonts w:ascii="宋体" w:hAnsi="宋体" w:eastAsia="宋体"/>
          <w:sz w:val="28"/>
          <w:szCs w:val="28"/>
        </w:rPr>
      </w:pPr>
      <w:r>
        <w:rPr>
          <w:rFonts w:hint="eastAsia" w:ascii="宋体" w:hAnsi="宋体" w:eastAsia="宋体"/>
          <w:sz w:val="28"/>
          <w:szCs w:val="28"/>
        </w:rPr>
        <w:t>附属构造物周边沥青路面热修复</w:t>
      </w:r>
    </w:p>
    <w:p w14:paraId="36290798">
      <w:pPr>
        <w:pStyle w:val="45"/>
        <w:spacing w:line="360" w:lineRule="auto"/>
        <w:rPr>
          <w:rFonts w:hAnsi="宋体"/>
          <w:sz w:val="28"/>
          <w:szCs w:val="28"/>
        </w:rPr>
      </w:pPr>
      <w:r>
        <w:rPr>
          <w:rFonts w:hint="eastAsia" w:hAnsi="宋体"/>
          <w:sz w:val="28"/>
          <w:szCs w:val="28"/>
        </w:rPr>
        <w:t>燃气检查井周边沥青路面热修复前应联系相关单位检测气密性，并确定保护方案。</w:t>
      </w:r>
    </w:p>
    <w:p w14:paraId="5F1515BA">
      <w:pPr>
        <w:pStyle w:val="45"/>
        <w:spacing w:line="360" w:lineRule="auto"/>
        <w:rPr>
          <w:rFonts w:hAnsi="宋体"/>
          <w:sz w:val="28"/>
          <w:szCs w:val="28"/>
        </w:rPr>
      </w:pPr>
      <w:r>
        <w:rPr>
          <w:rFonts w:hint="eastAsia" w:hAnsi="宋体"/>
          <w:sz w:val="28"/>
          <w:szCs w:val="28"/>
        </w:rPr>
        <w:t>污水检查井周边沥青路面热修复前应释放井内有害气体，宜采用移动式设备强制通风，排气时间应大于30 min。</w:t>
      </w:r>
    </w:p>
    <w:p w14:paraId="46EF73A9">
      <w:pPr>
        <w:pStyle w:val="45"/>
        <w:spacing w:line="360" w:lineRule="auto"/>
        <w:rPr>
          <w:rFonts w:hAnsi="宋体"/>
          <w:sz w:val="28"/>
          <w:szCs w:val="28"/>
        </w:rPr>
      </w:pPr>
      <w:r>
        <w:rPr>
          <w:rFonts w:hint="eastAsia" w:hAnsi="宋体"/>
          <w:sz w:val="28"/>
          <w:szCs w:val="28"/>
        </w:rPr>
        <w:t>检查井周边沥青路面热修复时，如需打开井盖应配备安全网等防坠装置。</w:t>
      </w:r>
    </w:p>
    <w:p w14:paraId="6B34F43B">
      <w:pPr>
        <w:pStyle w:val="45"/>
        <w:spacing w:line="360" w:lineRule="auto"/>
        <w:rPr>
          <w:rFonts w:hAnsi="宋体"/>
          <w:sz w:val="28"/>
          <w:szCs w:val="28"/>
        </w:rPr>
      </w:pPr>
      <w:r>
        <w:rPr>
          <w:rFonts w:hint="eastAsia" w:hAnsi="宋体"/>
          <w:sz w:val="28"/>
          <w:szCs w:val="28"/>
        </w:rPr>
        <w:t>加热前应采用耐火材料覆盖路面附属构造物。</w:t>
      </w:r>
    </w:p>
    <w:p w14:paraId="698A7377">
      <w:pPr>
        <w:pStyle w:val="49"/>
        <w:spacing w:line="360" w:lineRule="auto"/>
        <w:rPr>
          <w:rFonts w:hAnsi="宋体"/>
          <w:sz w:val="28"/>
          <w:szCs w:val="28"/>
        </w:rPr>
      </w:pPr>
      <w:r>
        <w:rPr>
          <w:rFonts w:hint="eastAsia" w:hAnsi="宋体"/>
          <w:sz w:val="28"/>
          <w:szCs w:val="28"/>
        </w:rPr>
        <w:t>加热后易产生开裂、变形、污染等情况的路面附属构造物应覆盖耐火材料，如水泥，树脂等构件。</w:t>
      </w:r>
    </w:p>
    <w:p w14:paraId="7F7C9C21">
      <w:pPr>
        <w:pStyle w:val="42"/>
        <w:spacing w:line="360" w:lineRule="auto"/>
        <w:rPr>
          <w:rFonts w:hAnsi="宋体"/>
          <w:sz w:val="28"/>
          <w:szCs w:val="28"/>
        </w:rPr>
      </w:pPr>
      <w:r>
        <w:rPr>
          <w:rFonts w:hint="eastAsia" w:hAnsi="宋体"/>
          <w:sz w:val="28"/>
          <w:szCs w:val="28"/>
        </w:rPr>
        <w:t>非检查井路面附属构造物周边沥青路面热修复。</w:t>
      </w:r>
    </w:p>
    <w:p w14:paraId="6A7EA083">
      <w:pPr>
        <w:pStyle w:val="51"/>
        <w:tabs>
          <w:tab w:val="clear" w:pos="360"/>
        </w:tabs>
        <w:spacing w:line="360" w:lineRule="auto"/>
        <w:ind w:left="851"/>
        <w:rPr>
          <w:rFonts w:hAnsi="宋体"/>
          <w:sz w:val="28"/>
          <w:szCs w:val="28"/>
        </w:rPr>
      </w:pPr>
      <w:r>
        <w:rPr>
          <w:rFonts w:hint="eastAsia" w:hAnsi="宋体"/>
          <w:sz w:val="28"/>
          <w:szCs w:val="28"/>
        </w:rPr>
        <w:t>喷洒乳化沥青前应采用塑料板或纸板覆盖路面附属构造物（路缘石、检查井、雨水篦子、标志标线、绿化带、人行步道、灯杆、隔离栏），喷洒结束后，应移走塑料板或纸板。</w:t>
      </w:r>
    </w:p>
    <w:p w14:paraId="16E0AB9E">
      <w:pPr>
        <w:pStyle w:val="51"/>
        <w:tabs>
          <w:tab w:val="clear" w:pos="360"/>
        </w:tabs>
        <w:spacing w:line="360" w:lineRule="auto"/>
        <w:ind w:left="851"/>
        <w:rPr>
          <w:rFonts w:hAnsi="宋体"/>
          <w:sz w:val="28"/>
          <w:szCs w:val="28"/>
        </w:rPr>
      </w:pPr>
      <w:r>
        <w:rPr>
          <w:rFonts w:hint="eastAsia" w:hAnsi="宋体"/>
          <w:sz w:val="28"/>
          <w:szCs w:val="28"/>
        </w:rPr>
        <w:t>功能性热修复施工应按6.3.1的规定执行。</w:t>
      </w:r>
    </w:p>
    <w:p w14:paraId="442480B3">
      <w:pPr>
        <w:pStyle w:val="51"/>
        <w:tabs>
          <w:tab w:val="clear" w:pos="360"/>
        </w:tabs>
        <w:spacing w:line="360" w:lineRule="auto"/>
        <w:ind w:left="851"/>
        <w:rPr>
          <w:rFonts w:hAnsi="宋体"/>
          <w:sz w:val="28"/>
          <w:szCs w:val="28"/>
        </w:rPr>
      </w:pPr>
      <w:r>
        <w:rPr>
          <w:rFonts w:hint="eastAsia" w:hAnsi="宋体"/>
          <w:sz w:val="28"/>
          <w:szCs w:val="28"/>
        </w:rPr>
        <w:t>结构性热修复施工应按6.3.2的规定执行。</w:t>
      </w:r>
    </w:p>
    <w:p w14:paraId="476A24A0">
      <w:pPr>
        <w:pStyle w:val="42"/>
        <w:spacing w:line="360" w:lineRule="auto"/>
        <w:rPr>
          <w:rFonts w:hAnsi="宋体"/>
          <w:sz w:val="28"/>
          <w:szCs w:val="28"/>
        </w:rPr>
      </w:pPr>
      <w:r>
        <w:rPr>
          <w:rFonts w:hint="eastAsia" w:hAnsi="宋体"/>
          <w:sz w:val="28"/>
          <w:szCs w:val="28"/>
        </w:rPr>
        <w:t>检查井周边沥青路面热修复。</w:t>
      </w:r>
    </w:p>
    <w:p w14:paraId="4E0BE08C">
      <w:pPr>
        <w:pStyle w:val="51"/>
        <w:tabs>
          <w:tab w:val="clear" w:pos="360"/>
        </w:tabs>
        <w:spacing w:line="360" w:lineRule="auto"/>
        <w:ind w:left="851"/>
        <w:rPr>
          <w:rFonts w:hAnsi="宋体"/>
          <w:sz w:val="28"/>
          <w:szCs w:val="28"/>
        </w:rPr>
      </w:pPr>
      <w:r>
        <w:rPr>
          <w:rFonts w:hint="eastAsia" w:hAnsi="宋体"/>
          <w:sz w:val="28"/>
          <w:szCs w:val="28"/>
        </w:rPr>
        <w:t>非防沉降检查井周边沥青路面热修复应按路面附属构造物的规定执行。</w:t>
      </w:r>
    </w:p>
    <w:p w14:paraId="38B22D35">
      <w:pPr>
        <w:pStyle w:val="51"/>
        <w:tabs>
          <w:tab w:val="clear" w:pos="360"/>
        </w:tabs>
        <w:spacing w:line="360" w:lineRule="auto"/>
        <w:ind w:left="851"/>
        <w:rPr>
          <w:rFonts w:hAnsi="宋体"/>
          <w:sz w:val="28"/>
          <w:szCs w:val="28"/>
        </w:rPr>
      </w:pPr>
      <w:r>
        <w:rPr>
          <w:rFonts w:hint="eastAsia" w:hAnsi="宋体"/>
          <w:sz w:val="28"/>
          <w:szCs w:val="28"/>
        </w:rPr>
        <w:t>防沉降检查井周边沥青路面功能性热修复施工工艺流程宜按规定执行。</w:t>
      </w:r>
    </w:p>
    <w:p w14:paraId="267D15A2">
      <w:pPr>
        <w:pStyle w:val="51"/>
        <w:tabs>
          <w:tab w:val="clear" w:pos="360"/>
        </w:tabs>
        <w:spacing w:line="360" w:lineRule="auto"/>
        <w:ind w:left="851"/>
        <w:rPr>
          <w:rFonts w:hAnsi="宋体"/>
          <w:sz w:val="28"/>
          <w:szCs w:val="28"/>
        </w:rPr>
      </w:pPr>
      <w:r>
        <w:rPr>
          <w:rFonts w:hint="eastAsia" w:hAnsi="宋体"/>
          <w:sz w:val="28"/>
          <w:szCs w:val="28"/>
        </w:rPr>
        <w:t>拆除井盖后应放入限位器，限位器外壁应均匀涂抹防粘剂。</w:t>
      </w:r>
    </w:p>
    <w:p w14:paraId="27B3B75A">
      <w:pPr>
        <w:pStyle w:val="51"/>
        <w:tabs>
          <w:tab w:val="clear" w:pos="360"/>
        </w:tabs>
        <w:spacing w:line="360" w:lineRule="auto"/>
        <w:ind w:left="851"/>
        <w:rPr>
          <w:rFonts w:hAnsi="宋体"/>
          <w:sz w:val="28"/>
          <w:szCs w:val="28"/>
        </w:rPr>
      </w:pPr>
      <w:r>
        <w:rPr>
          <w:rFonts w:hint="eastAsia" w:hAnsi="宋体"/>
          <w:sz w:val="28"/>
          <w:szCs w:val="28"/>
        </w:rPr>
        <w:t>井周边及法兰式下盘面下部热态沥青混合料应采用压路机一次性压实。</w:t>
      </w:r>
    </w:p>
    <w:p w14:paraId="348DC6D2">
      <w:pPr>
        <w:pStyle w:val="49"/>
        <w:spacing w:line="360" w:lineRule="auto"/>
        <w:rPr>
          <w:rFonts w:hAnsi="宋体"/>
          <w:sz w:val="28"/>
          <w:szCs w:val="28"/>
        </w:rPr>
      </w:pPr>
      <w:r>
        <w:rPr>
          <w:rFonts w:hint="eastAsia" w:hAnsi="宋体"/>
          <w:sz w:val="28"/>
          <w:szCs w:val="28"/>
        </w:rPr>
        <w:t>防沉降井盖为铸铁井盖，且井盖由法兰式下盘面下部的沥青混合料支撑，因而应采用压路机压实。</w:t>
      </w:r>
    </w:p>
    <w:p w14:paraId="3E1138EF">
      <w:pPr>
        <w:pStyle w:val="39"/>
        <w:spacing w:before="0" w:beforeLines="0" w:after="0" w:afterLines="0" w:line="360" w:lineRule="auto"/>
        <w:outlineLvl w:val="9"/>
        <w:rPr>
          <w:rFonts w:ascii="宋体" w:hAnsi="宋体" w:eastAsia="宋体"/>
          <w:sz w:val="28"/>
          <w:szCs w:val="28"/>
        </w:rPr>
      </w:pPr>
      <w:r>
        <w:rPr>
          <w:rFonts w:hint="eastAsia" w:ascii="宋体" w:hAnsi="宋体" w:eastAsia="宋体"/>
          <w:sz w:val="28"/>
          <w:szCs w:val="28"/>
        </w:rPr>
        <w:t>质量验收</w:t>
      </w:r>
    </w:p>
    <w:p w14:paraId="35C21014">
      <w:pPr>
        <w:pStyle w:val="40"/>
        <w:spacing w:before="0" w:beforeLines="0" w:after="0" w:afterLines="0" w:line="360" w:lineRule="auto"/>
        <w:outlineLvl w:val="9"/>
        <w:rPr>
          <w:rFonts w:ascii="宋体" w:hAnsi="宋体" w:eastAsia="宋体"/>
          <w:sz w:val="28"/>
          <w:szCs w:val="28"/>
        </w:rPr>
      </w:pPr>
      <w:r>
        <w:rPr>
          <w:rFonts w:hint="eastAsia" w:ascii="宋体" w:hAnsi="宋体" w:eastAsia="宋体"/>
          <w:sz w:val="28"/>
          <w:szCs w:val="28"/>
        </w:rPr>
        <w:t>一般规定</w:t>
      </w:r>
    </w:p>
    <w:p w14:paraId="70EF8E47">
      <w:pPr>
        <w:pStyle w:val="46"/>
        <w:spacing w:line="360" w:lineRule="auto"/>
        <w:rPr>
          <w:rFonts w:hAnsi="宋体"/>
          <w:sz w:val="28"/>
          <w:szCs w:val="28"/>
        </w:rPr>
      </w:pPr>
      <w:r>
        <w:rPr>
          <w:rFonts w:hint="eastAsia" w:hAnsi="宋体"/>
          <w:sz w:val="28"/>
          <w:szCs w:val="28"/>
        </w:rPr>
        <w:t>沥青路面绿色养护工程的质量验收，应在施工单位自行检查评定的基础上，由建设单位或委托的监理单位组织相关单位进行。验收应遵循数据化、规范化的原则，确保养护效果满足设计要求及行车安全、舒适、环保的需要。</w:t>
      </w:r>
    </w:p>
    <w:p w14:paraId="313230C8">
      <w:pPr>
        <w:pStyle w:val="46"/>
        <w:spacing w:line="360" w:lineRule="auto"/>
        <w:rPr>
          <w:rFonts w:hAnsi="宋体"/>
          <w:sz w:val="28"/>
          <w:szCs w:val="28"/>
        </w:rPr>
      </w:pPr>
      <w:r>
        <w:rPr>
          <w:rFonts w:hint="eastAsia" w:hAnsi="宋体"/>
          <w:sz w:val="28"/>
          <w:szCs w:val="28"/>
        </w:rPr>
        <w:t>施工单位应建立完整的绿色养护施工台账。台账内容除常规施工记录外，应特别包含旧料回收量、再生剂用量、新料添加量、加热温度与时间、能源消耗类型与用量等关键绿色养护过程数据，实现对材料循环利用与能耗的追溯管理。</w:t>
      </w:r>
    </w:p>
    <w:p w14:paraId="6D862D37">
      <w:pPr>
        <w:pStyle w:val="46"/>
        <w:spacing w:line="360" w:lineRule="auto"/>
        <w:rPr>
          <w:rFonts w:hAnsi="宋体"/>
          <w:sz w:val="28"/>
          <w:szCs w:val="28"/>
        </w:rPr>
      </w:pPr>
      <w:r>
        <w:rPr>
          <w:rFonts w:hint="eastAsia" w:hAnsi="宋体"/>
          <w:sz w:val="28"/>
          <w:szCs w:val="28"/>
        </w:rPr>
        <w:t>施工单位应建立健全的质量管理体系，对施工全过程进行质量控制，并保存完整的自查记录。自查应包括原材料进场检验、施工过程关键工序控制及成品检测。</w:t>
      </w:r>
    </w:p>
    <w:p w14:paraId="4F817889">
      <w:pPr>
        <w:pStyle w:val="46"/>
        <w:spacing w:line="360" w:lineRule="auto"/>
        <w:rPr>
          <w:rFonts w:hAnsi="宋体"/>
          <w:sz w:val="28"/>
          <w:szCs w:val="28"/>
        </w:rPr>
      </w:pPr>
      <w:r>
        <w:rPr>
          <w:rFonts w:hint="eastAsia" w:hAnsi="宋体"/>
          <w:sz w:val="28"/>
          <w:szCs w:val="28"/>
        </w:rPr>
        <w:t>工程质量验收应划分为主控项目和一般项目。</w:t>
      </w:r>
    </w:p>
    <w:p w14:paraId="34FA0CCB">
      <w:pPr>
        <w:pStyle w:val="42"/>
        <w:spacing w:line="360" w:lineRule="auto"/>
        <w:rPr>
          <w:rFonts w:hAnsi="宋体"/>
          <w:sz w:val="28"/>
          <w:szCs w:val="28"/>
        </w:rPr>
      </w:pPr>
      <w:r>
        <w:rPr>
          <w:rFonts w:hint="eastAsia" w:hAnsi="宋体"/>
          <w:sz w:val="28"/>
          <w:szCs w:val="28"/>
        </w:rPr>
        <w:t>主控项目：指对工程结构安全、使用功能及环境保护起决定性作用的检验项目，必须全部符合本规范的规定。</w:t>
      </w:r>
    </w:p>
    <w:p w14:paraId="77C9863C">
      <w:pPr>
        <w:pStyle w:val="42"/>
        <w:spacing w:line="360" w:lineRule="auto"/>
        <w:rPr>
          <w:rFonts w:hAnsi="宋体"/>
          <w:sz w:val="28"/>
          <w:szCs w:val="28"/>
        </w:rPr>
      </w:pPr>
      <w:r>
        <w:rPr>
          <w:rFonts w:hint="eastAsia" w:hAnsi="宋体"/>
          <w:sz w:val="28"/>
          <w:szCs w:val="28"/>
        </w:rPr>
        <w:t>一般项目：指除主控项目外的其他检验项目，其质量状况对工程的整体性能和外观具有重要影响。</w:t>
      </w:r>
    </w:p>
    <w:p w14:paraId="092F985F">
      <w:pPr>
        <w:pStyle w:val="46"/>
        <w:spacing w:line="360" w:lineRule="auto"/>
        <w:rPr>
          <w:rFonts w:hAnsi="宋体"/>
          <w:sz w:val="28"/>
          <w:szCs w:val="28"/>
        </w:rPr>
      </w:pPr>
      <w:r>
        <w:rPr>
          <w:rFonts w:hint="eastAsia" w:hAnsi="宋体"/>
          <w:sz w:val="28"/>
          <w:szCs w:val="28"/>
        </w:rPr>
        <w:t>质量验收的抽样与合格判定应符合下列规定：</w:t>
      </w:r>
    </w:p>
    <w:p w14:paraId="01F52FA2">
      <w:pPr>
        <w:pStyle w:val="42"/>
        <w:spacing w:line="360" w:lineRule="auto"/>
        <w:rPr>
          <w:rFonts w:hAnsi="宋体"/>
          <w:sz w:val="28"/>
          <w:szCs w:val="28"/>
        </w:rPr>
      </w:pPr>
      <w:r>
        <w:rPr>
          <w:rFonts w:hint="eastAsia" w:hAnsi="宋体"/>
          <w:sz w:val="28"/>
          <w:szCs w:val="28"/>
        </w:rPr>
        <w:t>主控项目的抽样点（处）合格率应达到95% 及以上。</w:t>
      </w:r>
    </w:p>
    <w:p w14:paraId="36311964">
      <w:pPr>
        <w:pStyle w:val="42"/>
        <w:spacing w:line="360" w:lineRule="auto"/>
        <w:rPr>
          <w:rFonts w:hAnsi="宋体"/>
          <w:sz w:val="28"/>
          <w:szCs w:val="28"/>
        </w:rPr>
      </w:pPr>
      <w:r>
        <w:rPr>
          <w:rFonts w:hint="eastAsia" w:hAnsi="宋体"/>
          <w:sz w:val="28"/>
          <w:szCs w:val="28"/>
        </w:rPr>
        <w:t>一般项目的抽样点（处）合格率应达到80% 及以上。</w:t>
      </w:r>
    </w:p>
    <w:p w14:paraId="14A7EC5F">
      <w:pPr>
        <w:pStyle w:val="42"/>
        <w:spacing w:line="360" w:lineRule="auto"/>
        <w:rPr>
          <w:rFonts w:hAnsi="宋体"/>
          <w:sz w:val="28"/>
          <w:szCs w:val="28"/>
        </w:rPr>
      </w:pPr>
      <w:r>
        <w:rPr>
          <w:rFonts w:hint="eastAsia" w:hAnsi="宋体"/>
          <w:sz w:val="28"/>
          <w:szCs w:val="28"/>
        </w:rPr>
        <w:t>对于具有偏差值但主要不是靠数据表示的一般项目，当采用观察检查时，应由不少于3名验收人员共同确认，并以多数人的意见作为验收结论。</w:t>
      </w:r>
    </w:p>
    <w:p w14:paraId="0923B73B">
      <w:pPr>
        <w:pStyle w:val="40"/>
        <w:spacing w:before="0" w:beforeLines="0" w:after="0" w:afterLines="0" w:line="360" w:lineRule="auto"/>
        <w:outlineLvl w:val="9"/>
        <w:rPr>
          <w:rFonts w:ascii="宋体" w:hAnsi="宋体" w:eastAsia="宋体"/>
          <w:sz w:val="28"/>
          <w:szCs w:val="28"/>
        </w:rPr>
      </w:pPr>
      <w:r>
        <w:rPr>
          <w:rFonts w:hint="eastAsia" w:ascii="宋体" w:hAnsi="宋体" w:eastAsia="宋体"/>
          <w:sz w:val="28"/>
          <w:szCs w:val="28"/>
        </w:rPr>
        <w:t>控制项目</w:t>
      </w:r>
    </w:p>
    <w:p w14:paraId="3A39072F">
      <w:pPr>
        <w:pStyle w:val="35"/>
        <w:spacing w:before="0" w:beforeLines="0" w:after="0" w:afterLines="0" w:line="360" w:lineRule="auto"/>
        <w:outlineLvl w:val="9"/>
        <w:rPr>
          <w:rFonts w:ascii="宋体" w:hAnsi="宋体" w:eastAsia="宋体"/>
          <w:sz w:val="28"/>
          <w:szCs w:val="28"/>
        </w:rPr>
      </w:pPr>
      <w:r>
        <w:rPr>
          <w:rFonts w:hint="eastAsia" w:ascii="宋体" w:hAnsi="宋体" w:eastAsia="宋体"/>
          <w:sz w:val="28"/>
          <w:szCs w:val="28"/>
        </w:rPr>
        <w:t>主控项目</w:t>
      </w:r>
    </w:p>
    <w:p w14:paraId="38D56B1E">
      <w:pPr>
        <w:pStyle w:val="36"/>
        <w:spacing w:before="0" w:beforeLines="0" w:after="0" w:afterLines="0" w:line="360" w:lineRule="auto"/>
        <w:outlineLvl w:val="9"/>
        <w:rPr>
          <w:rFonts w:ascii="宋体" w:hAnsi="宋体" w:eastAsia="宋体"/>
          <w:sz w:val="28"/>
          <w:szCs w:val="28"/>
        </w:rPr>
      </w:pPr>
      <w:r>
        <w:rPr>
          <w:rFonts w:hint="eastAsia" w:ascii="宋体" w:hAnsi="宋体" w:eastAsia="宋体"/>
          <w:sz w:val="28"/>
          <w:szCs w:val="28"/>
        </w:rPr>
        <w:t>平整度</w:t>
      </w:r>
    </w:p>
    <w:p w14:paraId="6E7B3DF4">
      <w:pPr>
        <w:pStyle w:val="34"/>
        <w:spacing w:line="360" w:lineRule="auto"/>
        <w:ind w:firstLine="560"/>
        <w:rPr>
          <w:rFonts w:hAnsi="宋体"/>
          <w:sz w:val="28"/>
          <w:szCs w:val="28"/>
        </w:rPr>
      </w:pPr>
      <w:r>
        <w:rPr>
          <w:rFonts w:hint="eastAsia" w:hAnsi="宋体"/>
          <w:sz w:val="28"/>
          <w:szCs w:val="28"/>
        </w:rPr>
        <w:t>修复后的路面应平整、顺适，其最大间隙不应大于5mm。</w:t>
      </w:r>
    </w:p>
    <w:p w14:paraId="0904B49A">
      <w:pPr>
        <w:pStyle w:val="42"/>
        <w:spacing w:line="360" w:lineRule="auto"/>
        <w:rPr>
          <w:rFonts w:hAnsi="宋体"/>
          <w:sz w:val="28"/>
          <w:szCs w:val="28"/>
        </w:rPr>
      </w:pPr>
      <w:r>
        <w:rPr>
          <w:rFonts w:hint="eastAsia" w:hAnsi="宋体"/>
          <w:sz w:val="28"/>
          <w:szCs w:val="28"/>
        </w:rPr>
        <w:t>检验频率：对每个修复单元（单个坑槽或连续修补区域）进行全数检查。</w:t>
      </w:r>
    </w:p>
    <w:p w14:paraId="14912E45">
      <w:pPr>
        <w:pStyle w:val="42"/>
        <w:spacing w:line="360" w:lineRule="auto"/>
        <w:rPr>
          <w:rFonts w:hAnsi="宋体"/>
          <w:sz w:val="28"/>
          <w:szCs w:val="28"/>
        </w:rPr>
      </w:pPr>
      <w:r>
        <w:rPr>
          <w:rFonts w:hint="eastAsia" w:hAnsi="宋体"/>
          <w:sz w:val="28"/>
          <w:szCs w:val="28"/>
        </w:rPr>
        <w:t>检验方法：采用3m直尺连续测量，每处至少测量一个断面，取最大间隙值为检测结果。</w:t>
      </w:r>
    </w:p>
    <w:p w14:paraId="20A8DAFE">
      <w:pPr>
        <w:pStyle w:val="36"/>
        <w:spacing w:before="0" w:beforeLines="0" w:after="0" w:afterLines="0" w:line="360" w:lineRule="auto"/>
        <w:outlineLvl w:val="9"/>
        <w:rPr>
          <w:rFonts w:ascii="宋体" w:hAnsi="宋体" w:eastAsia="宋体"/>
          <w:sz w:val="28"/>
          <w:szCs w:val="28"/>
        </w:rPr>
      </w:pPr>
      <w:r>
        <w:rPr>
          <w:rFonts w:hint="eastAsia" w:ascii="宋体" w:hAnsi="宋体" w:eastAsia="宋体"/>
          <w:sz w:val="28"/>
          <w:szCs w:val="28"/>
        </w:rPr>
        <w:t>压实度</w:t>
      </w:r>
    </w:p>
    <w:p w14:paraId="08E61885">
      <w:pPr>
        <w:pStyle w:val="34"/>
        <w:spacing w:line="360" w:lineRule="auto"/>
        <w:ind w:firstLine="560"/>
        <w:rPr>
          <w:rFonts w:hAnsi="宋体"/>
          <w:sz w:val="28"/>
          <w:szCs w:val="28"/>
        </w:rPr>
      </w:pPr>
      <w:r>
        <w:rPr>
          <w:rFonts w:hint="eastAsia" w:hAnsi="宋体"/>
          <w:sz w:val="28"/>
          <w:szCs w:val="28"/>
        </w:rPr>
        <w:t>采用热再生工艺修复的面层，其压实度不应小于95%；采用挖补工艺修复的面层，其压实度不应小于96%。</w:t>
      </w:r>
    </w:p>
    <w:p w14:paraId="7E475C69">
      <w:pPr>
        <w:pStyle w:val="42"/>
        <w:spacing w:line="360" w:lineRule="auto"/>
        <w:rPr>
          <w:rFonts w:hAnsi="宋体"/>
          <w:sz w:val="28"/>
          <w:szCs w:val="28"/>
        </w:rPr>
      </w:pPr>
      <w:r>
        <w:rPr>
          <w:rFonts w:hint="eastAsia" w:hAnsi="宋体"/>
          <w:sz w:val="28"/>
          <w:szCs w:val="28"/>
        </w:rPr>
        <w:t>检验频率：每200 m²修复面积检测1点，不足200 m²时按1点检测。对于面积小于10m²的零星修补，可每5处检测1点。</w:t>
      </w:r>
    </w:p>
    <w:p w14:paraId="12B12DE5">
      <w:pPr>
        <w:pStyle w:val="42"/>
        <w:spacing w:line="360" w:lineRule="auto"/>
        <w:rPr>
          <w:rFonts w:hAnsi="宋体"/>
          <w:sz w:val="28"/>
          <w:szCs w:val="28"/>
        </w:rPr>
      </w:pPr>
      <w:r>
        <w:rPr>
          <w:rFonts w:hint="eastAsia" w:hAnsi="宋体"/>
          <w:sz w:val="28"/>
          <w:szCs w:val="28"/>
        </w:rPr>
        <w:t>检验方法：采用钻孔取芯法测定其密度。标准密度应采用马歇尔击实试验成型的试件密度，或通过试验路确定的控制密度。钻孔后应及时采用相同类型的热沥青混合料进行密实回填，确保修复处不再产生病害，体现全过程绿色修复理念。</w:t>
      </w:r>
    </w:p>
    <w:p w14:paraId="323A6683">
      <w:pPr>
        <w:pStyle w:val="36"/>
        <w:spacing w:before="0" w:beforeLines="0" w:after="0" w:afterLines="0" w:line="360" w:lineRule="auto"/>
        <w:outlineLvl w:val="9"/>
        <w:rPr>
          <w:rFonts w:ascii="宋体" w:hAnsi="宋体" w:eastAsia="宋体"/>
          <w:sz w:val="28"/>
          <w:szCs w:val="28"/>
        </w:rPr>
      </w:pPr>
      <w:r>
        <w:rPr>
          <w:rFonts w:hint="eastAsia" w:ascii="宋体" w:hAnsi="宋体" w:eastAsia="宋体"/>
          <w:sz w:val="28"/>
          <w:szCs w:val="28"/>
        </w:rPr>
        <w:t>修复层厚度</w:t>
      </w:r>
    </w:p>
    <w:p w14:paraId="057B6B89">
      <w:pPr>
        <w:pStyle w:val="34"/>
        <w:spacing w:line="360" w:lineRule="auto"/>
        <w:ind w:firstLine="560"/>
        <w:rPr>
          <w:rFonts w:hAnsi="宋体"/>
          <w:sz w:val="28"/>
          <w:szCs w:val="28"/>
        </w:rPr>
      </w:pPr>
      <w:r>
        <w:rPr>
          <w:rFonts w:hint="eastAsia" w:hAnsi="宋体"/>
          <w:sz w:val="28"/>
          <w:szCs w:val="28"/>
        </w:rPr>
        <w:t>修复后面层的厚度应符合设计要求，允许偏差为+10mm，-5mm。</w:t>
      </w:r>
    </w:p>
    <w:p w14:paraId="6AD9263B">
      <w:pPr>
        <w:pStyle w:val="42"/>
        <w:spacing w:line="360" w:lineRule="auto"/>
        <w:rPr>
          <w:rFonts w:hAnsi="宋体"/>
          <w:sz w:val="28"/>
          <w:szCs w:val="28"/>
        </w:rPr>
      </w:pPr>
      <w:r>
        <w:rPr>
          <w:rFonts w:hint="eastAsia" w:hAnsi="宋体"/>
          <w:sz w:val="28"/>
          <w:szCs w:val="28"/>
        </w:rPr>
        <w:t>检验频率：每200 m²修复面积检测1点，不足200 m²时按1点检测。</w:t>
      </w:r>
    </w:p>
    <w:p w14:paraId="279C9FDE">
      <w:pPr>
        <w:pStyle w:val="42"/>
        <w:spacing w:line="360" w:lineRule="auto"/>
        <w:rPr>
          <w:rFonts w:hAnsi="宋体"/>
          <w:sz w:val="28"/>
          <w:szCs w:val="28"/>
        </w:rPr>
      </w:pPr>
      <w:r>
        <w:rPr>
          <w:rFonts w:hint="eastAsia" w:hAnsi="宋体"/>
          <w:sz w:val="28"/>
          <w:szCs w:val="28"/>
        </w:rPr>
        <w:t>检验方法：与压实度检验同步进行，在钻孔取芯样上直接量测。</w:t>
      </w:r>
    </w:p>
    <w:p w14:paraId="3EADD9FF">
      <w:pPr>
        <w:pStyle w:val="36"/>
        <w:spacing w:before="0" w:beforeLines="0" w:after="0" w:afterLines="0" w:line="360" w:lineRule="auto"/>
        <w:outlineLvl w:val="9"/>
        <w:rPr>
          <w:rFonts w:ascii="宋体" w:hAnsi="宋体" w:eastAsia="宋体"/>
          <w:sz w:val="28"/>
          <w:szCs w:val="28"/>
        </w:rPr>
      </w:pPr>
      <w:r>
        <w:rPr>
          <w:rFonts w:hint="eastAsia" w:ascii="宋体" w:hAnsi="宋体" w:eastAsia="宋体"/>
          <w:sz w:val="28"/>
          <w:szCs w:val="28"/>
        </w:rPr>
        <w:t>新旧路面粘结</w:t>
      </w:r>
    </w:p>
    <w:p w14:paraId="2E90D704">
      <w:pPr>
        <w:pStyle w:val="34"/>
        <w:spacing w:line="360" w:lineRule="auto"/>
        <w:ind w:firstLine="560"/>
        <w:rPr>
          <w:rFonts w:hAnsi="宋体"/>
          <w:sz w:val="28"/>
          <w:szCs w:val="28"/>
        </w:rPr>
      </w:pPr>
      <w:r>
        <w:rPr>
          <w:rFonts w:hint="eastAsia" w:hAnsi="宋体"/>
          <w:sz w:val="28"/>
          <w:szCs w:val="28"/>
        </w:rPr>
        <w:t>修复区域与原路面、接缝处应粘结牢固、密水，不得有松散、脱开现象。在重型车辆反复制动作用下，不应出现推移、拥包或接缝料脱落。</w:t>
      </w:r>
    </w:p>
    <w:p w14:paraId="059583F5">
      <w:pPr>
        <w:pStyle w:val="42"/>
        <w:spacing w:line="360" w:lineRule="auto"/>
        <w:rPr>
          <w:rFonts w:hAnsi="宋体"/>
          <w:sz w:val="28"/>
          <w:szCs w:val="28"/>
        </w:rPr>
      </w:pPr>
      <w:r>
        <w:rPr>
          <w:rFonts w:hint="eastAsia" w:hAnsi="宋体"/>
          <w:sz w:val="28"/>
          <w:szCs w:val="28"/>
        </w:rPr>
        <w:t>检验频率：全数检查。</w:t>
      </w:r>
    </w:p>
    <w:p w14:paraId="53F3F6C4">
      <w:pPr>
        <w:pStyle w:val="42"/>
        <w:spacing w:line="360" w:lineRule="auto"/>
        <w:rPr>
          <w:rFonts w:hAnsi="宋体"/>
          <w:sz w:val="28"/>
          <w:szCs w:val="28"/>
        </w:rPr>
      </w:pPr>
      <w:r>
        <w:rPr>
          <w:rFonts w:hint="eastAsia" w:hAnsi="宋体"/>
          <w:sz w:val="28"/>
          <w:szCs w:val="28"/>
        </w:rPr>
        <w:t>检验方法：可采用观察、用橡皮锤轻击检查，必要时可采用泼水试验检查密水性。</w:t>
      </w:r>
    </w:p>
    <w:p w14:paraId="514E8FD9">
      <w:pPr>
        <w:pStyle w:val="35"/>
        <w:spacing w:before="0" w:beforeLines="0" w:after="0" w:afterLines="0" w:line="360" w:lineRule="auto"/>
        <w:outlineLvl w:val="9"/>
        <w:rPr>
          <w:rFonts w:ascii="宋体" w:hAnsi="宋体" w:eastAsia="宋体"/>
          <w:sz w:val="28"/>
          <w:szCs w:val="28"/>
        </w:rPr>
      </w:pPr>
      <w:r>
        <w:rPr>
          <w:rFonts w:hint="eastAsia" w:ascii="宋体" w:hAnsi="宋体" w:eastAsia="宋体"/>
          <w:sz w:val="28"/>
          <w:szCs w:val="28"/>
        </w:rPr>
        <w:t>一般项目</w:t>
      </w:r>
    </w:p>
    <w:p w14:paraId="4DF15F15">
      <w:pPr>
        <w:pStyle w:val="36"/>
        <w:spacing w:before="0" w:beforeLines="0" w:after="0" w:afterLines="0" w:line="360" w:lineRule="auto"/>
        <w:outlineLvl w:val="9"/>
        <w:rPr>
          <w:rFonts w:ascii="宋体" w:hAnsi="宋体" w:eastAsia="宋体"/>
          <w:sz w:val="28"/>
          <w:szCs w:val="28"/>
        </w:rPr>
      </w:pPr>
      <w:r>
        <w:rPr>
          <w:rFonts w:hint="eastAsia" w:ascii="宋体" w:hAnsi="宋体" w:eastAsia="宋体"/>
          <w:sz w:val="28"/>
          <w:szCs w:val="28"/>
        </w:rPr>
        <w:t>外观质量</w:t>
      </w:r>
    </w:p>
    <w:p w14:paraId="3FD98E02">
      <w:pPr>
        <w:pStyle w:val="34"/>
        <w:spacing w:line="360" w:lineRule="auto"/>
        <w:ind w:firstLine="560"/>
        <w:rPr>
          <w:rFonts w:hAnsi="宋体"/>
          <w:sz w:val="28"/>
          <w:szCs w:val="28"/>
        </w:rPr>
      </w:pPr>
      <w:r>
        <w:rPr>
          <w:rFonts w:hint="eastAsia" w:hAnsi="宋体"/>
          <w:sz w:val="28"/>
          <w:szCs w:val="28"/>
        </w:rPr>
        <w:t>修复后的路面表面应均匀、密实，无明显的轮迹、裂缝、推挤、脱落、烂边、油斑、离析、集料剥落等缺陷。对于热再生修复区域，其颜色与周边原路面应基本协调。</w:t>
      </w:r>
    </w:p>
    <w:p w14:paraId="1829B35A">
      <w:pPr>
        <w:pStyle w:val="42"/>
        <w:spacing w:line="360" w:lineRule="auto"/>
        <w:rPr>
          <w:rFonts w:hAnsi="宋体"/>
          <w:sz w:val="28"/>
          <w:szCs w:val="28"/>
        </w:rPr>
      </w:pPr>
      <w:r>
        <w:rPr>
          <w:rFonts w:hint="eastAsia" w:hAnsi="宋体"/>
          <w:sz w:val="28"/>
          <w:szCs w:val="28"/>
        </w:rPr>
        <w:t>检查数量：全数检查。</w:t>
      </w:r>
    </w:p>
    <w:p w14:paraId="12D24842">
      <w:pPr>
        <w:pStyle w:val="42"/>
        <w:spacing w:line="360" w:lineRule="auto"/>
        <w:rPr>
          <w:rFonts w:hAnsi="宋体"/>
          <w:sz w:val="28"/>
          <w:szCs w:val="28"/>
        </w:rPr>
      </w:pPr>
      <w:r>
        <w:rPr>
          <w:rFonts w:hint="eastAsia" w:hAnsi="宋体"/>
          <w:sz w:val="28"/>
          <w:szCs w:val="28"/>
        </w:rPr>
        <w:t>检验方法：目测观察。</w:t>
      </w:r>
    </w:p>
    <w:p w14:paraId="282AC72C">
      <w:pPr>
        <w:pStyle w:val="36"/>
        <w:spacing w:before="0" w:beforeLines="0" w:after="0" w:afterLines="0" w:line="360" w:lineRule="auto"/>
        <w:outlineLvl w:val="9"/>
        <w:rPr>
          <w:rFonts w:ascii="宋体" w:hAnsi="宋体" w:eastAsia="宋体"/>
          <w:sz w:val="28"/>
          <w:szCs w:val="28"/>
        </w:rPr>
      </w:pPr>
      <w:r>
        <w:rPr>
          <w:rFonts w:hint="eastAsia" w:ascii="宋体" w:hAnsi="宋体" w:eastAsia="宋体"/>
          <w:sz w:val="28"/>
          <w:szCs w:val="28"/>
        </w:rPr>
        <w:t>与附属构筑物高差</w:t>
      </w:r>
    </w:p>
    <w:p w14:paraId="0C27A97F">
      <w:pPr>
        <w:pStyle w:val="34"/>
        <w:spacing w:line="360" w:lineRule="auto"/>
        <w:ind w:firstLine="560"/>
        <w:rPr>
          <w:rFonts w:hAnsi="宋体"/>
          <w:sz w:val="28"/>
          <w:szCs w:val="28"/>
        </w:rPr>
      </w:pPr>
      <w:r>
        <w:rPr>
          <w:rFonts w:hint="eastAsia" w:hAnsi="宋体"/>
          <w:sz w:val="28"/>
          <w:szCs w:val="28"/>
        </w:rPr>
        <w:t>路面范围内的检查井盖、雨水口、路缘石（平石）等附属构筑物，其顶面与修复后路面的高差不应大于5mm，且不应影响路面排水。</w:t>
      </w:r>
    </w:p>
    <w:p w14:paraId="689E1DB0">
      <w:pPr>
        <w:pStyle w:val="42"/>
        <w:spacing w:line="360" w:lineRule="auto"/>
        <w:rPr>
          <w:rFonts w:hAnsi="宋体"/>
          <w:sz w:val="28"/>
          <w:szCs w:val="28"/>
        </w:rPr>
      </w:pPr>
      <w:r>
        <w:rPr>
          <w:rFonts w:hint="eastAsia" w:hAnsi="宋体"/>
          <w:sz w:val="28"/>
          <w:szCs w:val="28"/>
        </w:rPr>
        <w:t>检查数量：对修复区域内及周边1米范围内的所有附属构筑物进行全数检查。</w:t>
      </w:r>
    </w:p>
    <w:p w14:paraId="14E5DDC1">
      <w:pPr>
        <w:pStyle w:val="42"/>
        <w:spacing w:line="360" w:lineRule="auto"/>
        <w:rPr>
          <w:rFonts w:hAnsi="宋体"/>
          <w:sz w:val="28"/>
          <w:szCs w:val="28"/>
        </w:rPr>
      </w:pPr>
      <w:r>
        <w:rPr>
          <w:rFonts w:hint="eastAsia" w:hAnsi="宋体"/>
          <w:sz w:val="28"/>
          <w:szCs w:val="28"/>
        </w:rPr>
        <w:t>检验方法：用直尺（或塞尺）进行测量。</w:t>
      </w:r>
    </w:p>
    <w:p w14:paraId="5178EF68">
      <w:pPr>
        <w:pStyle w:val="36"/>
        <w:spacing w:before="0" w:beforeLines="0" w:after="0" w:afterLines="0" w:line="360" w:lineRule="auto"/>
        <w:outlineLvl w:val="9"/>
        <w:rPr>
          <w:rFonts w:ascii="宋体" w:hAnsi="宋体" w:eastAsia="宋体"/>
          <w:sz w:val="28"/>
          <w:szCs w:val="28"/>
        </w:rPr>
      </w:pPr>
      <w:r>
        <w:rPr>
          <w:rFonts w:hint="eastAsia" w:ascii="宋体" w:hAnsi="宋体" w:eastAsia="宋体"/>
          <w:sz w:val="28"/>
          <w:szCs w:val="28"/>
        </w:rPr>
        <w:t>横坡与纵坡</w:t>
      </w:r>
    </w:p>
    <w:p w14:paraId="27854EC3">
      <w:pPr>
        <w:pStyle w:val="34"/>
        <w:spacing w:line="360" w:lineRule="auto"/>
        <w:ind w:firstLine="560"/>
        <w:rPr>
          <w:rFonts w:hAnsi="宋体"/>
          <w:sz w:val="28"/>
          <w:szCs w:val="28"/>
        </w:rPr>
      </w:pPr>
      <w:r>
        <w:rPr>
          <w:rFonts w:hint="eastAsia" w:hAnsi="宋体"/>
          <w:sz w:val="28"/>
          <w:szCs w:val="28"/>
        </w:rPr>
        <w:t>修复区域的横坡、纵坡应与原路面一致，保证排水顺畅，不得有积水现象。横坡允许偏差为±0.3%。</w:t>
      </w:r>
    </w:p>
    <w:p w14:paraId="402B4A7C">
      <w:pPr>
        <w:pStyle w:val="42"/>
        <w:spacing w:line="360" w:lineRule="auto"/>
        <w:rPr>
          <w:rFonts w:hAnsi="宋体"/>
          <w:sz w:val="28"/>
          <w:szCs w:val="28"/>
        </w:rPr>
      </w:pPr>
      <w:r>
        <w:rPr>
          <w:rFonts w:hint="eastAsia" w:hAnsi="宋体"/>
          <w:sz w:val="28"/>
          <w:szCs w:val="28"/>
        </w:rPr>
        <w:t>检查数量：每处修复区域检测一个断面。</w:t>
      </w:r>
    </w:p>
    <w:p w14:paraId="57D54100">
      <w:pPr>
        <w:pStyle w:val="42"/>
        <w:spacing w:line="360" w:lineRule="auto"/>
        <w:rPr>
          <w:rFonts w:hAnsi="宋体"/>
          <w:sz w:val="28"/>
          <w:szCs w:val="28"/>
        </w:rPr>
      </w:pPr>
      <w:r>
        <w:rPr>
          <w:rFonts w:hint="eastAsia" w:hAnsi="宋体"/>
          <w:sz w:val="28"/>
          <w:szCs w:val="28"/>
        </w:rPr>
        <w:t>检验方法：采用水准仪或专门横坡仪测量。</w:t>
      </w:r>
    </w:p>
    <w:p w14:paraId="2B2B818E">
      <w:pPr>
        <w:pStyle w:val="36"/>
        <w:spacing w:before="0" w:beforeLines="0" w:after="0" w:afterLines="0" w:line="360" w:lineRule="auto"/>
        <w:outlineLvl w:val="9"/>
        <w:rPr>
          <w:rFonts w:ascii="宋体" w:hAnsi="宋体" w:eastAsia="宋体"/>
          <w:sz w:val="28"/>
          <w:szCs w:val="28"/>
        </w:rPr>
      </w:pPr>
      <w:r>
        <w:rPr>
          <w:rFonts w:hint="eastAsia" w:ascii="宋体" w:hAnsi="宋体" w:eastAsia="宋体"/>
          <w:sz w:val="28"/>
          <w:szCs w:val="28"/>
        </w:rPr>
        <w:t>环保与旧料回收</w:t>
      </w:r>
    </w:p>
    <w:p w14:paraId="3F15F549">
      <w:pPr>
        <w:pStyle w:val="34"/>
        <w:spacing w:line="360" w:lineRule="auto"/>
        <w:ind w:firstLine="560"/>
        <w:rPr>
          <w:rFonts w:hAnsi="宋体"/>
          <w:sz w:val="28"/>
          <w:szCs w:val="28"/>
        </w:rPr>
      </w:pPr>
      <w:r>
        <w:rPr>
          <w:rFonts w:hint="eastAsia" w:hAnsi="宋体"/>
          <w:sz w:val="28"/>
          <w:szCs w:val="28"/>
        </w:rPr>
        <w:t>施工过程中应采取有效的扬尘、废气控制措施。产生的废旧沥青混合料应100%回收，并记录回收量。可再生旧料应运送至指定场地进行资源化利用。</w:t>
      </w:r>
    </w:p>
    <w:p w14:paraId="486FBD0C">
      <w:pPr>
        <w:pStyle w:val="42"/>
        <w:spacing w:line="360" w:lineRule="auto"/>
        <w:rPr>
          <w:rFonts w:hAnsi="宋体"/>
          <w:sz w:val="28"/>
          <w:szCs w:val="28"/>
        </w:rPr>
      </w:pPr>
      <w:r>
        <w:rPr>
          <w:rFonts w:hint="eastAsia" w:hAnsi="宋体"/>
          <w:sz w:val="28"/>
          <w:szCs w:val="28"/>
        </w:rPr>
        <w:t>检查数量：全过程检查。</w:t>
      </w:r>
    </w:p>
    <w:p w14:paraId="01B452CD">
      <w:pPr>
        <w:pStyle w:val="42"/>
        <w:spacing w:line="360" w:lineRule="auto"/>
        <w:rPr>
          <w:rFonts w:hAnsi="宋体"/>
          <w:sz w:val="28"/>
          <w:szCs w:val="28"/>
        </w:rPr>
      </w:pPr>
      <w:r>
        <w:rPr>
          <w:rFonts w:hint="eastAsia" w:hAnsi="宋体"/>
          <w:sz w:val="28"/>
          <w:szCs w:val="28"/>
        </w:rPr>
        <w:t>检验方法：查阅施工台账、物料转移联单，并结合现场观察。</w:t>
      </w:r>
    </w:p>
    <w:p w14:paraId="7DD922FD">
      <w:pPr>
        <w:pStyle w:val="40"/>
        <w:spacing w:before="0" w:beforeLines="0" w:after="0" w:afterLines="0" w:line="360" w:lineRule="auto"/>
        <w:outlineLvl w:val="9"/>
        <w:rPr>
          <w:rFonts w:ascii="宋体" w:hAnsi="宋体" w:eastAsia="宋体"/>
          <w:sz w:val="28"/>
          <w:szCs w:val="28"/>
        </w:rPr>
      </w:pPr>
      <w:r>
        <w:rPr>
          <w:rFonts w:hint="eastAsia" w:ascii="宋体" w:hAnsi="宋体" w:eastAsia="宋体"/>
          <w:sz w:val="28"/>
          <w:szCs w:val="28"/>
        </w:rPr>
        <w:t>验收记录与评定</w:t>
      </w:r>
    </w:p>
    <w:p w14:paraId="0E203DAD">
      <w:pPr>
        <w:pStyle w:val="46"/>
        <w:spacing w:line="360" w:lineRule="auto"/>
        <w:rPr>
          <w:rFonts w:hAnsi="宋体"/>
          <w:sz w:val="28"/>
          <w:szCs w:val="28"/>
        </w:rPr>
      </w:pPr>
      <w:r>
        <w:rPr>
          <w:rFonts w:hint="eastAsia" w:hAnsi="宋体"/>
          <w:sz w:val="28"/>
          <w:szCs w:val="28"/>
        </w:rPr>
        <w:t>质量验收完成后，应形成书面验收报告。报告内容应包括工程概况、验收依据、验收内容、检测数据、质量评定结论及处理意见等。</w:t>
      </w:r>
    </w:p>
    <w:p w14:paraId="05EAC056">
      <w:pPr>
        <w:pStyle w:val="46"/>
        <w:spacing w:line="360" w:lineRule="auto"/>
        <w:rPr>
          <w:rFonts w:hAnsi="宋体"/>
          <w:sz w:val="28"/>
          <w:szCs w:val="28"/>
        </w:rPr>
      </w:pPr>
      <w:r>
        <w:rPr>
          <w:rFonts w:hint="eastAsia" w:hAnsi="宋体"/>
          <w:sz w:val="28"/>
          <w:szCs w:val="28"/>
        </w:rPr>
        <w:t>当所有主控项目和一般项目均满足本规范要求时，该养护工程质量应评定为“合格”。</w:t>
      </w:r>
    </w:p>
    <w:p w14:paraId="32970147">
      <w:pPr>
        <w:pStyle w:val="46"/>
        <w:spacing w:line="360" w:lineRule="auto"/>
        <w:rPr>
          <w:rFonts w:hint="eastAsia" w:hAnsi="宋体"/>
          <w:sz w:val="28"/>
          <w:szCs w:val="28"/>
        </w:rPr>
      </w:pPr>
      <w:r>
        <w:rPr>
          <w:rFonts w:hint="eastAsia" w:hAnsi="宋体"/>
          <w:sz w:val="28"/>
          <w:szCs w:val="28"/>
        </w:rPr>
        <w:t>当主控项目或一般项目不符合要求时，施工单位应及时进行返工处理，直至验收合格。返工过程产生的废弃料应同样纳入回收管理体系。</w:t>
      </w:r>
    </w:p>
    <w:p w14:paraId="6618CEDE">
      <w:pPr>
        <w:pStyle w:val="18"/>
        <w:spacing w:line="360" w:lineRule="auto"/>
        <w:ind w:firstLine="0" w:firstLineChars="0"/>
        <w:outlineLvl w:val="0"/>
        <w:rPr>
          <w:rFonts w:ascii="Times New Roman" w:hAnsi="Times New Roman" w:eastAsia="黑体" w:cs="Times New Roman"/>
          <w:b/>
          <w:kern w:val="0"/>
          <w:sz w:val="30"/>
          <w:szCs w:val="30"/>
        </w:rPr>
      </w:pPr>
      <w:bookmarkStart w:id="22" w:name="_Toc12675"/>
      <w:r>
        <w:rPr>
          <w:rFonts w:ascii="Times New Roman" w:hAnsi="Times New Roman" w:eastAsia="黑体" w:cs="Times New Roman"/>
          <w:b/>
          <w:kern w:val="0"/>
          <w:sz w:val="30"/>
          <w:szCs w:val="30"/>
        </w:rPr>
        <w:t>三、主要试验和情况分析</w:t>
      </w:r>
      <w:bookmarkEnd w:id="22"/>
    </w:p>
    <w:p w14:paraId="60C4FED3">
      <w:pPr>
        <w:widowControl/>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结合国内外的行业测试标准和企业内部工厂管控的项目进行要求规定和试验验证。</w:t>
      </w:r>
    </w:p>
    <w:p w14:paraId="0070DF3D">
      <w:pPr>
        <w:pStyle w:val="18"/>
        <w:spacing w:line="360" w:lineRule="auto"/>
        <w:ind w:firstLine="0" w:firstLineChars="0"/>
        <w:outlineLvl w:val="0"/>
        <w:rPr>
          <w:rFonts w:ascii="Times New Roman" w:hAnsi="Times New Roman" w:eastAsia="黑体" w:cs="Times New Roman"/>
          <w:b/>
          <w:kern w:val="0"/>
          <w:sz w:val="30"/>
          <w:szCs w:val="30"/>
        </w:rPr>
      </w:pPr>
      <w:bookmarkStart w:id="23" w:name="_Toc20840"/>
      <w:r>
        <w:rPr>
          <w:rFonts w:ascii="Times New Roman" w:hAnsi="Times New Roman" w:eastAsia="黑体" w:cs="Times New Roman"/>
          <w:b/>
          <w:kern w:val="0"/>
          <w:sz w:val="30"/>
          <w:szCs w:val="30"/>
        </w:rPr>
        <w:t>四、标准中涉及专利的情况</w:t>
      </w:r>
      <w:bookmarkEnd w:id="23"/>
    </w:p>
    <w:p w14:paraId="0530E0EF">
      <w:pPr>
        <w:widowControl/>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无</w:t>
      </w:r>
    </w:p>
    <w:p w14:paraId="3F31E606">
      <w:pPr>
        <w:pStyle w:val="18"/>
        <w:spacing w:line="360" w:lineRule="auto"/>
        <w:ind w:firstLine="0" w:firstLineChars="0"/>
        <w:outlineLvl w:val="0"/>
        <w:rPr>
          <w:rFonts w:ascii="Times New Roman" w:hAnsi="Times New Roman" w:eastAsia="黑体" w:cs="Times New Roman"/>
          <w:b/>
          <w:kern w:val="0"/>
          <w:sz w:val="30"/>
          <w:szCs w:val="30"/>
        </w:rPr>
      </w:pPr>
      <w:bookmarkStart w:id="24" w:name="_Toc29243"/>
      <w:r>
        <w:rPr>
          <w:rFonts w:ascii="Times New Roman" w:hAnsi="Times New Roman" w:eastAsia="黑体" w:cs="Times New Roman"/>
          <w:b/>
          <w:kern w:val="0"/>
          <w:sz w:val="30"/>
          <w:szCs w:val="30"/>
        </w:rPr>
        <w:t>五、预期达到的效益（经济、效益、生态等），对产业发展的作用的情况</w:t>
      </w:r>
      <w:bookmarkEnd w:id="24"/>
    </w:p>
    <w:p w14:paraId="7852582A">
      <w:pPr>
        <w:widowControl/>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市政沥青路面绿色养护企业规范运营，在国际市场上有机会与其他各国（相关）企业竞争。</w:t>
      </w:r>
    </w:p>
    <w:p w14:paraId="0A0D3800">
      <w:pPr>
        <w:spacing w:line="360" w:lineRule="auto"/>
        <w:outlineLvl w:val="0"/>
        <w:rPr>
          <w:rFonts w:ascii="Times New Roman" w:hAnsi="Times New Roman" w:eastAsia="黑体" w:cs="Times New Roman"/>
          <w:b/>
          <w:kern w:val="0"/>
          <w:sz w:val="30"/>
          <w:szCs w:val="30"/>
        </w:rPr>
      </w:pPr>
      <w:bookmarkStart w:id="25" w:name="_Toc4979"/>
      <w:r>
        <w:rPr>
          <w:rFonts w:ascii="Times New Roman" w:hAnsi="Times New Roman" w:eastAsia="黑体" w:cs="Times New Roman"/>
          <w:b/>
          <w:kern w:val="0"/>
          <w:sz w:val="30"/>
          <w:szCs w:val="30"/>
        </w:rPr>
        <w:t>六、与有关的现行法律、法规和强制性国家标准的关系</w:t>
      </w:r>
      <w:bookmarkEnd w:id="25"/>
    </w:p>
    <w:p w14:paraId="382A0B7A">
      <w:pPr>
        <w:pStyle w:val="18"/>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与现行法律、法规和强制性标准没有冲突。</w:t>
      </w:r>
    </w:p>
    <w:p w14:paraId="400718FE">
      <w:pPr>
        <w:pStyle w:val="18"/>
        <w:spacing w:line="360" w:lineRule="auto"/>
        <w:ind w:firstLine="0" w:firstLineChars="0"/>
        <w:outlineLvl w:val="0"/>
        <w:rPr>
          <w:rFonts w:ascii="Times New Roman" w:hAnsi="Times New Roman" w:eastAsia="黑体" w:cs="Times New Roman"/>
          <w:b/>
          <w:kern w:val="0"/>
          <w:sz w:val="30"/>
          <w:szCs w:val="30"/>
        </w:rPr>
      </w:pPr>
      <w:bookmarkStart w:id="26" w:name="_Toc21799"/>
      <w:r>
        <w:rPr>
          <w:rFonts w:ascii="Times New Roman" w:hAnsi="Times New Roman" w:eastAsia="黑体" w:cs="Times New Roman"/>
          <w:b/>
          <w:kern w:val="0"/>
          <w:sz w:val="30"/>
          <w:szCs w:val="30"/>
        </w:rPr>
        <w:t>七、重大意见分歧的处理依据和结果</w:t>
      </w:r>
      <w:bookmarkEnd w:id="26"/>
    </w:p>
    <w:p w14:paraId="6B56A1A9">
      <w:pPr>
        <w:pStyle w:val="18"/>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标准制定过程中，未出现重大意见分歧。</w:t>
      </w:r>
    </w:p>
    <w:p w14:paraId="7584C4FB">
      <w:pPr>
        <w:pStyle w:val="18"/>
        <w:spacing w:line="360" w:lineRule="auto"/>
        <w:ind w:firstLine="0" w:firstLineChars="0"/>
        <w:outlineLvl w:val="0"/>
        <w:rPr>
          <w:rFonts w:ascii="Times New Roman" w:hAnsi="Times New Roman" w:eastAsia="黑体" w:cs="Times New Roman"/>
          <w:b/>
          <w:kern w:val="0"/>
          <w:sz w:val="30"/>
          <w:szCs w:val="30"/>
        </w:rPr>
      </w:pPr>
      <w:bookmarkStart w:id="27" w:name="_Toc20135"/>
      <w:r>
        <w:rPr>
          <w:rFonts w:ascii="Times New Roman" w:hAnsi="Times New Roman" w:eastAsia="黑体" w:cs="Times New Roman"/>
          <w:b/>
          <w:kern w:val="0"/>
          <w:sz w:val="30"/>
          <w:szCs w:val="30"/>
        </w:rPr>
        <w:t>八、标准性质的建议说明</w:t>
      </w:r>
      <w:bookmarkEnd w:id="27"/>
    </w:p>
    <w:p w14:paraId="0185C34E">
      <w:pPr>
        <w:pStyle w:val="18"/>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本标准为团体标准，供社会各界自愿使用。</w:t>
      </w:r>
    </w:p>
    <w:p w14:paraId="03A22D07">
      <w:pPr>
        <w:pStyle w:val="18"/>
        <w:spacing w:line="360" w:lineRule="auto"/>
        <w:ind w:firstLine="0" w:firstLineChars="0"/>
        <w:outlineLvl w:val="0"/>
        <w:rPr>
          <w:rFonts w:ascii="Times New Roman" w:hAnsi="Times New Roman" w:eastAsia="黑体" w:cs="Times New Roman"/>
          <w:b/>
          <w:kern w:val="0"/>
          <w:sz w:val="30"/>
          <w:szCs w:val="30"/>
        </w:rPr>
      </w:pPr>
      <w:bookmarkStart w:id="28" w:name="_Toc23106"/>
      <w:r>
        <w:rPr>
          <w:rFonts w:ascii="Times New Roman" w:hAnsi="Times New Roman" w:eastAsia="黑体" w:cs="Times New Roman"/>
          <w:b/>
          <w:kern w:val="0"/>
          <w:sz w:val="30"/>
          <w:szCs w:val="30"/>
        </w:rPr>
        <w:t>九、贯彻标准的要求和措施建议</w:t>
      </w:r>
      <w:bookmarkEnd w:id="28"/>
    </w:p>
    <w:p w14:paraId="7FA62707">
      <w:pPr>
        <w:spacing w:after="240" w:afterLines="100" w:line="540" w:lineRule="exact"/>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无。</w:t>
      </w:r>
    </w:p>
    <w:p w14:paraId="243439CE">
      <w:pPr>
        <w:pStyle w:val="18"/>
        <w:spacing w:line="360" w:lineRule="auto"/>
        <w:ind w:firstLine="0" w:firstLineChars="0"/>
        <w:outlineLvl w:val="0"/>
        <w:rPr>
          <w:rFonts w:ascii="Times New Roman" w:hAnsi="Times New Roman" w:eastAsia="黑体" w:cs="Times New Roman"/>
          <w:b/>
          <w:kern w:val="0"/>
          <w:sz w:val="30"/>
          <w:szCs w:val="30"/>
        </w:rPr>
      </w:pPr>
      <w:bookmarkStart w:id="29" w:name="_Toc29517"/>
      <w:r>
        <w:rPr>
          <w:rFonts w:ascii="Times New Roman" w:hAnsi="Times New Roman" w:eastAsia="黑体" w:cs="Times New Roman"/>
          <w:b/>
          <w:kern w:val="0"/>
          <w:sz w:val="30"/>
          <w:szCs w:val="30"/>
        </w:rPr>
        <w:t>十、废止现行相关标准的建议</w:t>
      </w:r>
      <w:bookmarkEnd w:id="29"/>
    </w:p>
    <w:p w14:paraId="029A4A9D">
      <w:pPr>
        <w:spacing w:after="240" w:afterLines="100" w:line="540" w:lineRule="exact"/>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本标准为首次发布。</w:t>
      </w:r>
    </w:p>
    <w:p w14:paraId="742D140B">
      <w:pPr>
        <w:pStyle w:val="18"/>
        <w:spacing w:line="360" w:lineRule="auto"/>
        <w:ind w:firstLine="0" w:firstLineChars="0"/>
        <w:outlineLvl w:val="0"/>
        <w:rPr>
          <w:rFonts w:ascii="Times New Roman" w:hAnsi="Times New Roman" w:eastAsia="黑体" w:cs="Times New Roman"/>
          <w:b/>
          <w:kern w:val="0"/>
          <w:sz w:val="30"/>
          <w:szCs w:val="30"/>
        </w:rPr>
      </w:pPr>
      <w:bookmarkStart w:id="30" w:name="_Toc18435"/>
      <w:r>
        <w:rPr>
          <w:rFonts w:ascii="Times New Roman" w:hAnsi="Times New Roman" w:eastAsia="黑体" w:cs="Times New Roman"/>
          <w:b/>
          <w:kern w:val="0"/>
          <w:sz w:val="30"/>
          <w:szCs w:val="30"/>
        </w:rPr>
        <w:t>十一、其他应予说明的事项</w:t>
      </w:r>
      <w:bookmarkEnd w:id="30"/>
    </w:p>
    <w:p w14:paraId="0066CDE2">
      <w:pPr>
        <w:spacing w:after="240" w:afterLines="100" w:line="540" w:lineRule="exact"/>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无。</w:t>
      </w:r>
    </w:p>
    <w:p w14:paraId="02F50017">
      <w:pPr>
        <w:spacing w:line="540" w:lineRule="exact"/>
        <w:ind w:firstLine="560" w:firstLineChars="200"/>
        <w:rPr>
          <w:rFonts w:ascii="Times New Roman" w:hAnsi="Times New Roman" w:eastAsia="宋体" w:cs="Times New Roman"/>
          <w:kern w:val="0"/>
          <w:sz w:val="28"/>
          <w:szCs w:val="28"/>
        </w:rPr>
      </w:pPr>
    </w:p>
    <w:sectPr>
      <w:footerReference r:id="rId4" w:type="default"/>
      <w:pgSz w:w="11906" w:h="16838"/>
      <w:pgMar w:top="1418" w:right="1418" w:bottom="1985" w:left="1797" w:header="851" w:footer="992" w:gutter="0"/>
      <w:pgNumType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2334B">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B6CF5">
    <w:pPr>
      <w:pStyle w:val="8"/>
    </w:pPr>
    <w:r>
      <w:pict>
        <v:shape id="_x0000_s3073" o:spid="_x0000_s3073" o:spt="202" type="#_x0000_t202" style="position:absolute;left:0pt;height:144pt;width:144pt;mso-position-horizontal:center;mso-position-horizontal-relative:margin;mso-position-vertical:center;mso-wrap-style:none;z-index:251659264;mso-width-relative:page;mso-height-relative:page;" filled="f" stroked="f" coordsize="21600,21600">
          <v:path/>
          <v:fill on="f" focussize="0,0"/>
          <v:stroke on="f" joinstyle="miter"/>
          <v:imagedata o:title=""/>
          <o:lock v:ext="edit"/>
          <v:textbox inset="0mm,0mm,0mm,0mm" style="mso-fit-shape-to-text:t;">
            <w:txbxContent>
              <w:p w14:paraId="00E104CD">
                <w:pPr>
                  <w:pStyle w:val="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9430B3"/>
    <w:multiLevelType w:val="multilevel"/>
    <w:tmpl w:val="019430B3"/>
    <w:lvl w:ilvl="0" w:tentative="0">
      <w:start w:val="1"/>
      <w:numFmt w:val="decimal"/>
      <w:pStyle w:val="30"/>
      <w:lvlText w:val="%1"/>
      <w:lvlJc w:val="left"/>
      <w:pPr>
        <w:ind w:left="425" w:hanging="425"/>
      </w:pPr>
    </w:lvl>
    <w:lvl w:ilvl="1" w:tentative="0">
      <w:start w:val="1"/>
      <w:numFmt w:val="decimal"/>
      <w:pStyle w:val="31"/>
      <w:lvlText w:val="%1.%2"/>
      <w:lvlJc w:val="left"/>
      <w:pPr>
        <w:ind w:left="992" w:hanging="567"/>
      </w:pPr>
    </w:lvl>
    <w:lvl w:ilvl="2" w:tentative="0">
      <w:start w:val="1"/>
      <w:numFmt w:val="decimal"/>
      <w:pStyle w:val="28"/>
      <w:lvlText w:val="%1.%2.%3"/>
      <w:lvlJc w:val="left"/>
      <w:pPr>
        <w:ind w:left="567"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
    <w:nsid w:val="2C5917C3"/>
    <w:multiLevelType w:val="multilevel"/>
    <w:tmpl w:val="2C5917C3"/>
    <w:lvl w:ilvl="0" w:tentative="0">
      <w:start w:val="1"/>
      <w:numFmt w:val="none"/>
      <w:pStyle w:val="4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51"/>
      <w:lvlText w:val=""/>
      <w:lvlJc w:val="left"/>
      <w:pPr>
        <w:ind w:left="851" w:hanging="431"/>
      </w:pPr>
      <w:rPr>
        <w:rFonts w:hint="default" w:ascii="Symbol" w:hAnsi="Symbol"/>
        <w:sz w:val="21"/>
      </w:rPr>
    </w:lvl>
    <w:lvl w:ilvl="2" w:tentative="0">
      <w:start w:val="1"/>
      <w:numFmt w:val="bullet"/>
      <w:pStyle w:val="47"/>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2">
    <w:nsid w:val="646260FA"/>
    <w:multiLevelType w:val="multilevel"/>
    <w:tmpl w:val="646260FA"/>
    <w:lvl w:ilvl="0" w:tentative="0">
      <w:start w:val="1"/>
      <w:numFmt w:val="decimal"/>
      <w:pStyle w:val="41"/>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6CEA2025"/>
    <w:multiLevelType w:val="multilevel"/>
    <w:tmpl w:val="6CEA2025"/>
    <w:lvl w:ilvl="0" w:tentative="0">
      <w:start w:val="1"/>
      <w:numFmt w:val="none"/>
      <w:pStyle w:val="43"/>
      <w:suff w:val="nothing"/>
      <w:lvlText w:val="%1"/>
      <w:lvlJc w:val="left"/>
      <w:pPr>
        <w:ind w:left="0" w:firstLine="0"/>
      </w:pPr>
      <w:rPr>
        <w:rFonts w:hint="eastAsia"/>
      </w:rPr>
    </w:lvl>
    <w:lvl w:ilvl="1" w:tentative="0">
      <w:start w:val="1"/>
      <w:numFmt w:val="decimal"/>
      <w:pStyle w:val="39"/>
      <w:suff w:val="nothing"/>
      <w:lvlText w:val="%1%2　"/>
      <w:lvlJc w:val="left"/>
      <w:pPr>
        <w:ind w:left="0" w:firstLine="0"/>
      </w:pPr>
      <w:rPr>
        <w:rFonts w:hint="eastAsia" w:ascii="黑体" w:eastAsia="黑体"/>
        <w:b w:val="0"/>
        <w:i w:val="0"/>
        <w:sz w:val="21"/>
      </w:rPr>
    </w:lvl>
    <w:lvl w:ilvl="2" w:tentative="0">
      <w:start w:val="1"/>
      <w:numFmt w:val="decimal"/>
      <w:pStyle w:val="40"/>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35"/>
      <w:suff w:val="nothing"/>
      <w:lvlText w:val="%1%2.%3.%4　"/>
      <w:lvlJc w:val="left"/>
      <w:pPr>
        <w:ind w:left="0" w:firstLine="0"/>
      </w:pPr>
      <w:rPr>
        <w:rFonts w:hint="eastAsia" w:ascii="黑体" w:eastAsia="黑体"/>
        <w:b w:val="0"/>
        <w:i w:val="0"/>
        <w:sz w:val="21"/>
      </w:rPr>
    </w:lvl>
    <w:lvl w:ilvl="4" w:tentative="0">
      <w:start w:val="1"/>
      <w:numFmt w:val="decimal"/>
      <w:pStyle w:val="36"/>
      <w:suff w:val="nothing"/>
      <w:lvlText w:val="%1%2.%3.%4.%5　"/>
      <w:lvlJc w:val="left"/>
      <w:pPr>
        <w:ind w:left="0" w:firstLine="0"/>
      </w:pPr>
      <w:rPr>
        <w:rFonts w:hint="eastAsia" w:ascii="黑体" w:eastAsia="黑体"/>
        <w:b w:val="0"/>
        <w:i w:val="0"/>
        <w:sz w:val="21"/>
      </w:rPr>
    </w:lvl>
    <w:lvl w:ilvl="5" w:tentative="0">
      <w:start w:val="1"/>
      <w:numFmt w:val="decimal"/>
      <w:pStyle w:val="37"/>
      <w:suff w:val="nothing"/>
      <w:lvlText w:val="%1%2.%3.%4.%5.%6　"/>
      <w:lvlJc w:val="left"/>
      <w:pPr>
        <w:ind w:left="0" w:firstLine="0"/>
      </w:pPr>
      <w:rPr>
        <w:rFonts w:hint="eastAsia" w:ascii="黑体" w:eastAsia="黑体"/>
        <w:b w:val="0"/>
        <w:i w:val="0"/>
        <w:sz w:val="21"/>
      </w:rPr>
    </w:lvl>
    <w:lvl w:ilvl="6" w:tentative="0">
      <w:start w:val="1"/>
      <w:numFmt w:val="decimal"/>
      <w:pStyle w:val="38"/>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6DBF04F4"/>
    <w:multiLevelType w:val="multilevel"/>
    <w:tmpl w:val="6DBF04F4"/>
    <w:lvl w:ilvl="0" w:tentative="0">
      <w:start w:val="1"/>
      <w:numFmt w:val="none"/>
      <w:pStyle w:val="4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BjNmNlZTRkMmZjYmYyZTM5OTBkZjEzNTRhZTU4MGUifQ=="/>
  </w:docVars>
  <w:rsids>
    <w:rsidRoot w:val="00BF050A"/>
    <w:rsid w:val="00014360"/>
    <w:rsid w:val="00014AE8"/>
    <w:rsid w:val="0002253B"/>
    <w:rsid w:val="0004018C"/>
    <w:rsid w:val="000413D1"/>
    <w:rsid w:val="00044B03"/>
    <w:rsid w:val="000564F6"/>
    <w:rsid w:val="00057C50"/>
    <w:rsid w:val="000723A5"/>
    <w:rsid w:val="0007271C"/>
    <w:rsid w:val="00077B87"/>
    <w:rsid w:val="00083D62"/>
    <w:rsid w:val="00093711"/>
    <w:rsid w:val="000C02FD"/>
    <w:rsid w:val="000C37DF"/>
    <w:rsid w:val="000C5572"/>
    <w:rsid w:val="000C6ED2"/>
    <w:rsid w:val="000E0EB3"/>
    <w:rsid w:val="000F1F9D"/>
    <w:rsid w:val="00101337"/>
    <w:rsid w:val="00106D8E"/>
    <w:rsid w:val="00107FA6"/>
    <w:rsid w:val="00130AE0"/>
    <w:rsid w:val="001336A7"/>
    <w:rsid w:val="001366DD"/>
    <w:rsid w:val="001407D3"/>
    <w:rsid w:val="001409C8"/>
    <w:rsid w:val="0014129B"/>
    <w:rsid w:val="00176CC1"/>
    <w:rsid w:val="00182A0A"/>
    <w:rsid w:val="00186B0A"/>
    <w:rsid w:val="001916AE"/>
    <w:rsid w:val="00194D9F"/>
    <w:rsid w:val="00194FB0"/>
    <w:rsid w:val="001A069A"/>
    <w:rsid w:val="001A095D"/>
    <w:rsid w:val="001A2436"/>
    <w:rsid w:val="001C225F"/>
    <w:rsid w:val="001C4546"/>
    <w:rsid w:val="001D062E"/>
    <w:rsid w:val="001E59EA"/>
    <w:rsid w:val="00203343"/>
    <w:rsid w:val="00210B1B"/>
    <w:rsid w:val="0022590F"/>
    <w:rsid w:val="00231E76"/>
    <w:rsid w:val="002506EB"/>
    <w:rsid w:val="0025166A"/>
    <w:rsid w:val="002645BB"/>
    <w:rsid w:val="00277345"/>
    <w:rsid w:val="0027791C"/>
    <w:rsid w:val="0028530B"/>
    <w:rsid w:val="00285841"/>
    <w:rsid w:val="00293048"/>
    <w:rsid w:val="002A391A"/>
    <w:rsid w:val="002C04B6"/>
    <w:rsid w:val="002D3A9F"/>
    <w:rsid w:val="002E2B56"/>
    <w:rsid w:val="002F3045"/>
    <w:rsid w:val="00305109"/>
    <w:rsid w:val="0031256A"/>
    <w:rsid w:val="0031561A"/>
    <w:rsid w:val="00317D74"/>
    <w:rsid w:val="003257DB"/>
    <w:rsid w:val="00352B42"/>
    <w:rsid w:val="00357168"/>
    <w:rsid w:val="00357265"/>
    <w:rsid w:val="00360683"/>
    <w:rsid w:val="0036737F"/>
    <w:rsid w:val="00373823"/>
    <w:rsid w:val="003813CC"/>
    <w:rsid w:val="00382E74"/>
    <w:rsid w:val="003A00FA"/>
    <w:rsid w:val="003A0364"/>
    <w:rsid w:val="003A509B"/>
    <w:rsid w:val="003B59B1"/>
    <w:rsid w:val="003B6441"/>
    <w:rsid w:val="003C1B72"/>
    <w:rsid w:val="003F7535"/>
    <w:rsid w:val="00401889"/>
    <w:rsid w:val="00410BC2"/>
    <w:rsid w:val="00413119"/>
    <w:rsid w:val="004172C0"/>
    <w:rsid w:val="004252F2"/>
    <w:rsid w:val="004276CF"/>
    <w:rsid w:val="00430513"/>
    <w:rsid w:val="00435663"/>
    <w:rsid w:val="00436EE9"/>
    <w:rsid w:val="00463563"/>
    <w:rsid w:val="004803B5"/>
    <w:rsid w:val="004B2F65"/>
    <w:rsid w:val="004B6E6F"/>
    <w:rsid w:val="004C2509"/>
    <w:rsid w:val="004F08C5"/>
    <w:rsid w:val="004F4747"/>
    <w:rsid w:val="004F6F77"/>
    <w:rsid w:val="0050411A"/>
    <w:rsid w:val="00505FBC"/>
    <w:rsid w:val="00520FFB"/>
    <w:rsid w:val="005251AE"/>
    <w:rsid w:val="00534D5E"/>
    <w:rsid w:val="00534FAE"/>
    <w:rsid w:val="00545EB7"/>
    <w:rsid w:val="00583F98"/>
    <w:rsid w:val="00596690"/>
    <w:rsid w:val="005A4896"/>
    <w:rsid w:val="005B7647"/>
    <w:rsid w:val="005D56E9"/>
    <w:rsid w:val="005F13A9"/>
    <w:rsid w:val="00601423"/>
    <w:rsid w:val="00606BF2"/>
    <w:rsid w:val="006252E3"/>
    <w:rsid w:val="00650FED"/>
    <w:rsid w:val="006878C7"/>
    <w:rsid w:val="006965B4"/>
    <w:rsid w:val="006A01A1"/>
    <w:rsid w:val="006B0B1B"/>
    <w:rsid w:val="006B6D21"/>
    <w:rsid w:val="006B75F5"/>
    <w:rsid w:val="006E5B41"/>
    <w:rsid w:val="006F64E7"/>
    <w:rsid w:val="00705D75"/>
    <w:rsid w:val="007417C1"/>
    <w:rsid w:val="00746F2B"/>
    <w:rsid w:val="00747D95"/>
    <w:rsid w:val="00752097"/>
    <w:rsid w:val="00756D5D"/>
    <w:rsid w:val="00761E21"/>
    <w:rsid w:val="00761F70"/>
    <w:rsid w:val="00776D4B"/>
    <w:rsid w:val="0079502D"/>
    <w:rsid w:val="00795550"/>
    <w:rsid w:val="007A2FC6"/>
    <w:rsid w:val="007A5AAC"/>
    <w:rsid w:val="007C21C2"/>
    <w:rsid w:val="007D4B87"/>
    <w:rsid w:val="007E4007"/>
    <w:rsid w:val="007E6545"/>
    <w:rsid w:val="0080480D"/>
    <w:rsid w:val="0082096B"/>
    <w:rsid w:val="008257DF"/>
    <w:rsid w:val="008368E2"/>
    <w:rsid w:val="008618FE"/>
    <w:rsid w:val="008665F7"/>
    <w:rsid w:val="0086666E"/>
    <w:rsid w:val="00870FA5"/>
    <w:rsid w:val="00874660"/>
    <w:rsid w:val="008A5200"/>
    <w:rsid w:val="008A766F"/>
    <w:rsid w:val="008B18A3"/>
    <w:rsid w:val="008B34EE"/>
    <w:rsid w:val="008F54B9"/>
    <w:rsid w:val="008F5B83"/>
    <w:rsid w:val="00910049"/>
    <w:rsid w:val="0091708A"/>
    <w:rsid w:val="00932F00"/>
    <w:rsid w:val="00966791"/>
    <w:rsid w:val="00970E88"/>
    <w:rsid w:val="0097271F"/>
    <w:rsid w:val="00981821"/>
    <w:rsid w:val="00987820"/>
    <w:rsid w:val="009943E0"/>
    <w:rsid w:val="009A16C4"/>
    <w:rsid w:val="009A27FC"/>
    <w:rsid w:val="009A488E"/>
    <w:rsid w:val="009A5078"/>
    <w:rsid w:val="009A6F90"/>
    <w:rsid w:val="009B1FF6"/>
    <w:rsid w:val="009C3768"/>
    <w:rsid w:val="009D56C3"/>
    <w:rsid w:val="009E6D91"/>
    <w:rsid w:val="009F0E3F"/>
    <w:rsid w:val="009F7A24"/>
    <w:rsid w:val="00A06F10"/>
    <w:rsid w:val="00A262E4"/>
    <w:rsid w:val="00A27845"/>
    <w:rsid w:val="00A31084"/>
    <w:rsid w:val="00A42C32"/>
    <w:rsid w:val="00A44A72"/>
    <w:rsid w:val="00A4610C"/>
    <w:rsid w:val="00A50B02"/>
    <w:rsid w:val="00A54455"/>
    <w:rsid w:val="00A5702C"/>
    <w:rsid w:val="00A6194C"/>
    <w:rsid w:val="00A64776"/>
    <w:rsid w:val="00A80365"/>
    <w:rsid w:val="00A83680"/>
    <w:rsid w:val="00A91142"/>
    <w:rsid w:val="00AB1353"/>
    <w:rsid w:val="00AC01B1"/>
    <w:rsid w:val="00AC09D3"/>
    <w:rsid w:val="00AD0EA1"/>
    <w:rsid w:val="00AD2695"/>
    <w:rsid w:val="00AD39DA"/>
    <w:rsid w:val="00AE34A2"/>
    <w:rsid w:val="00AF01D8"/>
    <w:rsid w:val="00B01C45"/>
    <w:rsid w:val="00B05A42"/>
    <w:rsid w:val="00B22220"/>
    <w:rsid w:val="00B47E66"/>
    <w:rsid w:val="00B6636A"/>
    <w:rsid w:val="00B743AB"/>
    <w:rsid w:val="00B77D8B"/>
    <w:rsid w:val="00B803DE"/>
    <w:rsid w:val="00B97970"/>
    <w:rsid w:val="00BA15CF"/>
    <w:rsid w:val="00BA3C4F"/>
    <w:rsid w:val="00BB2288"/>
    <w:rsid w:val="00BB3D50"/>
    <w:rsid w:val="00BB5CFC"/>
    <w:rsid w:val="00BC18B9"/>
    <w:rsid w:val="00BC3BB1"/>
    <w:rsid w:val="00BD4F24"/>
    <w:rsid w:val="00BE6F2E"/>
    <w:rsid w:val="00BF050A"/>
    <w:rsid w:val="00BF746A"/>
    <w:rsid w:val="00C21DF8"/>
    <w:rsid w:val="00C23788"/>
    <w:rsid w:val="00C37003"/>
    <w:rsid w:val="00C44B2C"/>
    <w:rsid w:val="00C51238"/>
    <w:rsid w:val="00C52B4D"/>
    <w:rsid w:val="00C62D4B"/>
    <w:rsid w:val="00C63D27"/>
    <w:rsid w:val="00C70FF4"/>
    <w:rsid w:val="00C869DA"/>
    <w:rsid w:val="00C9265C"/>
    <w:rsid w:val="00CA5205"/>
    <w:rsid w:val="00CB0852"/>
    <w:rsid w:val="00CB2FF6"/>
    <w:rsid w:val="00D06630"/>
    <w:rsid w:val="00D237D4"/>
    <w:rsid w:val="00D30ADB"/>
    <w:rsid w:val="00D311EA"/>
    <w:rsid w:val="00D77694"/>
    <w:rsid w:val="00D80910"/>
    <w:rsid w:val="00D81489"/>
    <w:rsid w:val="00D837B2"/>
    <w:rsid w:val="00D86673"/>
    <w:rsid w:val="00DB46BB"/>
    <w:rsid w:val="00DB5CCC"/>
    <w:rsid w:val="00DD0DFD"/>
    <w:rsid w:val="00DE3ACA"/>
    <w:rsid w:val="00DE7470"/>
    <w:rsid w:val="00E0481B"/>
    <w:rsid w:val="00E15D39"/>
    <w:rsid w:val="00E16774"/>
    <w:rsid w:val="00E33675"/>
    <w:rsid w:val="00E34260"/>
    <w:rsid w:val="00E40AC7"/>
    <w:rsid w:val="00E43D54"/>
    <w:rsid w:val="00E6367D"/>
    <w:rsid w:val="00E6636F"/>
    <w:rsid w:val="00E66D9D"/>
    <w:rsid w:val="00E673E8"/>
    <w:rsid w:val="00E85E1E"/>
    <w:rsid w:val="00E866B8"/>
    <w:rsid w:val="00E92169"/>
    <w:rsid w:val="00E9404D"/>
    <w:rsid w:val="00EA0AC1"/>
    <w:rsid w:val="00EC6BB9"/>
    <w:rsid w:val="00EC777A"/>
    <w:rsid w:val="00ED0D16"/>
    <w:rsid w:val="00ED17F5"/>
    <w:rsid w:val="00ED19A1"/>
    <w:rsid w:val="00ED28CC"/>
    <w:rsid w:val="00EF1BF1"/>
    <w:rsid w:val="00F02E72"/>
    <w:rsid w:val="00F0509E"/>
    <w:rsid w:val="00F06A1A"/>
    <w:rsid w:val="00F27E12"/>
    <w:rsid w:val="00F319AF"/>
    <w:rsid w:val="00F40C1D"/>
    <w:rsid w:val="00F43CD1"/>
    <w:rsid w:val="00F51C15"/>
    <w:rsid w:val="00F741B8"/>
    <w:rsid w:val="00F878B5"/>
    <w:rsid w:val="00F91EFF"/>
    <w:rsid w:val="00F92513"/>
    <w:rsid w:val="00F943A4"/>
    <w:rsid w:val="00F96275"/>
    <w:rsid w:val="00F97976"/>
    <w:rsid w:val="00FB5476"/>
    <w:rsid w:val="00FC26FD"/>
    <w:rsid w:val="00FE00B0"/>
    <w:rsid w:val="00FE5339"/>
    <w:rsid w:val="00FE720E"/>
    <w:rsid w:val="00FF30FC"/>
    <w:rsid w:val="00FF7FD9"/>
    <w:rsid w:val="0D7E043E"/>
    <w:rsid w:val="0FF06439"/>
    <w:rsid w:val="169901DF"/>
    <w:rsid w:val="170D2EB2"/>
    <w:rsid w:val="1F15287C"/>
    <w:rsid w:val="255B6B18"/>
    <w:rsid w:val="2C2D1EE2"/>
    <w:rsid w:val="2D467F37"/>
    <w:rsid w:val="2DAD6C8F"/>
    <w:rsid w:val="3AFC0F1D"/>
    <w:rsid w:val="40E14CE3"/>
    <w:rsid w:val="542D0422"/>
    <w:rsid w:val="57BF1D4F"/>
    <w:rsid w:val="663F4E49"/>
    <w:rsid w:val="67A80C44"/>
    <w:rsid w:val="6B9E6287"/>
    <w:rsid w:val="6E433E9B"/>
    <w:rsid w:val="6FF12124"/>
    <w:rsid w:val="706C61B1"/>
    <w:rsid w:val="721F5CDA"/>
    <w:rsid w:val="729E236D"/>
    <w:rsid w:val="79E74A2C"/>
    <w:rsid w:val="7C103D46"/>
    <w:rsid w:val="7C324657"/>
    <w:rsid w:val="7D810938"/>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qFormat="1" w:unhideWhenUsed="0"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unhideWhenUsed/>
    <w:qFormat/>
    <w:uiPriority w:val="9"/>
    <w:pPr>
      <w:keepNext/>
      <w:keepLines/>
      <w:adjustRightInd w:val="0"/>
      <w:snapToGrid w:val="0"/>
      <w:spacing w:line="360" w:lineRule="auto"/>
      <w:outlineLvl w:val="2"/>
    </w:pPr>
    <w:rPr>
      <w:rFonts w:ascii="Times New Roman" w:hAnsi="Times New Roman"/>
      <w:b/>
      <w:bCs/>
      <w:szCs w:val="32"/>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3">
    <w:name w:val="caption"/>
    <w:basedOn w:val="1"/>
    <w:next w:val="1"/>
    <w:unhideWhenUsed/>
    <w:qFormat/>
    <w:uiPriority w:val="35"/>
    <w:pPr>
      <w:jc w:val="center"/>
    </w:pPr>
    <w:rPr>
      <w:rFonts w:eastAsia="黑体" w:asciiTheme="majorHAnsi" w:hAnsiTheme="majorHAnsi" w:cstheme="majorBidi"/>
      <w:szCs w:val="20"/>
    </w:rPr>
  </w:style>
  <w:style w:type="paragraph" w:styleId="4">
    <w:name w:val="Body Text Indent"/>
    <w:basedOn w:val="1"/>
    <w:link w:val="27"/>
    <w:autoRedefine/>
    <w:qFormat/>
    <w:uiPriority w:val="0"/>
    <w:pPr>
      <w:spacing w:line="300" w:lineRule="auto"/>
      <w:ind w:firstLine="420" w:firstLineChars="200"/>
    </w:pPr>
    <w:rPr>
      <w:rFonts w:ascii="Times New Roman" w:hAnsi="宋体" w:eastAsia="宋体" w:cs="Times New Roman"/>
      <w:szCs w:val="20"/>
    </w:rPr>
  </w:style>
  <w:style w:type="paragraph" w:styleId="5">
    <w:name w:val="Date"/>
    <w:basedOn w:val="1"/>
    <w:next w:val="1"/>
    <w:link w:val="26"/>
    <w:autoRedefine/>
    <w:semiHidden/>
    <w:unhideWhenUsed/>
    <w:qFormat/>
    <w:uiPriority w:val="99"/>
    <w:pPr>
      <w:ind w:left="100" w:leftChars="2500"/>
    </w:pPr>
  </w:style>
  <w:style w:type="paragraph" w:styleId="6">
    <w:name w:val="endnote text"/>
    <w:basedOn w:val="1"/>
    <w:link w:val="24"/>
    <w:autoRedefine/>
    <w:qFormat/>
    <w:uiPriority w:val="99"/>
    <w:pPr>
      <w:snapToGrid w:val="0"/>
      <w:jc w:val="left"/>
    </w:pPr>
    <w:rPr>
      <w:rFonts w:ascii="Calibri" w:hAnsi="Calibri" w:eastAsia="宋体" w:cs="Times New Roman"/>
      <w:szCs w:val="24"/>
    </w:rPr>
  </w:style>
  <w:style w:type="paragraph" w:styleId="7">
    <w:name w:val="Balloon Text"/>
    <w:basedOn w:val="1"/>
    <w:link w:val="23"/>
    <w:autoRedefine/>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nhideWhenUsed/>
    <w:qFormat/>
    <w:uiPriority w:val="39"/>
  </w:style>
  <w:style w:type="paragraph" w:styleId="11">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customStyle="1" w:styleId="16">
    <w:name w:val="标题 3 字符"/>
    <w:basedOn w:val="14"/>
    <w:link w:val="2"/>
    <w:autoRedefine/>
    <w:qFormat/>
    <w:uiPriority w:val="9"/>
    <w:rPr>
      <w:rFonts w:ascii="Times New Roman" w:hAnsi="Times New Roman"/>
      <w:b/>
      <w:bCs/>
      <w:szCs w:val="32"/>
    </w:rPr>
  </w:style>
  <w:style w:type="character" w:customStyle="1" w:styleId="17">
    <w:name w:val="页脚 字符"/>
    <w:basedOn w:val="14"/>
    <w:link w:val="8"/>
    <w:qFormat/>
    <w:uiPriority w:val="99"/>
    <w:rPr>
      <w:sz w:val="18"/>
      <w:szCs w:val="18"/>
    </w:rPr>
  </w:style>
  <w:style w:type="paragraph" w:styleId="18">
    <w:name w:val="List Paragraph"/>
    <w:basedOn w:val="1"/>
    <w:autoRedefine/>
    <w:qFormat/>
    <w:uiPriority w:val="34"/>
    <w:pPr>
      <w:ind w:firstLine="420" w:firstLineChars="200"/>
    </w:pPr>
  </w:style>
  <w:style w:type="paragraph" w:customStyle="1" w:styleId="19">
    <w:name w:val="段"/>
    <w:link w:val="20"/>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0">
    <w:name w:val="段 Char"/>
    <w:link w:val="19"/>
    <w:autoRedefine/>
    <w:qFormat/>
    <w:uiPriority w:val="0"/>
    <w:rPr>
      <w:rFonts w:ascii="宋体" w:hAnsi="Times New Roman" w:eastAsia="宋体" w:cs="Times New Roman"/>
      <w:kern w:val="0"/>
      <w:szCs w:val="20"/>
    </w:rPr>
  </w:style>
  <w:style w:type="table" w:customStyle="1" w:styleId="21">
    <w:name w:val="浅色底纹1"/>
    <w:basedOn w:val="12"/>
    <w:autoRedefine/>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22">
    <w:name w:val="页眉 字符"/>
    <w:basedOn w:val="14"/>
    <w:link w:val="9"/>
    <w:autoRedefine/>
    <w:qFormat/>
    <w:uiPriority w:val="99"/>
    <w:rPr>
      <w:sz w:val="18"/>
      <w:szCs w:val="18"/>
    </w:rPr>
  </w:style>
  <w:style w:type="character" w:customStyle="1" w:styleId="23">
    <w:name w:val="批注框文本 字符"/>
    <w:basedOn w:val="14"/>
    <w:link w:val="7"/>
    <w:autoRedefine/>
    <w:semiHidden/>
    <w:qFormat/>
    <w:uiPriority w:val="99"/>
    <w:rPr>
      <w:sz w:val="18"/>
      <w:szCs w:val="18"/>
    </w:rPr>
  </w:style>
  <w:style w:type="character" w:customStyle="1" w:styleId="24">
    <w:name w:val="尾注文本 字符"/>
    <w:basedOn w:val="14"/>
    <w:link w:val="6"/>
    <w:autoRedefine/>
    <w:qFormat/>
    <w:uiPriority w:val="99"/>
    <w:rPr>
      <w:rFonts w:ascii="Calibri" w:hAnsi="Calibri" w:eastAsia="宋体" w:cs="Times New Roman"/>
      <w:szCs w:val="24"/>
    </w:rPr>
  </w:style>
  <w:style w:type="table" w:customStyle="1" w:styleId="25">
    <w:name w:val="网格型1"/>
    <w:basedOn w:val="12"/>
    <w:autoRedefine/>
    <w:qFormat/>
    <w:uiPriority w:val="5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
    <w:name w:val="日期 字符"/>
    <w:basedOn w:val="14"/>
    <w:link w:val="5"/>
    <w:autoRedefine/>
    <w:semiHidden/>
    <w:qFormat/>
    <w:uiPriority w:val="99"/>
  </w:style>
  <w:style w:type="character" w:customStyle="1" w:styleId="27">
    <w:name w:val="正文文本缩进 字符"/>
    <w:basedOn w:val="14"/>
    <w:link w:val="4"/>
    <w:autoRedefine/>
    <w:qFormat/>
    <w:uiPriority w:val="0"/>
    <w:rPr>
      <w:rFonts w:ascii="Times New Roman" w:hAnsi="宋体" w:eastAsia="宋体" w:cs="Times New Roman"/>
      <w:szCs w:val="20"/>
    </w:rPr>
  </w:style>
  <w:style w:type="paragraph" w:customStyle="1" w:styleId="28">
    <w:name w:val="二级条标题"/>
    <w:basedOn w:val="1"/>
    <w:next w:val="19"/>
    <w:autoRedefine/>
    <w:qFormat/>
    <w:uiPriority w:val="0"/>
    <w:pPr>
      <w:widowControl/>
      <w:numPr>
        <w:ilvl w:val="2"/>
        <w:numId w:val="1"/>
      </w:numPr>
      <w:spacing w:beforeLines="50" w:afterLines="50"/>
      <w:jc w:val="left"/>
      <w:outlineLvl w:val="3"/>
    </w:pPr>
    <w:rPr>
      <w:rFonts w:ascii="黑体" w:hAnsi="Times New Roman" w:eastAsia="黑体" w:cs="Times New Roman"/>
      <w:kern w:val="0"/>
      <w:szCs w:val="21"/>
    </w:rPr>
  </w:style>
  <w:style w:type="character" w:customStyle="1" w:styleId="29">
    <w:name w:val="headline-content2"/>
    <w:basedOn w:val="14"/>
    <w:autoRedefine/>
    <w:qFormat/>
    <w:uiPriority w:val="0"/>
  </w:style>
  <w:style w:type="paragraph" w:customStyle="1" w:styleId="30">
    <w:name w:val="章标题"/>
    <w:next w:val="19"/>
    <w:autoRedefine/>
    <w:qFormat/>
    <w:uiPriority w:val="0"/>
    <w:pPr>
      <w:numPr>
        <w:ilvl w:val="0"/>
        <w:numId w:val="1"/>
      </w:numPr>
      <w:spacing w:beforeLines="100" w:afterLines="100"/>
      <w:ind w:left="426"/>
      <w:jc w:val="both"/>
      <w:outlineLvl w:val="1"/>
    </w:pPr>
    <w:rPr>
      <w:rFonts w:ascii="黑体" w:hAnsi="Times New Roman" w:eastAsia="黑体" w:cs="Times New Roman"/>
      <w:sz w:val="21"/>
      <w:lang w:val="en-US" w:eastAsia="zh-CN" w:bidi="ar-SA"/>
    </w:rPr>
  </w:style>
  <w:style w:type="paragraph" w:customStyle="1" w:styleId="31">
    <w:name w:val="一级条标题"/>
    <w:next w:val="19"/>
    <w:autoRedefine/>
    <w:qFormat/>
    <w:uiPriority w:val="0"/>
    <w:pPr>
      <w:numPr>
        <w:ilvl w:val="1"/>
        <w:numId w:val="1"/>
      </w:numPr>
      <w:spacing w:beforeLines="50" w:afterLines="50"/>
      <w:ind w:left="0"/>
      <w:outlineLvl w:val="2"/>
    </w:pPr>
    <w:rPr>
      <w:rFonts w:ascii="黑体" w:hAnsi="Times New Roman" w:eastAsia="黑体" w:cs="Times New Roman"/>
      <w:sz w:val="21"/>
      <w:szCs w:val="21"/>
      <w:lang w:val="en-US" w:eastAsia="zh-CN" w:bidi="ar-SA"/>
    </w:rPr>
  </w:style>
  <w:style w:type="paragraph" w:customStyle="1" w:styleId="32">
    <w:name w:val="二级无"/>
    <w:basedOn w:val="28"/>
    <w:autoRedefine/>
    <w:qFormat/>
    <w:uiPriority w:val="0"/>
    <w:pPr>
      <w:spacing w:beforeLines="0" w:afterLines="0"/>
      <w:ind w:left="0" w:firstLine="0"/>
    </w:pPr>
    <w:rPr>
      <w:rFonts w:ascii="宋体" w:eastAsia="宋体"/>
    </w:rPr>
  </w:style>
  <w:style w:type="paragraph" w:customStyle="1" w:styleId="33">
    <w:name w:val="WPSOffice手动目录 1"/>
    <w:autoRedefine/>
    <w:qFormat/>
    <w:uiPriority w:val="0"/>
    <w:rPr>
      <w:rFonts w:asciiTheme="minorHAnsi" w:hAnsiTheme="minorHAnsi" w:eastAsiaTheme="minorEastAsia" w:cstheme="minorBidi"/>
      <w:lang w:val="en-US" w:eastAsia="zh-CN" w:bidi="ar-SA"/>
    </w:rPr>
  </w:style>
  <w:style w:type="paragraph" w:customStyle="1" w:styleId="34">
    <w:name w:val="标准文件_段"/>
    <w:link w:val="50"/>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5">
    <w:name w:val="标准文件_二级条标题"/>
    <w:next w:val="34"/>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36">
    <w:name w:val="标准文件_三级条标题"/>
    <w:basedOn w:val="35"/>
    <w:next w:val="34"/>
    <w:uiPriority w:val="0"/>
    <w:pPr>
      <w:widowControl/>
      <w:numPr>
        <w:ilvl w:val="4"/>
      </w:numPr>
      <w:outlineLvl w:val="3"/>
    </w:pPr>
  </w:style>
  <w:style w:type="paragraph" w:customStyle="1" w:styleId="37">
    <w:name w:val="标准文件_四级条标题"/>
    <w:next w:val="34"/>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paragraph" w:customStyle="1" w:styleId="38">
    <w:name w:val="标准文件_五级条标题"/>
    <w:next w:val="34"/>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39">
    <w:name w:val="标准文件_章标题"/>
    <w:next w:val="34"/>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40">
    <w:name w:val="标准文件_一级条标题"/>
    <w:basedOn w:val="39"/>
    <w:next w:val="34"/>
    <w:uiPriority w:val="0"/>
    <w:pPr>
      <w:numPr>
        <w:ilvl w:val="2"/>
      </w:numPr>
      <w:spacing w:before="50" w:beforeLines="50" w:after="50" w:afterLines="50"/>
      <w:outlineLvl w:val="1"/>
    </w:pPr>
  </w:style>
  <w:style w:type="paragraph" w:customStyle="1" w:styleId="41">
    <w:name w:val="标准文件_正文表标题"/>
    <w:next w:val="34"/>
    <w:uiPriority w:val="0"/>
    <w:pPr>
      <w:numPr>
        <w:ilvl w:val="0"/>
        <w:numId w:val="3"/>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42">
    <w:name w:val="标准文件_一级项"/>
    <w:uiPriority w:val="0"/>
    <w:pPr>
      <w:numPr>
        <w:ilvl w:val="0"/>
        <w:numId w:val="4"/>
      </w:numPr>
    </w:pPr>
    <w:rPr>
      <w:rFonts w:ascii="宋体" w:hAnsi="Times New Roman" w:eastAsia="宋体" w:cs="Times New Roman"/>
      <w:sz w:val="21"/>
      <w:lang w:val="en-US" w:eastAsia="zh-CN" w:bidi="ar-SA"/>
    </w:rPr>
  </w:style>
  <w:style w:type="paragraph" w:customStyle="1" w:styleId="43">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44">
    <w:name w:val="标准文件_一级无标题"/>
    <w:basedOn w:val="40"/>
    <w:qFormat/>
    <w:uiPriority w:val="0"/>
    <w:pPr>
      <w:spacing w:before="0" w:beforeLines="0" w:after="0" w:afterLines="0"/>
      <w:outlineLvl w:val="9"/>
    </w:pPr>
    <w:rPr>
      <w:rFonts w:ascii="宋体" w:eastAsia="宋体"/>
    </w:rPr>
  </w:style>
  <w:style w:type="paragraph" w:customStyle="1" w:styleId="45">
    <w:name w:val="标准文件_三级无标题"/>
    <w:basedOn w:val="36"/>
    <w:qFormat/>
    <w:uiPriority w:val="0"/>
    <w:pPr>
      <w:spacing w:before="0" w:beforeLines="0" w:after="0" w:afterLines="0"/>
      <w:outlineLvl w:val="9"/>
    </w:pPr>
    <w:rPr>
      <w:rFonts w:ascii="宋体" w:eastAsia="宋体"/>
    </w:rPr>
  </w:style>
  <w:style w:type="paragraph" w:customStyle="1" w:styleId="46">
    <w:name w:val="标准文件_二级无标题"/>
    <w:basedOn w:val="35"/>
    <w:qFormat/>
    <w:uiPriority w:val="0"/>
    <w:pPr>
      <w:spacing w:before="0" w:beforeLines="0" w:after="0" w:afterLines="0"/>
      <w:outlineLvl w:val="9"/>
    </w:pPr>
    <w:rPr>
      <w:rFonts w:ascii="宋体" w:eastAsia="宋体"/>
    </w:rPr>
  </w:style>
  <w:style w:type="paragraph" w:customStyle="1" w:styleId="47">
    <w:name w:val="标准文件_三级项"/>
    <w:basedOn w:val="1"/>
    <w:qFormat/>
    <w:uiPriority w:val="0"/>
    <w:pPr>
      <w:numPr>
        <w:ilvl w:val="2"/>
        <w:numId w:val="4"/>
      </w:numPr>
      <w:adjustRightInd w:val="0"/>
      <w:spacing w:line="536870612" w:lineRule="auto"/>
    </w:pPr>
    <w:rPr>
      <w:rFonts w:ascii="Times New Roman" w:hAnsi="Times New Roman" w:eastAsia="宋体" w:cs="Times New Roman"/>
      <w:szCs w:val="21"/>
    </w:rPr>
  </w:style>
  <w:style w:type="paragraph" w:customStyle="1" w:styleId="48">
    <w:name w:val="标准文件_表格"/>
    <w:basedOn w:val="34"/>
    <w:qFormat/>
    <w:uiPriority w:val="0"/>
    <w:pPr>
      <w:ind w:firstLine="0" w:firstLineChars="0"/>
      <w:jc w:val="center"/>
    </w:pPr>
    <w:rPr>
      <w:sz w:val="18"/>
    </w:rPr>
  </w:style>
  <w:style w:type="paragraph" w:customStyle="1" w:styleId="49">
    <w:name w:val="标准文件_注："/>
    <w:next w:val="34"/>
    <w:uiPriority w:val="0"/>
    <w:pPr>
      <w:widowControl w:val="0"/>
      <w:numPr>
        <w:ilvl w:val="0"/>
        <w:numId w:val="5"/>
      </w:numPr>
      <w:autoSpaceDE w:val="0"/>
      <w:autoSpaceDN w:val="0"/>
      <w:jc w:val="both"/>
    </w:pPr>
    <w:rPr>
      <w:rFonts w:ascii="宋体" w:hAnsi="Times New Roman" w:eastAsia="宋体" w:cs="Times New Roman"/>
      <w:sz w:val="18"/>
      <w:szCs w:val="18"/>
      <w:lang w:val="en-US" w:eastAsia="zh-CN" w:bidi="ar-SA"/>
    </w:rPr>
  </w:style>
  <w:style w:type="character" w:customStyle="1" w:styleId="50">
    <w:name w:val="标准文件_段 Char"/>
    <w:link w:val="34"/>
    <w:uiPriority w:val="0"/>
    <w:rPr>
      <w:rFonts w:ascii="宋体" w:hAnsi="Times New Roman" w:eastAsia="宋体" w:cs="Times New Roman"/>
      <w:sz w:val="21"/>
    </w:rPr>
  </w:style>
  <w:style w:type="paragraph" w:customStyle="1" w:styleId="51">
    <w:name w:val="标准文件_二级项2"/>
    <w:basedOn w:val="34"/>
    <w:qFormat/>
    <w:uiPriority w:val="0"/>
    <w:pPr>
      <w:numPr>
        <w:ilvl w:val="1"/>
        <w:numId w:val="4"/>
      </w:numPr>
      <w:tabs>
        <w:tab w:val="left" w:pos="360"/>
      </w:tabs>
      <w:ind w:left="0" w:firstLine="0" w:firstLineChars="0"/>
    </w:pPr>
  </w:style>
  <w:style w:type="paragraph" w:customStyle="1" w:styleId="52">
    <w:name w:val="标准文件_术语条一"/>
    <w:basedOn w:val="44"/>
    <w:next w:val="34"/>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D73C649C99D4631AED3F3ED9C07B6E4"/>
        <w:style w:val=""/>
        <w:category>
          <w:name w:val="常规"/>
          <w:gallery w:val="placeholder"/>
        </w:category>
        <w:types>
          <w:type w:val="bbPlcHdr"/>
        </w:types>
        <w:behaviors>
          <w:behavior w:val="content"/>
        </w:behaviors>
        <w:description w:val=""/>
        <w:guid w:val="{1E5E3BD4-496D-417D-AB7C-9A092C60919F}"/>
      </w:docPartPr>
      <w:docPartBody>
        <w:p w14:paraId="30096953">
          <w:pPr>
            <w:pStyle w:val="7"/>
          </w:pPr>
          <w:r>
            <w:rPr>
              <w:rStyle w:val="4"/>
              <w:rFonts w:hint="eastAsia"/>
            </w:rPr>
            <w:t>选择一项。</w:t>
          </w:r>
        </w:p>
      </w:docPartBody>
    </w:docPart>
    <w:docPart>
      <w:docPartPr>
        <w:name w:val="113F3804D0A1468981AB9E1181B05ACF"/>
        <w:style w:val=""/>
        <w:category>
          <w:name w:val="常规"/>
          <w:gallery w:val="placeholder"/>
        </w:category>
        <w:types>
          <w:type w:val="bbPlcHdr"/>
        </w:types>
        <w:behaviors>
          <w:behavior w:val="content"/>
        </w:behaviors>
        <w:description w:val=""/>
        <w:guid w:val="{23F238D3-62F0-4CC1-871B-631BE259FE3A}"/>
      </w:docPartPr>
      <w:docPartBody>
        <w:p w14:paraId="588AE9A9">
          <w:pPr>
            <w:pStyle w:val="8"/>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224"/>
    <w:rsid w:val="003B59B1"/>
    <w:rsid w:val="00A83B61"/>
    <w:rsid w:val="00E252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C092432C4F9044B3BCF27DBF2D58559F"/>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8AAB30F24BCB4B31887C2FF1EA1A098C"/>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8D73C649C99D4631AED3F3ED9C07B6E4"/>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8">
    <w:name w:val="113F3804D0A1468981AB9E1181B05ACF"/>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C3B4CF-5B34-45C4-9690-BC0234FFD250}">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21</Pages>
  <Words>3635</Words>
  <Characters>3962</Characters>
  <Lines>71</Lines>
  <Paragraphs>20</Paragraphs>
  <TotalTime>0</TotalTime>
  <ScaleCrop>false</ScaleCrop>
  <LinksUpToDate>false</LinksUpToDate>
  <CharactersWithSpaces>4059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2019-06-25T01:51:00Z</dcterms:created>
  <dc:creator>yao jiang</dc:creator>
  <cp:lastModifiedBy>Shimmer</cp:lastModifiedBy>
  <dcterms:modified xsi:type="dcterms:W3CDTF">2025-10-21T08:49:11Z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286513CB856B4AD4B4C264CC0310DEB1</vt:lpwstr>
  </property>
  <property fmtid="{D5CDD505-2E9C-101B-9397-08002B2CF9AE}" pid="4" name="KSOTemplateDocerSaveRecord">
    <vt:lpwstr>eyJoZGlkIjoiYmMyN2Y1NjU1MGJkOTJlMGU2NjMwODJlNzlmZmZjZDkiLCJ1c2VySWQiOiIxNjEyNTI2NzM3In0=</vt:lpwstr>
  </property>
</Properties>
</file>