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绿色建筑工程造价编制与管</w:t>
      </w:r>
      <w:bookmarkStart w:id="48" w:name="_GoBack"/>
      <w:bookmarkEnd w:id="48"/>
      <w:r>
        <w:rPr>
          <w:rFonts w:hint="default" w:ascii="Times New Roman" w:hAnsi="Times New Roman" w:eastAsia="黑体" w:cs="Times New Roman"/>
          <w:b/>
          <w:sz w:val="48"/>
          <w:szCs w:val="48"/>
          <w:highlight w:val="none"/>
          <w:lang w:val="en-US" w:eastAsia="zh-CN"/>
        </w:rPr>
        <w:t>理操作规范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52408F24">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绿色建筑工程造价编制与管理操作规范</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九</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绿色建筑工程造价编制与管理操作规范</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D5FBE84">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在城市化进程加速与“双碳”目标双重驱动下，绿色建筑已成为建筑行业转型升级的核心方向。我国建筑领域碳排放占全国总量的40%以上，传统建造模式对资源的高消耗与环境污染问题日益突出，而绿色建筑通过采用可再生能源、高性能建材及智能化管理系统，可实现全生命周期节能减排。在此背景下，绿色建筑工程造价编制与管理操作规范的制定，旨在构建覆盖项目全周期的标准化成本管控体系，将环境效益、社会效益与经济效益深度融合，为行业提供可量化的绿色造价计算依据，推动建筑行业从“规模扩张”向“质量效益”转型。</w:t>
      </w:r>
    </w:p>
    <w:p w14:paraId="16050E9A">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绿色建筑工程造价管理面临系统性挑战，制约了绿色技术的规模化应用。市场层面，低价中标导致的“劣币驱逐良币”现象普遍，部分企业为压缩成本偷工减料，如采用低标准节能材料或简化绿色施工工艺；技术层面，传统造价方法聚焦于建设期直接成本，忽视运营期节能收益与环境成本，导致全生命周期成本评估偏差；人才层面，复合型造价管理人才缺口巨大，难以支撑新技术如光伏一体化幕墙、地源热泵系统的精准计价。这些问题直接导致绿色建筑增量成本居高不下，削弱了市场推广动力。</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绿色建筑工程造价编制与管理具有多重战略意义。从行业层面看，通过建立统一的绿色建材价格数据库、施工工艺定额标准及碳排放计量模型，可破解当前“绿色溢价”测算难题，提升市场竞争力；从社会层面看，规范化的造价管理能确保绿色技术落地质量，如通过严格审核可再生能源系统配置参数，避免“重申报、轻实施”的形式主义；从生态层面看，全周期成本管控可引导资源向高效节能技术倾斜，为城市碳中和目标提供关键支撑。该规范的实施，标志着我国建筑行业正式迈入“绿色成本可控、发展质量可测”的新阶段。</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建筑工程造价</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建筑工程造价</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建筑工程造价</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建筑工程造价</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建筑工程造价</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绿色建筑工程造价编制与管理操作规范</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绿色建筑工程造价编制与管理操作规范</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w:t>
      </w:r>
      <w:r>
        <w:rPr>
          <w:rFonts w:hint="default" w:ascii="Times New Roman" w:hAnsi="Times New Roman" w:cs="Times New Roman"/>
          <w:kern w:val="0"/>
          <w:sz w:val="28"/>
          <w:szCs w:val="28"/>
          <w:highlight w:val="none"/>
        </w:rPr>
        <w:t>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9</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rPr>
        <w:t>8个</w:t>
      </w:r>
      <w:r>
        <w:rPr>
          <w:rFonts w:hint="default" w:ascii="Times New Roman" w:hAnsi="Times New Roman" w:cs="Times New Roman"/>
          <w:sz w:val="28"/>
          <w:szCs w:val="28"/>
          <w:highlight w:val="none"/>
        </w:rPr>
        <w:t>部分，主要内容如下：</w:t>
      </w:r>
    </w:p>
    <w:p w14:paraId="4F149066">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97192964"/>
      <w:bookmarkStart w:id="3" w:name="_Toc24884218"/>
      <w:bookmarkStart w:id="4" w:name="_Toc17233325"/>
      <w:bookmarkStart w:id="5" w:name="_Toc24884211"/>
      <w:bookmarkStart w:id="6" w:name="_Toc26648465"/>
      <w:bookmarkStart w:id="7" w:name="_Toc26718930"/>
      <w:bookmarkStart w:id="8" w:name="_Toc26986771"/>
      <w:bookmarkStart w:id="9" w:name="_Toc208240936"/>
      <w:bookmarkStart w:id="10" w:name="_Toc208244466"/>
      <w:bookmarkStart w:id="11" w:name="_Toc17233333"/>
      <w:bookmarkStart w:id="12" w:name="_Toc26986530"/>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79AC121B">
      <w:pPr>
        <w:pStyle w:val="38"/>
        <w:widowControl/>
        <w:spacing w:line="360" w:lineRule="auto"/>
        <w:ind w:left="0" w:firstLine="420"/>
        <w:rPr>
          <w:rFonts w:hint="default" w:ascii="Times New Roman" w:hAnsi="Times New Roman" w:cs="Times New Roman"/>
          <w:sz w:val="28"/>
          <w:szCs w:val="28"/>
          <w:highlight w:val="none"/>
          <w:lang w:val="en-US"/>
        </w:rPr>
      </w:pPr>
      <w:bookmarkStart w:id="13" w:name="_Toc17233326"/>
      <w:bookmarkStart w:id="14" w:name="_Toc17233334"/>
      <w:bookmarkStart w:id="15" w:name="_Toc24884212"/>
      <w:bookmarkStart w:id="16" w:name="_Toc24884219"/>
      <w:bookmarkStart w:id="17" w:name="_Toc26648466"/>
      <w:r>
        <w:rPr>
          <w:rFonts w:hint="default" w:ascii="Times New Roman" w:hAnsi="Times New Roman" w:cs="Times New Roman"/>
          <w:sz w:val="28"/>
          <w:szCs w:val="28"/>
          <w:highlight w:val="none"/>
          <w:lang w:eastAsia="zh-CN"/>
        </w:rPr>
        <w:t>本文件规定了绿色建筑工程造价编制与管理操作的术语和定义、基本要求、文件编制、专项费用、造价管理、信息管理。</w:t>
      </w:r>
    </w:p>
    <w:p w14:paraId="578B320B">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本文件适用于绿色建筑工程造价编制与管理。</w:t>
      </w:r>
    </w:p>
    <w:p w14:paraId="2625D343">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26718931"/>
      <w:bookmarkStart w:id="19" w:name="_Toc208244467"/>
      <w:bookmarkStart w:id="20" w:name="_Toc97192965"/>
      <w:bookmarkStart w:id="21" w:name="_Toc26986531"/>
      <w:bookmarkStart w:id="22" w:name="_Toc208240937"/>
      <w:bookmarkStart w:id="23" w:name="_Toc26986772"/>
      <w:r>
        <w:rPr>
          <w:rFonts w:hint="default" w:ascii="Times New Roman" w:hAnsi="Times New Roman" w:cs="Times New Roman"/>
          <w:sz w:val="28"/>
          <w:szCs w:val="28"/>
          <w:highlight w:val="none"/>
          <w:lang w:eastAsia="zh-CN"/>
        </w:rPr>
        <w:t>规范性引用文件</w:t>
      </w:r>
      <w:bookmarkEnd w:id="13"/>
      <w:bookmarkEnd w:id="14"/>
      <w:bookmarkEnd w:id="15"/>
      <w:bookmarkEnd w:id="16"/>
      <w:bookmarkEnd w:id="17"/>
      <w:bookmarkEnd w:id="18"/>
      <w:bookmarkEnd w:id="19"/>
      <w:bookmarkEnd w:id="20"/>
      <w:bookmarkEnd w:id="21"/>
      <w:bookmarkEnd w:id="22"/>
      <w:bookmarkEnd w:id="23"/>
    </w:p>
    <w:p w14:paraId="2A94AFA2">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59B029">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50378 </w:t>
      </w:r>
      <w:r>
        <w:rPr>
          <w:rFonts w:hint="default" w:ascii="Times New Roman" w:hAnsi="Times New Roman" w:cs="Times New Roman"/>
          <w:sz w:val="28"/>
          <w:szCs w:val="28"/>
          <w:highlight w:val="none"/>
          <w:lang w:eastAsia="zh-CN"/>
        </w:rPr>
        <w:t>绿色建筑评价标准</w:t>
      </w:r>
    </w:p>
    <w:p w14:paraId="0BDB8F7B">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50500 </w:t>
      </w:r>
      <w:r>
        <w:rPr>
          <w:rFonts w:hint="default" w:ascii="Times New Roman" w:hAnsi="Times New Roman" w:cs="Times New Roman"/>
          <w:sz w:val="28"/>
          <w:szCs w:val="28"/>
          <w:highlight w:val="none"/>
          <w:lang w:eastAsia="zh-CN"/>
        </w:rPr>
        <w:t>建设工程工程量清单计价标准</w:t>
      </w:r>
    </w:p>
    <w:p w14:paraId="028D8449">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51095 </w:t>
      </w:r>
      <w:r>
        <w:rPr>
          <w:rFonts w:hint="default" w:ascii="Times New Roman" w:hAnsi="Times New Roman" w:cs="Times New Roman"/>
          <w:sz w:val="28"/>
          <w:szCs w:val="28"/>
          <w:highlight w:val="none"/>
          <w:lang w:eastAsia="zh-CN"/>
        </w:rPr>
        <w:t>建设工程造价咨询规范</w:t>
      </w:r>
    </w:p>
    <w:p w14:paraId="535B5F78">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4" w:name="_Toc97192966"/>
      <w:bookmarkStart w:id="25" w:name="_Toc208240938"/>
      <w:bookmarkStart w:id="26" w:name="_Toc208244468"/>
      <w:r>
        <w:rPr>
          <w:rFonts w:hint="default" w:ascii="Times New Roman" w:hAnsi="Times New Roman" w:cs="Times New Roman"/>
          <w:sz w:val="28"/>
          <w:szCs w:val="28"/>
          <w:highlight w:val="none"/>
          <w:lang w:eastAsia="zh-CN"/>
        </w:rPr>
        <w:t>术语和定义</w:t>
      </w:r>
      <w:bookmarkEnd w:id="24"/>
      <w:bookmarkEnd w:id="25"/>
      <w:bookmarkEnd w:id="26"/>
    </w:p>
    <w:p w14:paraId="55EE70B3">
      <w:pPr>
        <w:pStyle w:val="38"/>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eastAsia="zh-CN"/>
        </w:rPr>
        <w:t>下列术语和定义适用于本文件。</w:t>
      </w:r>
    </w:p>
    <w:p w14:paraId="0703905A">
      <w:pPr>
        <w:pStyle w:val="34"/>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绿色建筑</w:t>
      </w:r>
      <w:r>
        <w:rPr>
          <w:rFonts w:hint="default" w:ascii="Times New Roman" w:hAnsi="Times New Roman" w:eastAsia="黑体" w:cs="Times New Roman"/>
          <w:sz w:val="28"/>
          <w:szCs w:val="28"/>
          <w:highlight w:val="none"/>
          <w:lang w:val="en-US"/>
        </w:rPr>
        <w:t xml:space="preserve"> green building</w:t>
      </w:r>
    </w:p>
    <w:p w14:paraId="703D03B1">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在全寿命期内，节约资源、保护环境、减少污染，为人们提供健康、适用、高效的使用空间，最大限度地实现人与自然和谐共生的高质量建筑。</w:t>
      </w:r>
    </w:p>
    <w:p w14:paraId="10244536">
      <w:pPr>
        <w:pStyle w:val="34"/>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p>
    <w:p w14:paraId="7FB37C51">
      <w:pPr>
        <w:pStyle w:val="34"/>
        <w:widowControl/>
        <w:numPr>
          <w:numId w:val="0"/>
        </w:numPr>
        <w:spacing w:line="360" w:lineRule="auto"/>
        <w:ind w:left="42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工程造价</w:t>
      </w:r>
      <w:r>
        <w:rPr>
          <w:rFonts w:hint="default" w:ascii="Times New Roman" w:hAnsi="Times New Roman" w:eastAsia="黑体" w:cs="Times New Roman"/>
          <w:sz w:val="28"/>
          <w:szCs w:val="28"/>
          <w:highlight w:val="none"/>
          <w:lang w:val="en-US"/>
        </w:rPr>
        <w:t xml:space="preserve"> cost of project</w:t>
      </w:r>
    </w:p>
    <w:p w14:paraId="79E544B3">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完成一个建筑工程项目，从立项到竣工交付所需的全部费用，包括常规建安工程费用和绿色建筑专项费用。</w:t>
      </w:r>
    </w:p>
    <w:p w14:paraId="24CF6D10">
      <w:pPr>
        <w:pStyle w:val="34"/>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p>
    <w:p w14:paraId="17B8BF1A">
      <w:pPr>
        <w:pStyle w:val="34"/>
        <w:widowControl/>
        <w:numPr>
          <w:numId w:val="0"/>
        </w:numPr>
        <w:spacing w:line="360" w:lineRule="auto"/>
        <w:ind w:left="42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专项费用</w:t>
      </w:r>
      <w:r>
        <w:rPr>
          <w:rFonts w:hint="default" w:ascii="Times New Roman" w:hAnsi="Times New Roman" w:eastAsia="黑体" w:cs="Times New Roman"/>
          <w:sz w:val="28"/>
          <w:szCs w:val="28"/>
          <w:highlight w:val="none"/>
          <w:lang w:val="en-US"/>
        </w:rPr>
        <w:t xml:space="preserve"> special cost</w:t>
      </w:r>
    </w:p>
    <w:p w14:paraId="63F2BFB2">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为达到绿色建筑评价标准而采用的各项技术、措施、产品所产生的增量费用、咨询评审费用等。</w:t>
      </w:r>
    </w:p>
    <w:p w14:paraId="759D5108">
      <w:pPr>
        <w:pStyle w:val="34"/>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增量成本</w:t>
      </w:r>
      <w:r>
        <w:rPr>
          <w:rFonts w:hint="default" w:ascii="Times New Roman" w:hAnsi="Times New Roman" w:eastAsia="黑体" w:cs="Times New Roman"/>
          <w:sz w:val="28"/>
          <w:szCs w:val="28"/>
          <w:highlight w:val="none"/>
          <w:lang w:val="en-US"/>
        </w:rPr>
        <w:t xml:space="preserve"> incremental cost</w:t>
      </w:r>
    </w:p>
    <w:p w14:paraId="06D9E16F">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与满足国家强制性标准基准线的常规建筑相比，为达到特定绿色建筑星级目标而增加的额外投资成本。</w:t>
      </w:r>
    </w:p>
    <w:p w14:paraId="4D87764E">
      <w:pPr>
        <w:pStyle w:val="34"/>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全生命期成本</w:t>
      </w:r>
      <w:r>
        <w:rPr>
          <w:rFonts w:hint="default" w:ascii="Times New Roman" w:hAnsi="Times New Roman" w:eastAsia="黑体" w:cs="Times New Roman"/>
          <w:sz w:val="28"/>
          <w:szCs w:val="28"/>
          <w:highlight w:val="none"/>
          <w:lang w:val="en-US"/>
        </w:rPr>
        <w:t xml:space="preserve"> life-cycle cost</w:t>
      </w:r>
    </w:p>
    <w:p w14:paraId="496381EF">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在建筑的全寿命期内，包括初始建造成本和未来的运营、维护、修理、更换直至拆除处置等一系列成本的总和。</w:t>
      </w:r>
    </w:p>
    <w:p w14:paraId="6C14B417">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208240939"/>
      <w:bookmarkStart w:id="29" w:name="_Toc208244469"/>
      <w:r>
        <w:rPr>
          <w:rFonts w:hint="default" w:ascii="Times New Roman" w:hAnsi="Times New Roman" w:cs="Times New Roman"/>
          <w:sz w:val="28"/>
          <w:szCs w:val="28"/>
          <w:highlight w:val="none"/>
          <w:lang w:eastAsia="zh-CN"/>
        </w:rPr>
        <w:t>基本</w:t>
      </w:r>
      <w:bookmarkEnd w:id="28"/>
      <w:r>
        <w:rPr>
          <w:rFonts w:hint="default" w:ascii="Times New Roman" w:hAnsi="Times New Roman" w:cs="Times New Roman"/>
          <w:sz w:val="28"/>
          <w:szCs w:val="28"/>
          <w:highlight w:val="none"/>
          <w:lang w:eastAsia="zh-CN"/>
        </w:rPr>
        <w:t>要求</w:t>
      </w:r>
      <w:bookmarkEnd w:id="29"/>
    </w:p>
    <w:p w14:paraId="081F0ABF">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绿色建筑工程造价编制与管理应遵循全过程管理、目标导向、技术经济统一、数据驱动的基本原则，确保造价成果的真实性、准确性、完整性和规范性。</w:t>
      </w:r>
    </w:p>
    <w:p w14:paraId="25739885">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绿色建筑项目应实行全过程造价管理。投资决策、设计、招投标、施工、结算等各阶段造价活动应前后衔接，形成有机整体，并将绿色建筑性能要求贯穿始终。</w:t>
      </w:r>
    </w:p>
    <w:p w14:paraId="68F655F3">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项目前期应明确绿色建筑目标等级，造价工作应围绕目标展开。各阶段造价文件应同步编制绿色建筑专项费用，并与常规建设工程费用形成对比分析，合理反映绿色建筑的增量成本与效益。</w:t>
      </w:r>
    </w:p>
    <w:p w14:paraId="50C7CA69">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绿色建筑造价的确定与控制，应基于性能导向和结果导向。造价应与所采用的绿色技术措施的性能参数、实施效果和验收标准相关联，确保资金投入与绿色建筑品质相匹配。</w:t>
      </w:r>
    </w:p>
    <w:p w14:paraId="0249A7CA">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建设单位作为项目投资责任主体，应负责组织、协调和决策绿色建筑造价管理的重大事项。应委托具有相应能力的造价咨询机构，并明确其在全过程造价管理中关于绿色建筑内容的咨询职责。</w:t>
      </w:r>
    </w:p>
    <w:p w14:paraId="6DE58FAE">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设计单位应在设计文件中设立绿色建筑内容，明确技术措施、材料性能指标和施工工艺要求，为造价的准确计量与计价提供清晰、完备的设计依据。造价编制人员应参与技术方案的经济性比选。</w:t>
      </w:r>
    </w:p>
    <w:p w14:paraId="251DB9C9">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造价从业人员应具备绿色建筑相关知识，熟悉绿色建筑技术、材料、工艺的施工流程和成本构成。咨询企业应建立内部培训机制，提升从业人员绿色造价专业能力。</w:t>
      </w:r>
    </w:p>
    <w:p w14:paraId="3418EF0B">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绿色建筑造价的编制宜考虑全生命期成本理念，在关键技术选型时，可进行建造成本与未来运营维护成本的综合比选，寻求全寿命期经济性最优方案。</w:t>
      </w:r>
    </w:p>
    <w:p w14:paraId="435040FF">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应高度重视造价数据的积累与应用。鼓励建设单位、造价咨询企业建立绿色建筑造价数据库，收集和分析不同类型、不同星级绿色项目的经济技术指标、增量成本和造价指数。</w:t>
      </w:r>
    </w:p>
    <w:p w14:paraId="70445505">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应积极采用先进信息技术支持绿色造价管理。鼓励应用建筑信息模型、大数据、云计算等技术，提升工程量计算的精确度、造价分析的深度以及各阶段造价数据传递与共享的效率。</w:t>
      </w:r>
    </w:p>
    <w:p w14:paraId="4EDA19F6">
      <w:pPr>
        <w:pStyle w:val="35"/>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绿色建筑工程的发承包活动及合同价款管理，应遵守</w:t>
      </w:r>
      <w:bookmarkStart w:id="30" w:name="_Hlk208242151"/>
      <w:r>
        <w:rPr>
          <w:rFonts w:hint="default" w:ascii="Times New Roman" w:hAnsi="Times New Roman" w:cs="Times New Roman"/>
          <w:sz w:val="28"/>
          <w:szCs w:val="28"/>
          <w:highlight w:val="none"/>
          <w:lang w:val="en-US"/>
        </w:rPr>
        <w:t>GB/T 50378</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50500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51095</w:t>
      </w:r>
      <w:bookmarkEnd w:id="30"/>
      <w:r>
        <w:rPr>
          <w:rFonts w:hint="default" w:ascii="Times New Roman" w:hAnsi="Times New Roman" w:cs="Times New Roman"/>
          <w:sz w:val="28"/>
          <w:szCs w:val="28"/>
          <w:highlight w:val="none"/>
          <w:lang w:eastAsia="zh-CN"/>
        </w:rPr>
        <w:t>的规定。合同中应专门条款约定绿色建筑实施范围、标准、验收方式、价款调整与支付办法。</w:t>
      </w:r>
    </w:p>
    <w:p w14:paraId="7DE7049E">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208240940"/>
      <w:bookmarkStart w:id="32" w:name="_Toc208244470"/>
      <w:r>
        <w:rPr>
          <w:rFonts w:hint="default" w:ascii="Times New Roman" w:hAnsi="Times New Roman" w:cs="Times New Roman"/>
          <w:sz w:val="28"/>
          <w:szCs w:val="28"/>
          <w:highlight w:val="none"/>
          <w:lang w:eastAsia="zh-CN"/>
        </w:rPr>
        <w:t>文件编制</w:t>
      </w:r>
      <w:bookmarkEnd w:id="31"/>
      <w:bookmarkEnd w:id="32"/>
    </w:p>
    <w:p w14:paraId="24A8EB33">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投资决策阶段</w:t>
      </w:r>
    </w:p>
    <w:p w14:paraId="2C5902E1">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本阶段应编制绿色建筑项目投资估算，作为项目投资决策和控制设计概算的重要依据。</w:t>
      </w:r>
    </w:p>
    <w:p w14:paraId="74140996">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投资估算应依据项目建设方案、绿色建筑策划方案及目标星级进行编制。</w:t>
      </w:r>
    </w:p>
    <w:p w14:paraId="7B50F77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投资估算内容应完整包括常规建设工程费用和绿色建筑专项费用。</w:t>
      </w:r>
    </w:p>
    <w:p w14:paraId="2FA7FC18">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绿色建筑专项费用应单独列项，可参照已建同类绿色建筑项目的单位指标或增量成本指标进行估算。无可靠参考数据时，可采用专家咨询、市场询价等方式进行估算。</w:t>
      </w:r>
    </w:p>
    <w:p w14:paraId="027D3565">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投资估算文件应包含绿色建筑技术措施和专项费用的编制说明，阐述估算依据、方法及主要技术选项。</w:t>
      </w:r>
    </w:p>
    <w:p w14:paraId="37036C98">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设计阶段</w:t>
      </w:r>
    </w:p>
    <w:p w14:paraId="02E8BA9C">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设计概算</w:t>
      </w:r>
    </w:p>
    <w:p w14:paraId="40BEA39F">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设计概算应依据初步设计文件、绿色建筑设计内容及说明书进行编制。</w:t>
      </w:r>
    </w:p>
    <w:p w14:paraId="640AA2A9">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编制时应采用概算定额、概算指标或类似工程决算资料。绿色建筑专项投资应得以细化，不应再以单一项或笼统指标计列。</w:t>
      </w:r>
    </w:p>
    <w:p w14:paraId="1CA86749">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应将为达到绿色建筑星级标准而采用的各项技术、材料、设备所发生的增量成本，分解至各相关单位工程和分部工程中；对于综合性的绿色措施项目，应在工程建设其他费用中单独列项。</w:t>
      </w:r>
    </w:p>
    <w:p w14:paraId="52A6D287">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设计概算应进行技术经济多方案比选，论证绿色技术路线的经济合理性，确保绿色建筑目标下的总投资控制在投资估算范围内。</w:t>
      </w:r>
    </w:p>
    <w:p w14:paraId="5306F694">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施工图预算</w:t>
      </w:r>
    </w:p>
    <w:p w14:paraId="22382B48">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施工图预算应依据施工图设计文件、审定的绿色建筑设计文件及其具体要求进行编制。</w:t>
      </w:r>
    </w:p>
    <w:p w14:paraId="556FFA78">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应严格按照现行工程量计算规范、计价定额及工程造价信息进行编制。对于定额缺项的新技术、新工艺、新材料，应编制补充估价表。</w:t>
      </w:r>
    </w:p>
    <w:p w14:paraId="778F3A9A">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应在分部分项工程和措施项目中，清晰识别并准确计量与绿色建筑要求相关的工程内容。项目特征描述应详尽注明绿色性能参数。</w:t>
      </w:r>
    </w:p>
    <w:p w14:paraId="157CB9D5">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施工图预算的总价和单项造价宜与设计概算进行对比分析，如出现超概算情况，应分析原因并提出优化建议。</w:t>
      </w:r>
    </w:p>
    <w:p w14:paraId="323ED6A6">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招投标阶段</w:t>
      </w:r>
    </w:p>
    <w:p w14:paraId="2A5B52E2">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招标人发布的招标工程量清单，应全面、准确地反映绿色建筑设计要求。</w:t>
      </w:r>
    </w:p>
    <w:p w14:paraId="665391BD">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在分部分项工程项目清单中，应将涉及绿色性能要求的项目特征描述清晰，不应遗漏。如高性能混凝土、保温隔热材料、再生材料制品、节水器具、节能灯具、高效能设备等，均应明确其技术指标和标准。</w:t>
      </w:r>
    </w:p>
    <w:p w14:paraId="7996BFE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招标控制价的编制，应全面考虑绿色建筑技术要求，合理确定其价格。绿色专项措施费用应依据常规施工组织设计、绿色施工专项方案及市场价格进行编制。</w:t>
      </w:r>
    </w:p>
    <w:p w14:paraId="33B5E7D9">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投标人应依据招标文件、施工图纸、自行编制的绿色施工方案及企业自身技术水平，对绿色建筑相关项目进行自主报价。报价应涵盖为达到约定绿色标准所需的一切费用，且不应低于其成本。</w:t>
      </w:r>
    </w:p>
    <w:p w14:paraId="37FA527E">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评标标准中宜设置绿色建筑造价相关条款，对投标报价中绿色措施方案的合理性、完整性进行评审。</w:t>
      </w:r>
    </w:p>
    <w:p w14:paraId="66FD3937">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施工阶段</w:t>
      </w:r>
    </w:p>
    <w:p w14:paraId="1AFA9602">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发承包双方签订的合同价款中，应明确约定绿色建筑专项费用的内容、支付方式、调整规定及验收条件。绿色性能要求应作为合同的实质性条款。</w:t>
      </w:r>
    </w:p>
    <w:p w14:paraId="721FDE67">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工程款支付申请与审核时，应将绿色建筑措施项目的完成情况、质量验收证明作为支付进度款的重要依据，实现绿色绩效与支付挂钩。</w:t>
      </w:r>
    </w:p>
    <w:p w14:paraId="68D260F5">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处理工程变更和现场签证时，应同步评估其对绿色建筑目标星级、技术路径及造价的影响。涉及绿色性能的变更，应经过原设计单位确认，并履行相应的造价变更程序。</w:t>
      </w:r>
    </w:p>
    <w:p w14:paraId="1D1071EC">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施工单位应建立绿色建筑措施费用台账，详细记录各项绿色措施的实施情况与费用发生情况，并收集保存相关影像、检测报告等证明资料。</w:t>
      </w:r>
    </w:p>
    <w:p w14:paraId="7315E498">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应实施动态的造价控制，定期将实际发生成本与目标成本进行比对，及时发现偏差并采取纠偏措施。</w:t>
      </w:r>
    </w:p>
    <w:p w14:paraId="46944C56">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竣工结算阶段</w:t>
      </w:r>
    </w:p>
    <w:p w14:paraId="0D6624F0">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竣工结算应全面汇总、真实反映绿色建筑项目从筹建到竣工交付的全部费用。</w:t>
      </w:r>
    </w:p>
    <w:p w14:paraId="560D224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结算编制与审核应以合同为依据，结合竣工图纸、竣工资料、绿色建筑专项验收报告、工程变更签证、市场价格变化等资料进行。</w:t>
      </w:r>
    </w:p>
    <w:p w14:paraId="2C29E010">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应重点审核绿色建筑相关措施的完成工程量、结算单价和费用。审核时应核验其是否满足绿色建筑设计文件和合同约定的技术标准与验收要求。</w:t>
      </w:r>
    </w:p>
    <w:p w14:paraId="22BAE66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竣工结算文件中，宜单独形成绿色建筑专项费用结算汇总表，清晰列明各项绿色技术措施的结算金额，并与招标控制价、投标报价进行对比，分析其变化原因。</w:t>
      </w:r>
    </w:p>
    <w:p w14:paraId="702E8CED">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竣工结算完成后，宜对项目最终的绿色建筑增量成本进行核算与分析，并将关键经济技术指标归档，为后续项目提供数据支撑。</w:t>
      </w:r>
    </w:p>
    <w:p w14:paraId="0A4FCA82">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208240941"/>
      <w:bookmarkStart w:id="34" w:name="_Toc208244471"/>
      <w:r>
        <w:rPr>
          <w:rFonts w:hint="default" w:ascii="Times New Roman" w:hAnsi="Times New Roman" w:cs="Times New Roman"/>
          <w:sz w:val="28"/>
          <w:szCs w:val="28"/>
          <w:highlight w:val="none"/>
          <w:lang w:eastAsia="zh-CN"/>
        </w:rPr>
        <w:t>专项费用</w:t>
      </w:r>
      <w:bookmarkEnd w:id="33"/>
      <w:bookmarkEnd w:id="34"/>
    </w:p>
    <w:p w14:paraId="51FC8F87">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费用构成</w:t>
      </w:r>
    </w:p>
    <w:p w14:paraId="2790C7C9">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绿色专项费用应由为达到绿色建筑目标等级而发生的全部新增费用构成，主要包括增量成本、咨询评审费用及其他相关费用。</w:t>
      </w:r>
    </w:p>
    <w:p w14:paraId="7213C7F6">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增量成本应包括：</w:t>
      </w:r>
    </w:p>
    <w:p w14:paraId="7B02ACB5">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提升性成本：为满足更高性能标准，相比国家或地方强制性标准基准线要求而增加的费用。主要包括：</w:t>
      </w:r>
    </w:p>
    <w:p w14:paraId="0E30E16F">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围护结构增强保温隔热性能的费用差价；</w:t>
      </w:r>
    </w:p>
    <w:p w14:paraId="4DB9503B">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更高能效等级的供暖、通风、空调、照明及电梯等设备系统的费用差价；</w:t>
      </w:r>
    </w:p>
    <w:p w14:paraId="6F7B5A55">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节水器具、高效灌溉系统、非传统水源利用系统的费用；</w:t>
      </w:r>
    </w:p>
    <w:p w14:paraId="53A58888">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采用高强度钢、高耐久性混凝土、可再循环材料、可再利用材料、利废建材等产生的材料差价；</w:t>
      </w:r>
    </w:p>
    <w:p w14:paraId="22E45311">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改善室内声、光、热湿环境与空气品质的措施费用；</w:t>
      </w:r>
    </w:p>
    <w:p w14:paraId="1D023FA8">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场地生态修复、植被绿化、透水铺装、降低热岛效应等措施的费用。</w:t>
      </w:r>
    </w:p>
    <w:p w14:paraId="502C8B3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新增性成本：基准线建筑未包含，而为绿色建筑新增的技术措施所发生的费用。主要包括：</w:t>
      </w:r>
    </w:p>
    <w:p w14:paraId="16650AEC">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可再生能源利用系统的费用；</w:t>
      </w:r>
    </w:p>
    <w:p w14:paraId="18F7250C">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雨水收集、处理与回用系统的费用；</w:t>
      </w:r>
    </w:p>
    <w:p w14:paraId="67C87258">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土建装修一体化、预制构件等工业化建造方式增加的费用；</w:t>
      </w:r>
    </w:p>
    <w:p w14:paraId="162C5D9B">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专项智能化监控与管理系统的费用；</w:t>
      </w:r>
    </w:p>
    <w:p w14:paraId="2A6CDC43">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特殊绿色施工技术措施的费用。</w:t>
      </w:r>
    </w:p>
    <w:p w14:paraId="36256CF5">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咨询评审费用应包括：</w:t>
      </w:r>
    </w:p>
    <w:p w14:paraId="6D4A10B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绿色建筑专项咨询费；</w:t>
      </w:r>
    </w:p>
    <w:p w14:paraId="1D5B299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绿色建筑评价标识的申报、评审及认证费；</w:t>
      </w:r>
    </w:p>
    <w:p w14:paraId="3C17A40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专项检测、检验费。</w:t>
      </w:r>
    </w:p>
    <w:p w14:paraId="5905DA2B">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其他相关费用可包括：</w:t>
      </w:r>
    </w:p>
    <w:p w14:paraId="67A5A65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绿色建筑新技术、新材料的研发与试验费；</w:t>
      </w:r>
    </w:p>
    <w:p w14:paraId="4E0516F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绿色建筑培训费；</w:t>
      </w:r>
    </w:p>
    <w:p w14:paraId="488B677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绿色建筑运营维护手册编制费。</w:t>
      </w:r>
    </w:p>
    <w:p w14:paraId="476808C1">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计价方法</w:t>
      </w:r>
    </w:p>
    <w:p w14:paraId="1EF232F4">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绿色专项费用的计价应遵循合理性、准确性、市场性的原则，真实反映其价值。</w:t>
      </w:r>
    </w:p>
    <w:p w14:paraId="672B8C44">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增量成本宜采用对比分析法进行确定，即计算采用绿色建筑技术方案的工程成本与满足强制性标准基准方案的工程成本之间的差额。</w:t>
      </w:r>
    </w:p>
    <w:p w14:paraId="1704BB5F">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计价方法应根据项目特点、设计深度和数据基础选择适用：</w:t>
      </w:r>
    </w:p>
    <w:p w14:paraId="4AFE931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实物量法：作为主要计价方法，依据设计文件详细计算工程量，并依据以下方式确定综合单价：</w:t>
      </w:r>
    </w:p>
    <w:p w14:paraId="5A9F077B">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有对应定额子目的，执行相应定额，并按设计参数调整人工、材料、机械消耗量；</w:t>
      </w:r>
    </w:p>
    <w:p w14:paraId="17100DAA">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无对应定额子目的，通过市场询价、参考类似项目结算数据或编制企业定额确定；</w:t>
      </w:r>
    </w:p>
    <w:p w14:paraId="06DADF54">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涉及性能提升的，通过对比基准方案与绿色方案的单价差进行计算。</w:t>
      </w:r>
    </w:p>
    <w:p w14:paraId="4004F88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指标参数法：在投资估算或设计概算阶段，当设计深度不足时，可采用单位面积增量成本指标或投资比例进行估算，所采用指标应有可靠来源，并根据项目所在地、技术内容、星级目标等进行调整；</w:t>
      </w:r>
    </w:p>
    <w:p w14:paraId="2B9BFCF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费用包干法：对于绿色建筑咨询费、认证评审费等，按合同约定或市场惯例以一项总费用包干计列。</w:t>
      </w:r>
    </w:p>
    <w:p w14:paraId="17BAB21E">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对可再生能源系统、非传统水源利用系统等可产生运营收益的措施，其计价可综合考虑初始投资、运行维护费用、能源价格及政策补贴等因素进行经济性分析。</w:t>
      </w:r>
    </w:p>
    <w:p w14:paraId="4D36CE9E">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增量成本分析</w:t>
      </w:r>
    </w:p>
    <w:p w14:paraId="27A1E3BA">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项目宜在重要节点进行绿色建筑增量成本分析，以量化绿色投入。</w:t>
      </w:r>
    </w:p>
    <w:p w14:paraId="41B03C59">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增量成本分析应明确所对比的基准方案。基准方案应定义为满足国家及项目所在地现行强制性节能、节水、节材、环保等标准的最低要求。</w:t>
      </w:r>
    </w:p>
    <w:p w14:paraId="601B152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增量成本分析报告宜包括以下内容：</w:t>
      </w:r>
    </w:p>
    <w:p w14:paraId="155095A6">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项目绿色建筑目标等级及主要技术策略；</w:t>
      </w:r>
    </w:p>
    <w:p w14:paraId="5B73BF0E">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基准方案与绿色建筑方案的技术参数对比；</w:t>
      </w:r>
    </w:p>
    <w:p w14:paraId="393EFF4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各项绿色技术措施的增量成本计算过程与汇总；</w:t>
      </w:r>
    </w:p>
    <w:p w14:paraId="0A1F60F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单位面积增量成本指标；</w:t>
      </w:r>
    </w:p>
    <w:p w14:paraId="08A0E0E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增量成本占项目总投资的比例；</w:t>
      </w:r>
    </w:p>
    <w:p w14:paraId="60485DD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对增量成本效益的简要分析。</w:t>
      </w:r>
    </w:p>
    <w:p w14:paraId="0140E70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鼓励对增量效益显著的技术措施进行全寿命期经济分析，综合考量其在运营阶段产生的节能、节水、节材、降耗等效益。</w:t>
      </w:r>
    </w:p>
    <w:p w14:paraId="69E4076C">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动态管理</w:t>
      </w:r>
    </w:p>
    <w:p w14:paraId="6583E87C">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建设、设计、造价咨询等单位应注重绿色专项费用数据的收集、整理与分析，逐步建立和完善绿色建筑造价数据库。</w:t>
      </w:r>
    </w:p>
    <w:p w14:paraId="74D00851">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数据库内容宜包括绿色建材设备市场价格、不同技术措施的增量成本指标、绿色咨询与认证费用等信息。</w:t>
      </w:r>
    </w:p>
    <w:p w14:paraId="1F64EA4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绿色专项费用的确定应实行动态管理，随市场价格变化、技术发展进步和政策调整而及时更新计价依据。</w:t>
      </w:r>
    </w:p>
    <w:p w14:paraId="60023066">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5" w:name="_Toc208244472"/>
      <w:bookmarkStart w:id="36" w:name="_Toc208240942"/>
      <w:r>
        <w:rPr>
          <w:rFonts w:hint="default" w:ascii="Times New Roman" w:hAnsi="Times New Roman" w:cs="Times New Roman"/>
          <w:sz w:val="28"/>
          <w:szCs w:val="28"/>
          <w:highlight w:val="none"/>
          <w:lang w:eastAsia="zh-CN"/>
        </w:rPr>
        <w:t>造价管理</w:t>
      </w:r>
      <w:bookmarkEnd w:id="35"/>
      <w:bookmarkEnd w:id="36"/>
    </w:p>
    <w:p w14:paraId="25F20F6E">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29A88120">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绿色建筑工程项目应实行全过程、全方位、动态化的造价控制与管理，核心目标是确保项目投资效益与绿色建筑性能目标的共同实现。</w:t>
      </w:r>
    </w:p>
    <w:p w14:paraId="7146C446">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造价控制与管理应建立以投资估算为目标、设计概算为限额、施工图预算为基础、合同价为约束、工程支付与结算为执行的闭环控制体系。</w:t>
      </w:r>
    </w:p>
    <w:p w14:paraId="1F687FFA">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绿色建筑专项费用应作为造价控制与管理的重点对象，实行专项计划、专项跟踪、专项分析。</w:t>
      </w:r>
    </w:p>
    <w:p w14:paraId="4463835F">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各阶段控制要点</w:t>
      </w:r>
    </w:p>
    <w:p w14:paraId="7E290DA3">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决策与设计阶段控制</w:t>
      </w:r>
    </w:p>
    <w:p w14:paraId="4DEFE6F3">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项目决策阶段确定的投资估算，应是整个项目造价控制的最高限额，不应突破。</w:t>
      </w:r>
    </w:p>
    <w:p w14:paraId="6B4D24A9">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推行限额设计。建设单位应将投资估算及绿色建筑目标分解至各设计单位、各专业，要求其在保证绿色性能的前提下进行设计，并使初步设计概算控制在投资估算之内。</w:t>
      </w:r>
    </w:p>
    <w:p w14:paraId="4B000307">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应强化设计阶段的技术经济论证与多方案比选。通过价值工程分析，寻求绿色建筑性能、工程质量、建造成本与运营成本之间的最佳平衡点，避免过度设计或性能不足。</w:t>
      </w:r>
    </w:p>
    <w:p w14:paraId="5F45291B">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设计概算及施工图预算应进行详细审查，重点审查绿色技术方案的经济性、绿色专项费用计取的合理性与完整性。</w:t>
      </w:r>
    </w:p>
    <w:p w14:paraId="7A71B960">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合同订立阶段控制</w:t>
      </w:r>
    </w:p>
    <w:p w14:paraId="6A1D8228">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招标文件中应清晰、无歧义地约定绿色建筑的技术要求、验收标准及履约责任，从源头上减少后续变更和索赔的风险。</w:t>
      </w:r>
    </w:p>
    <w:p w14:paraId="254AEE9E">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招标控制报价应准确反映绿色建筑内容，其编制质量是防止结算超预算的关键。</w:t>
      </w:r>
    </w:p>
    <w:p w14:paraId="4E84547C">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合同条款应设立专项条款，明确约定：</w:t>
      </w:r>
    </w:p>
    <w:p w14:paraId="43C0F10A">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绿色专项费用的内容、计价方式与调整方法；</w:t>
      </w:r>
    </w:p>
    <w:p w14:paraId="7E4064C0">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绿色建筑性能指标的验收标准、检测方法与程序；</w:t>
      </w:r>
    </w:p>
    <w:p w14:paraId="54D3033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绿色施工措施的检查、验收与支付条件；</w:t>
      </w:r>
    </w:p>
    <w:p w14:paraId="0BD17EC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对未达到约定绿色性能指标的违约处理办法；</w:t>
      </w:r>
    </w:p>
    <w:p w14:paraId="2A7E876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对实现或超越绿色性能目标的奖励机制。</w:t>
      </w:r>
    </w:p>
    <w:p w14:paraId="5F920FBD">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施工阶段控制</w:t>
      </w:r>
    </w:p>
    <w:p w14:paraId="3D7A03D1">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应建立动态的造价监控机制，定期将实际发生成本与计划目标成本进行对比分析，及时发现偏差并预警。</w:t>
      </w:r>
    </w:p>
    <w:p w14:paraId="172F6DBC">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变更与签证管理是此阶段控制的重点。任何涉及绿色建筑性能、标准、方案的变更，均应进行技术经济综合论证，评估其对绿色目标等级和造价的双重影响，并履行严格的审批程序。严禁通过变更降低绿色建筑标准。</w:t>
      </w:r>
    </w:p>
    <w:p w14:paraId="489CEE70">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工程进度款的支付宜与绿色施工措施的实施进度、绿色建筑部品部件的进场验收情况挂钩。支付申请应附有证明绿色措施已按要求实施的支撑材料。</w:t>
      </w:r>
    </w:p>
    <w:p w14:paraId="3EED944E">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施工单位应提交详细的绿色施工方案及专项费用使用计划，并严格按照方案施工，建设单位及监理单位应负责监督落实。</w:t>
      </w:r>
    </w:p>
    <w:p w14:paraId="07A188ED">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竣工结算阶段控制</w:t>
      </w:r>
    </w:p>
    <w:p w14:paraId="44A0A3EB">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竣工结算应严格执行合同约定。对绿色专项费用的结算，应依据绿色建筑评价相关验收合格文件、专项检测报告等证明性材料。</w:t>
      </w:r>
    </w:p>
    <w:p w14:paraId="067DF632">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结算审核应重点核查绿色建筑相关措施的完成工程量真实性、措施实施的有效性以及价格计取的合规性。对于未实施或未达到要求的项目，应相应扣减费用。</w:t>
      </w:r>
    </w:p>
    <w:p w14:paraId="0CD1AD33">
      <w:pPr>
        <w:pStyle w:val="41"/>
        <w:widowControl/>
        <w:numPr>
          <w:ilvl w:val="4"/>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结算完成后，应形成最终的绿色建筑增量成本分析报告，并与估算、概算进行对比，总结成本控制经验，为后续项目提供数据支持。</w:t>
      </w:r>
    </w:p>
    <w:p w14:paraId="7AA5DB87">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管理措施</w:t>
      </w:r>
    </w:p>
    <w:p w14:paraId="314F008F">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应建立项目全过程造价咨询机制，委托具备绿色建筑专业能力的造价咨询单位，从早期介入，提供连续、系统的造价管理服务。</w:t>
      </w:r>
    </w:p>
    <w:p w14:paraId="0C7702F9">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宜建立信息化管理平台，利用</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技术整合设计、造价、施工信息，实现工程量自动计算、成本数据实时共享与动态查询，提升造价控制的精确度和效率。</w:t>
      </w:r>
    </w:p>
    <w:p w14:paraId="0A4A60EB">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应建立设计、施工、造价等多方协同的工作机制。定期召开造价协调会，沟通绿色技术实施与成本情况，共同解决造价与技术之间的冲突问题。</w:t>
      </w:r>
    </w:p>
    <w:p w14:paraId="530E0C87">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应加强绿色建材与设备的价格信息管理，建立询价、价格机制，确保价格信息准确反映市场状况。</w:t>
      </w:r>
    </w:p>
    <w:p w14:paraId="74AB5660">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鼓励进行全生命期成本分析，对重大绿色技术选项进行建造成本与未来运营维护成本的综合测算，指导投资决策，实现项目全寿命期的经济性最优。</w:t>
      </w:r>
    </w:p>
    <w:p w14:paraId="7ED7662D">
      <w:pPr>
        <w:pStyle w:val="37"/>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7" w:name="_Toc208240943"/>
      <w:bookmarkStart w:id="38" w:name="_Toc208244473"/>
      <w:r>
        <w:rPr>
          <w:rFonts w:hint="default" w:ascii="Times New Roman" w:hAnsi="Times New Roman" w:cs="Times New Roman"/>
          <w:sz w:val="28"/>
          <w:szCs w:val="28"/>
          <w:highlight w:val="none"/>
          <w:lang w:eastAsia="zh-CN"/>
        </w:rPr>
        <w:t>信息管理</w:t>
      </w:r>
      <w:bookmarkEnd w:id="37"/>
      <w:bookmarkEnd w:id="38"/>
    </w:p>
    <w:p w14:paraId="27D49659">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15E1829C">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绿色建筑工程造价信息管理应贯穿项目全寿命期，确保造价数据的真实性、准确性、完整性、连续性和可追溯性。</w:t>
      </w:r>
    </w:p>
    <w:p w14:paraId="1F6D2E4A">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应建立与绿色建筑造价编制、确定、控制和评价相适应的信息管理制度，明确信息采集、处理、传递、存储及应用的职责、流程和要求。</w:t>
      </w:r>
    </w:p>
    <w:p w14:paraId="1D1E1D4B">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鼓励应用先进信息技术，构建数字化、智能化的造价信息管理平台，提升信息处理效率与共享水平，为造价决策提供数据支撑。</w:t>
      </w:r>
    </w:p>
    <w:p w14:paraId="20204BE4">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信息内容</w:t>
      </w:r>
    </w:p>
    <w:p w14:paraId="08ED127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绿色建筑造价信息管理内容应覆盖项目全过程，主要包括：</w:t>
      </w:r>
    </w:p>
    <w:p w14:paraId="6FF554CB">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基础标准信息：</w:t>
      </w:r>
    </w:p>
    <w:p w14:paraId="45085550">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绿色建筑评价标准；</w:t>
      </w:r>
    </w:p>
    <w:p w14:paraId="2072C1F8">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工程量清单计价规定；</w:t>
      </w:r>
    </w:p>
    <w:p w14:paraId="22995C26">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定额及其配套规定；</w:t>
      </w:r>
    </w:p>
    <w:p w14:paraId="05DC31E5">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法律法规；</w:t>
      </w:r>
    </w:p>
    <w:p w14:paraId="46104883">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政策性调整文件。</w:t>
      </w:r>
    </w:p>
    <w:p w14:paraId="4BC8C88D">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市场价格信息：</w:t>
      </w:r>
    </w:p>
    <w:p w14:paraId="680125DD">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绿色建材；</w:t>
      </w:r>
    </w:p>
    <w:p w14:paraId="7C8004AB">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节能设备；</w:t>
      </w:r>
    </w:p>
    <w:p w14:paraId="0990C42A">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节水器具；</w:t>
      </w:r>
    </w:p>
    <w:p w14:paraId="3B886B7F">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可再生能源系统；</w:t>
      </w:r>
    </w:p>
    <w:p w14:paraId="5ACB47B4">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咨询；</w:t>
      </w:r>
    </w:p>
    <w:p w14:paraId="6F753FC8">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w:t>
      </w:r>
    </w:p>
    <w:p w14:paraId="32DAA43D">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认证。</w:t>
      </w:r>
    </w:p>
    <w:p w14:paraId="19BA2D52">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项目特征信息：</w:t>
      </w:r>
    </w:p>
    <w:p w14:paraId="2974926E">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项目概况；</w:t>
      </w:r>
    </w:p>
    <w:p w14:paraId="0EF697AA">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目标等级；</w:t>
      </w:r>
    </w:p>
    <w:p w14:paraId="2C2B789D">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主要技术策略清单；</w:t>
      </w:r>
    </w:p>
    <w:p w14:paraId="6FF6C562">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技术经济参数。</w:t>
      </w:r>
    </w:p>
    <w:p w14:paraId="08D5F56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各阶段造价成果信息：</w:t>
      </w:r>
      <w:r>
        <w:rPr>
          <w:rFonts w:hint="default" w:ascii="Times New Roman" w:hAnsi="Times New Roman" w:cs="Times New Roman"/>
          <w:sz w:val="28"/>
          <w:szCs w:val="28"/>
          <w:highlight w:val="none"/>
          <w:lang w:eastAsia="zh-CN"/>
        </w:rPr>
        <w:t xml:space="preserve"> </w:t>
      </w:r>
    </w:p>
    <w:p w14:paraId="5CDA32DE">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投资估算；</w:t>
      </w:r>
    </w:p>
    <w:p w14:paraId="55C71AF7">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设计概算；</w:t>
      </w:r>
    </w:p>
    <w:p w14:paraId="120B2543">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施工图预算；</w:t>
      </w:r>
    </w:p>
    <w:p w14:paraId="697280E9">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招标控制价；</w:t>
      </w:r>
    </w:p>
    <w:p w14:paraId="4D7FFED9">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投标报价；</w:t>
      </w:r>
    </w:p>
    <w:p w14:paraId="460B3BF1">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合同价；</w:t>
      </w:r>
    </w:p>
    <w:p w14:paraId="42138D55">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w:t>
      </w:r>
    </w:p>
    <w:p w14:paraId="5181DB07">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指标数据信息：</w:t>
      </w:r>
    </w:p>
    <w:p w14:paraId="39BDD797">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不同建筑类型；</w:t>
      </w:r>
    </w:p>
    <w:p w14:paraId="31313C19">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不同绿色星级的单位造价指标；</w:t>
      </w:r>
    </w:p>
    <w:p w14:paraId="75246278">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单位面积增量成本指标；</w:t>
      </w:r>
    </w:p>
    <w:p w14:paraId="677D910D">
      <w:pPr>
        <w:pStyle w:val="44"/>
        <w:widowControl/>
        <w:numPr>
          <w:ilvl w:val="1"/>
          <w:numId w:val="3"/>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专项费用占总造价的比率。</w:t>
      </w:r>
    </w:p>
    <w:p w14:paraId="4A4AA699">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信息宜按项目阶段、专业类型、绿色技术类别等进行多维分类与编码，便于检索、统计与分析。</w:t>
      </w:r>
    </w:p>
    <w:p w14:paraId="0A9E5036">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过程信息管理</w:t>
      </w:r>
    </w:p>
    <w:p w14:paraId="59984EC0">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决策与设计阶段</w:t>
      </w:r>
    </w:p>
    <w:p w14:paraId="595307CD">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应重点收集和存储绿色建筑方案比选的技术经济论证资料、增量成本估算依据、概预算编制说明等信息。</w:t>
      </w:r>
    </w:p>
    <w:p w14:paraId="6F4C6C1E">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招投标阶段</w:t>
      </w:r>
    </w:p>
    <w:p w14:paraId="07838CF5">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应完整保存招标工程量清单及绿色建筑措施项目清单、招标控制价编制成果、投标报价文件、评标记录及合同文件，重点关注绿色技术要求的响应情况与价格构成。</w:t>
      </w:r>
    </w:p>
    <w:p w14:paraId="1808165A">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施工阶段</w:t>
      </w:r>
    </w:p>
    <w:p w14:paraId="4D85E947">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应动态收集和更新与绿色造价相关的信息，包括：</w:t>
      </w:r>
    </w:p>
    <w:p w14:paraId="5F151773">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绿色建材与设备的进场验收、报审报验及价格确认资料；</w:t>
      </w:r>
    </w:p>
    <w:p w14:paraId="59CE7819">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绿色施工措施的实施记录、影像资料及费用台账；</w:t>
      </w:r>
    </w:p>
    <w:p w14:paraId="29F2F438">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涉及绿色建筑目标的工程变更、现场签证及其造价调整文件；</w:t>
      </w:r>
    </w:p>
    <w:p w14:paraId="522F88A1">
      <w:pPr>
        <w:pStyle w:val="40"/>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工程款支付申请与审核记录，特别是绿色措施费用的支付凭证。</w:t>
      </w:r>
    </w:p>
    <w:p w14:paraId="1F133438">
      <w:pPr>
        <w:pStyle w:val="39"/>
        <w:widowControl/>
        <w:numPr>
          <w:ilvl w:val="3"/>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竣工结算阶段</w:t>
      </w:r>
    </w:p>
    <w:p w14:paraId="2F6EFF88">
      <w:pPr>
        <w:pStyle w:val="38"/>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应全面归档竣工图纸、绿色建筑竣工验收报告、专项检测报告、结算书及最终的增量成本分析报告，形成完整的项目造价信息链。</w:t>
      </w:r>
    </w:p>
    <w:p w14:paraId="42ED5A94">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数据库管理</w:t>
      </w:r>
    </w:p>
    <w:p w14:paraId="04FB8CE1">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建设、造价咨询、行业协会等相关单位宜建立绿色建筑工程造价数据库，系统积累和管理绿色造价信息。</w:t>
      </w:r>
    </w:p>
    <w:p w14:paraId="011EF453">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数据库建设应统一数据标准，规范数据格式，确保数据的规范性与可比性。数据采集宜采用标准化模板。</w:t>
      </w:r>
    </w:p>
    <w:p w14:paraId="5A9DC36B">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应对入库数据进行清洗、审核与校验，保证数据质量。宜建立数据更新与维护机制，定期对过期、失效数据进行标识或剔除。</w:t>
      </w:r>
    </w:p>
    <w:p w14:paraId="54F880AD">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应开发数据库的应用功能，支持数据的多维度查询、对比分析与指标生成，为新建项目的投资决策、造价编制与控制提供参考依据。</w:t>
      </w:r>
    </w:p>
    <w:p w14:paraId="10602F8E">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信息技术应用</w:t>
      </w:r>
    </w:p>
    <w:p w14:paraId="383CA1AC">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宜积极应用建筑信息模型技术，实现设计与量化软件的数据互通，利用</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模型的构件信息自动计算绿色技术措施的工程量，提高计量效率和准确性。</w:t>
      </w:r>
    </w:p>
    <w:p w14:paraId="32463E71">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可探索基于</w:t>
      </w:r>
      <w:r>
        <w:rPr>
          <w:rFonts w:hint="default" w:ascii="Times New Roman" w:hAnsi="Times New Roman" w:cs="Times New Roman"/>
          <w:sz w:val="28"/>
          <w:szCs w:val="28"/>
          <w:highlight w:val="none"/>
          <w:lang w:val="en-US"/>
        </w:rPr>
        <w:t>BIM</w:t>
      </w:r>
      <w:r>
        <w:rPr>
          <w:rFonts w:hint="default" w:ascii="Times New Roman" w:hAnsi="Times New Roman" w:cs="Times New Roman"/>
          <w:sz w:val="28"/>
          <w:szCs w:val="28"/>
          <w:highlight w:val="none"/>
          <w:lang w:eastAsia="zh-CN"/>
        </w:rPr>
        <w:t>的</w:t>
      </w:r>
      <w:r>
        <w:rPr>
          <w:rFonts w:hint="default" w:ascii="Times New Roman" w:hAnsi="Times New Roman" w:cs="Times New Roman"/>
          <w:sz w:val="28"/>
          <w:szCs w:val="28"/>
          <w:highlight w:val="none"/>
          <w:lang w:val="en-US"/>
        </w:rPr>
        <w:t>5D</w:t>
      </w:r>
      <w:r>
        <w:rPr>
          <w:rFonts w:hint="default" w:ascii="Times New Roman" w:hAnsi="Times New Roman" w:cs="Times New Roman"/>
          <w:sz w:val="28"/>
          <w:szCs w:val="28"/>
          <w:highlight w:val="none"/>
          <w:lang w:eastAsia="zh-CN"/>
        </w:rPr>
        <w:t>模型应用，将绿色建筑构件与造价信息关联，进行可视化的造价模拟和动态监控。</w:t>
      </w:r>
    </w:p>
    <w:p w14:paraId="66E94FE7">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鼓励利用大数据技术对海量造价信息进行挖掘与分析，探寻绿色建筑造价的分布规律、价格变动趋势及影响因素，发布绿色建筑造价指数。</w:t>
      </w:r>
    </w:p>
    <w:p w14:paraId="375D13D5">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宜建立或利用云端协作平台，实现项目参建各方基于同一平台的造价信息共享与协同管理，确保信息的唯一性和及时性。</w:t>
      </w:r>
    </w:p>
    <w:p w14:paraId="180FF3D4">
      <w:pPr>
        <w:pStyle w:val="36"/>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信息安全</w:t>
      </w:r>
    </w:p>
    <w:p w14:paraId="752618E4">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应建立信息安全管理制度，采取必要技术手段，防止造价信息数据被非授权访问、破坏、泄露或丢失。</w:t>
      </w:r>
    </w:p>
    <w:p w14:paraId="2B287A39">
      <w:pPr>
        <w:pStyle w:val="42"/>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应遵守商业秘密和个人信息保护相关法律法规，对涉及企业商业秘密的造价信息予以保密，依法依规进行信息的共享与利用。</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9"/>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0"/>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1"/>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建筑工程造价</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2"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2"/>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3"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3"/>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4"/>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45"/>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6"/>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7"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7"/>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7F963"/>
    <w:multiLevelType w:val="multilevel"/>
    <w:tmpl w:val="9567F963"/>
    <w:lvl w:ilvl="0" w:tentative="0">
      <w:start w:val="1"/>
      <w:numFmt w:val="none"/>
      <w:pStyle w:val="40"/>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4"/>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5D309443"/>
    <w:multiLevelType w:val="multilevel"/>
    <w:tmpl w:val="5D309443"/>
    <w:lvl w:ilvl="0" w:tentative="0">
      <w:start w:val="1"/>
      <w:numFmt w:val="none"/>
      <w:suff w:val="nothing"/>
      <w:lvlText w:val="%1"/>
      <w:lvlJc w:val="left"/>
      <w:pPr>
        <w:ind w:left="0" w:firstLine="0"/>
      </w:pPr>
    </w:lvl>
    <w:lvl w:ilvl="1" w:tentative="0">
      <w:start w:val="1"/>
      <w:numFmt w:val="decimal"/>
      <w:pStyle w:val="37"/>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6"/>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2"/>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41"/>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EB46380"/>
    <w:rsid w:val="0FF06439"/>
    <w:rsid w:val="110F4177"/>
    <w:rsid w:val="169901DF"/>
    <w:rsid w:val="170D2EB2"/>
    <w:rsid w:val="18E71105"/>
    <w:rsid w:val="19312DFE"/>
    <w:rsid w:val="1F15287C"/>
    <w:rsid w:val="255B6B18"/>
    <w:rsid w:val="2C2D1EE2"/>
    <w:rsid w:val="2D467F37"/>
    <w:rsid w:val="2DAD6C8F"/>
    <w:rsid w:val="30067F5D"/>
    <w:rsid w:val="3AFC0F1D"/>
    <w:rsid w:val="3BDF00F2"/>
    <w:rsid w:val="40E14CE3"/>
    <w:rsid w:val="4E77301A"/>
    <w:rsid w:val="542D0422"/>
    <w:rsid w:val="57BF1D4F"/>
    <w:rsid w:val="663F4E49"/>
    <w:rsid w:val="67A80C44"/>
    <w:rsid w:val="6AA02B84"/>
    <w:rsid w:val="6B9E6287"/>
    <w:rsid w:val="6E433E9B"/>
    <w:rsid w:val="6FF12124"/>
    <w:rsid w:val="706C61B1"/>
    <w:rsid w:val="70764670"/>
    <w:rsid w:val="721F5CDA"/>
    <w:rsid w:val="729E236D"/>
    <w:rsid w:val="76E73C96"/>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术语条一"/>
    <w:basedOn w:val="35"/>
    <w:next w:val="38"/>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paragraph" w:customStyle="1" w:styleId="35">
    <w:name w:val="标准文件_一级无标题"/>
    <w:basedOn w:val="36"/>
    <w:uiPriority w:val="0"/>
    <w:pPr>
      <w:keepNext w:val="0"/>
      <w:keepLines w:val="0"/>
      <w:widowControl/>
      <w:numPr>
        <w:ilvl w:val="2"/>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6">
    <w:name w:val="标准文件_一级条标题"/>
    <w:basedOn w:val="37"/>
    <w:next w:val="38"/>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7">
    <w:name w:val="标准文件_章标题"/>
    <w:basedOn w:val="1"/>
    <w:next w:val="38"/>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8">
    <w:name w:val="标准文件_段"/>
    <w:basedOn w:val="1"/>
    <w:link w:val="43"/>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9">
    <w:name w:val="标准文件_二级条标题"/>
    <w:basedOn w:val="1"/>
    <w:next w:val="38"/>
    <w:uiPriority w:val="0"/>
    <w:pPr>
      <w:keepNext w:val="0"/>
      <w:keepLines w:val="0"/>
      <w:widowControl w:val="0"/>
      <w:numPr>
        <w:ilvl w:val="3"/>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40">
    <w:name w:val="标准文件_一级项"/>
    <w:basedOn w:val="1"/>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1">
    <w:name w:val="标准文件_三级无标题"/>
    <w:uiPriority w:val="0"/>
    <w:pPr>
      <w:keepNext w:val="0"/>
      <w:keepLines w:val="0"/>
      <w:widowControl/>
      <w:numPr>
        <w:ilvl w:val="4"/>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2">
    <w:name w:val="标准文件_二级无标题"/>
    <w:basedOn w:val="39"/>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43">
    <w:name w:val="标准文件_段 Char"/>
    <w:basedOn w:val="14"/>
    <w:link w:val="38"/>
    <w:uiPriority w:val="0"/>
    <w:rPr>
      <w:rFonts w:hint="eastAsia" w:ascii="宋体" w:hAnsi="Times New Roman" w:eastAsia="宋体" w:cs="宋体"/>
      <w:sz w:val="21"/>
    </w:rPr>
  </w:style>
  <w:style w:type="paragraph" w:customStyle="1" w:styleId="44">
    <w:name w:val="标准文件_二级项2"/>
    <w:basedOn w:val="38"/>
    <w:uiPriority w:val="0"/>
    <w:pPr>
      <w:keepNext w:val="0"/>
      <w:keepLines w:val="0"/>
      <w:widowControl/>
      <w:numPr>
        <w:ilvl w:val="1"/>
        <w:numId w:val="3"/>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1486</Words>
  <Characters>1507</Characters>
  <Lines>62</Lines>
  <Paragraphs>17</Paragraphs>
  <TotalTime>9</TotalTime>
  <ScaleCrop>false</ScaleCrop>
  <LinksUpToDate>false</LinksUpToDate>
  <CharactersWithSpaces>1551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2025-09-08T09:43:27Z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