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821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7738622">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5EDA00B">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93.010</w:t>
            </w:r>
            <w:r>
              <w:rPr>
                <w:rFonts w:ascii="黑体" w:hAnsi="黑体" w:eastAsia="黑体"/>
                <w:sz w:val="21"/>
                <w:szCs w:val="21"/>
              </w:rPr>
              <w:fldChar w:fldCharType="end"/>
            </w:r>
            <w:bookmarkEnd w:id="0"/>
          </w:p>
        </w:tc>
      </w:tr>
      <w:tr w14:paraId="54C74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ADAC9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C28FE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6C2043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7BC5227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01</w:t>
            </w:r>
            <w:r>
              <w:rPr>
                <w:rFonts w:ascii="黑体" w:hAnsi="黑体" w:eastAsia="黑体"/>
                <w:sz w:val="21"/>
                <w:szCs w:val="21"/>
              </w:rPr>
              <w:fldChar w:fldCharType="end"/>
            </w:r>
            <w:bookmarkEnd w:id="2"/>
          </w:p>
        </w:tc>
      </w:tr>
    </w:tbl>
    <w:p w14:paraId="7CE1CDE4">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DA49C4F">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2F0D85E6">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4D6A47E">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9714ABE">
      <w:pPr>
        <w:pStyle w:val="50"/>
        <w:framePr w:w="9639" w:h="6976" w:hRule="exact" w:hSpace="0" w:vSpace="0" w:wrap="around" w:hAnchor="page" w:y="6408"/>
        <w:jc w:val="center"/>
        <w:rPr>
          <w:rFonts w:hint="eastAsia" w:ascii="黑体" w:hAnsi="黑体" w:eastAsia="黑体"/>
          <w:b w:val="0"/>
          <w:bCs w:val="0"/>
          <w:w w:val="100"/>
        </w:rPr>
      </w:pPr>
    </w:p>
    <w:p w14:paraId="7A4D341C">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绿色建筑工程造价编制与管理操作规范</w:t>
      </w:r>
      <w:r>
        <w:fldChar w:fldCharType="end"/>
      </w:r>
      <w:bookmarkEnd w:id="9"/>
    </w:p>
    <w:p w14:paraId="7ED5153F">
      <w:pPr>
        <w:framePr w:w="9639" w:h="6974" w:hRule="exact" w:wrap="around" w:vAnchor="page" w:hAnchor="page" w:x="1419" w:y="6408" w:anchorLock="1"/>
        <w:ind w:left="-1418"/>
      </w:pPr>
    </w:p>
    <w:p w14:paraId="4F9D147C">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Green construction project cost compilation and management operation norms</w:t>
      </w:r>
      <w:r>
        <w:rPr>
          <w:rFonts w:eastAsia="黑体"/>
          <w:szCs w:val="28"/>
        </w:rPr>
        <w:fldChar w:fldCharType="end"/>
      </w:r>
      <w:bookmarkEnd w:id="10"/>
    </w:p>
    <w:p w14:paraId="5827C9F6">
      <w:pPr>
        <w:framePr w:w="9639" w:h="6974" w:hRule="exact" w:wrap="around" w:vAnchor="page" w:hAnchor="page" w:x="1419" w:y="6408" w:anchorLock="1"/>
        <w:spacing w:line="760" w:lineRule="exact"/>
        <w:ind w:left="-1418"/>
      </w:pPr>
    </w:p>
    <w:p w14:paraId="097BD84F">
      <w:pPr>
        <w:pStyle w:val="125"/>
        <w:framePr w:w="9639" w:h="6974" w:hRule="exact" w:wrap="around" w:vAnchor="page" w:hAnchor="page" w:x="1419" w:y="6408" w:anchorLock="1"/>
        <w:textAlignment w:val="bottom"/>
        <w:rPr>
          <w:rFonts w:eastAsia="黑体"/>
          <w:szCs w:val="28"/>
        </w:rPr>
      </w:pPr>
    </w:p>
    <w:p w14:paraId="6F25FE6D">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F9E907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119CCA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5CDC456">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1F21FF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0C1F36A">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BA426D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373C1C7">
      <w:pPr>
        <w:pStyle w:val="91"/>
        <w:spacing w:after="360"/>
        <w:rPr>
          <w:rFonts w:ascii="Times New Roman" w:hAnsi="Times New Roman"/>
        </w:rPr>
      </w:pPr>
      <w:bookmarkStart w:id="21" w:name="BookMark1"/>
      <w:bookmarkStart w:id="22" w:name="_Toc208240935"/>
      <w:r>
        <w:rPr>
          <w:rFonts w:ascii="Times New Roman" w:hAnsi="Times New Roman"/>
          <w:spacing w:val="320"/>
        </w:rPr>
        <w:t>目</w:t>
      </w:r>
      <w:r>
        <w:rPr>
          <w:rFonts w:ascii="Times New Roman" w:hAnsi="Times New Roman"/>
        </w:rPr>
        <w:t>次</w:t>
      </w:r>
    </w:p>
    <w:p w14:paraId="4ADDD2CC">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"_Toc208244465"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_Toc208244465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3AECBE5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"_Toc208244466"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_Toc208244466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74EEE7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"_Toc208244467"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_Toc208244467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A1F236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"_Toc208244468"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_Toc208244468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379EB80F">
      <w:pPr>
        <w:pStyle w:val="19"/>
        <w:tabs>
          <w:tab w:val="right" w:leader="dot" w:pos="9344"/>
        </w:tabs>
        <w:rPr>
          <w:rFonts w:ascii="Times New Roman" w:hAnsi="Times New Roman" w:eastAsiaTheme="minorEastAsia"/>
          <w:sz w:val="22"/>
          <w:szCs w:val="24"/>
          <w14:ligatures w14:val="standardContextual"/>
        </w:rPr>
      </w:pPr>
      <w:bookmarkStart w:id="23" w:name="_Hlk208244500"/>
      <w:r>
        <w:rPr>
          <w:rStyle w:val="32"/>
          <w:rFonts w:ascii="Times New Roman"/>
        </w:rPr>
        <w:fldChar w:fldCharType="begin"/>
      </w:r>
      <w:r>
        <w:rPr>
          <w:rStyle w:val="32"/>
          <w:rFonts w:ascii="Times New Roman"/>
        </w:rPr>
        <w:instrText xml:space="preserve"> </w:instrText>
      </w:r>
      <w:r>
        <w:rPr>
          <w:rFonts w:ascii="Times New Roman" w:hAnsi="Times New Roman"/>
        </w:rPr>
        <w:instrText xml:space="preserve">HYPERLINK \l "_Toc208244469"</w:instrText>
      </w:r>
      <w:r>
        <w:rPr>
          <w:rStyle w:val="32"/>
          <w:rFonts w:ascii="Times New Roman"/>
        </w:rPr>
        <w:instrText xml:space="preserve"> </w:instrText>
      </w:r>
      <w:r>
        <w:rPr>
          <w:rStyle w:val="32"/>
          <w:rFonts w:ascii="Times New Roman"/>
        </w:rPr>
        <w:fldChar w:fldCharType="separate"/>
      </w:r>
      <w:r>
        <w:rPr>
          <w:rStyle w:val="32"/>
          <w:rFonts w:ascii="Times New Roman"/>
        </w:rPr>
        <w:t>4  基本要求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_Toc208244469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Style w:val="32"/>
          <w:rFonts w:ascii="Times New Roman"/>
        </w:rPr>
        <w:fldChar w:fldCharType="end"/>
      </w:r>
    </w:p>
    <w:p w14:paraId="5F07D86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"_Toc208244470" </w:instrText>
      </w:r>
      <w:r>
        <w:fldChar w:fldCharType="separate"/>
      </w:r>
      <w:r>
        <w:rPr>
          <w:rStyle w:val="32"/>
          <w:rFonts w:ascii="Times New Roman"/>
        </w:rPr>
        <w:t>5  文件编制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_Toc208244470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4B06207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"_Toc208244471" </w:instrText>
      </w:r>
      <w:r>
        <w:fldChar w:fldCharType="separate"/>
      </w:r>
      <w:r>
        <w:rPr>
          <w:rStyle w:val="32"/>
          <w:rFonts w:ascii="Times New Roman"/>
        </w:rPr>
        <w:t>6  专项费用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_Toc208244471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5194E4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"_Toc208244472" </w:instrText>
      </w:r>
      <w:r>
        <w:fldChar w:fldCharType="separate"/>
      </w:r>
      <w:r>
        <w:rPr>
          <w:rStyle w:val="32"/>
          <w:rFonts w:ascii="Times New Roman"/>
        </w:rPr>
        <w:t>7  造价管理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_Toc208244472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6DCBEB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"_Toc208244473" </w:instrText>
      </w:r>
      <w:r>
        <w:fldChar w:fldCharType="separate"/>
      </w:r>
      <w:r>
        <w:rPr>
          <w:rStyle w:val="32"/>
          <w:rFonts w:ascii="Times New Roman"/>
        </w:rPr>
        <w:t>8  信息管理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_Toc208244473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bookmarkEnd w:id="23"/>
    <w:p w14:paraId="0D8DC39C">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1295E9A7">
      <w:pPr>
        <w:pStyle w:val="89"/>
        <w:spacing w:before="900" w:after="360"/>
        <w:rPr>
          <w:rFonts w:ascii="Times New Roman"/>
        </w:rPr>
      </w:pPr>
      <w:bookmarkStart w:id="24" w:name="_Toc208244465"/>
      <w:bookmarkStart w:id="25" w:name="BookMark2"/>
      <w:r>
        <w:rPr>
          <w:rFonts w:ascii="Times New Roman"/>
          <w:spacing w:val="320"/>
        </w:rPr>
        <w:t>前</w:t>
      </w:r>
      <w:r>
        <w:rPr>
          <w:rFonts w:ascii="Times New Roman"/>
        </w:rPr>
        <w:t>言</w:t>
      </w:r>
      <w:bookmarkEnd w:id="22"/>
      <w:bookmarkEnd w:id="24"/>
      <w:bookmarkStart w:id="66" w:name="_GoBack"/>
      <w:bookmarkEnd w:id="66"/>
    </w:p>
    <w:p w14:paraId="1C316511">
      <w:pPr>
        <w:pStyle w:val="56"/>
        <w:ind w:firstLine="420"/>
        <w:rPr>
          <w:rFonts w:ascii="Times New Roman"/>
        </w:rPr>
      </w:pPr>
      <w:r>
        <w:rPr>
          <w:rFonts w:ascii="Times New Roman"/>
        </w:rPr>
        <w:t>本文件按照GB/T 1.1—2020《标准化工作导则  第1部分：标准化文件的结构和起草规则》的规定起草。</w:t>
      </w:r>
    </w:p>
    <w:p w14:paraId="2DFEF5E6">
      <w:pPr>
        <w:pStyle w:val="56"/>
        <w:ind w:firstLine="420"/>
        <w:rPr>
          <w:rFonts w:ascii="Times New Roman"/>
        </w:rPr>
      </w:pPr>
      <w:r>
        <w:rPr>
          <w:rFonts w:hint="eastAsia" w:ascii="Times New Roman"/>
        </w:rPr>
        <w:t>请注意本文件的某些内容可能涉及专利。本文件的发布机构不承担识别专利的责任。</w:t>
      </w:r>
    </w:p>
    <w:p w14:paraId="292C3F4A">
      <w:pPr>
        <w:pStyle w:val="56"/>
        <w:ind w:firstLine="420"/>
        <w:rPr>
          <w:rFonts w:ascii="Times New Roman"/>
        </w:rPr>
      </w:pPr>
      <w:r>
        <w:rPr>
          <w:rFonts w:ascii="Times New Roman"/>
        </w:rPr>
        <w:t>本文件由</w:t>
      </w:r>
      <w:r>
        <w:rPr>
          <w:rFonts w:hint="eastAsia" w:ascii="Times New Roman"/>
        </w:rPr>
        <w:t>深圳汇睿建筑工程有限公司</w:t>
      </w:r>
      <w:r>
        <w:rPr>
          <w:rFonts w:ascii="Times New Roman"/>
        </w:rPr>
        <w:t>提出。</w:t>
      </w:r>
    </w:p>
    <w:p w14:paraId="2184BF58">
      <w:pPr>
        <w:pStyle w:val="56"/>
        <w:ind w:firstLine="420"/>
        <w:rPr>
          <w:rFonts w:ascii="Times New Roman"/>
        </w:rPr>
      </w:pPr>
      <w:r>
        <w:rPr>
          <w:rFonts w:ascii="Times New Roman"/>
        </w:rPr>
        <w:t>本文件由</w:t>
      </w:r>
      <w:r>
        <w:rPr>
          <w:rFonts w:hint="eastAsia"/>
        </w:rPr>
        <w:t>中国中小企业协会</w:t>
      </w:r>
      <w:r>
        <w:rPr>
          <w:rFonts w:ascii="Times New Roman"/>
        </w:rPr>
        <w:t>归口。</w:t>
      </w:r>
    </w:p>
    <w:p w14:paraId="7CAD550D">
      <w:pPr>
        <w:pStyle w:val="56"/>
        <w:ind w:firstLine="420"/>
        <w:rPr>
          <w:rFonts w:hint="eastAsia" w:ascii="Times New Roman" w:eastAsia="宋体"/>
          <w:lang w:eastAsia="zh-CN"/>
        </w:rPr>
      </w:pPr>
      <w:r>
        <w:rPr>
          <w:rFonts w:ascii="Times New Roman"/>
        </w:rPr>
        <w:t>本文件起草单位：</w:t>
      </w:r>
      <w:r>
        <w:rPr>
          <w:rFonts w:hint="eastAsia" w:ascii="Times New Roman"/>
        </w:rPr>
        <w:t>深圳汇睿建筑工程有限公司</w:t>
      </w:r>
      <w:r>
        <w:rPr>
          <w:rFonts w:hint="eastAsia" w:ascii="Times New Roman"/>
          <w:lang w:eastAsia="zh-CN"/>
        </w:rPr>
        <w:t>。</w:t>
      </w:r>
    </w:p>
    <w:p w14:paraId="20A4DBDF">
      <w:pPr>
        <w:pStyle w:val="56"/>
        <w:ind w:firstLine="420"/>
        <w:rPr>
          <w:rFonts w:ascii="Times New Roman"/>
        </w:rPr>
      </w:pPr>
      <w:r>
        <w:rPr>
          <w:rFonts w:ascii="Times New Roman"/>
        </w:rPr>
        <w:t>本文件主要起草人：</w:t>
      </w:r>
    </w:p>
    <w:p w14:paraId="6F93AF22">
      <w:pPr>
        <w:pStyle w:val="56"/>
        <w:ind w:firstLine="420"/>
        <w:rPr>
          <w:rFonts w:ascii="Times New Roman"/>
        </w:rPr>
      </w:pPr>
    </w:p>
    <w:p w14:paraId="0FB2A33D">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5"/>
    <w:p w14:paraId="532D269D">
      <w:pPr>
        <w:spacing w:line="20" w:lineRule="exact"/>
        <w:jc w:val="center"/>
        <w:rPr>
          <w:rFonts w:ascii="Times New Roman" w:hAnsi="Times New Roman" w:eastAsia="黑体"/>
          <w:sz w:val="32"/>
          <w:szCs w:val="32"/>
        </w:rPr>
      </w:pPr>
      <w:bookmarkStart w:id="26" w:name="BookMark4"/>
    </w:p>
    <w:p w14:paraId="062F2B82">
      <w:pPr>
        <w:spacing w:line="20" w:lineRule="exact"/>
        <w:jc w:val="center"/>
        <w:rPr>
          <w:rFonts w:ascii="Times New Roman" w:hAnsi="Times New Roman" w:eastAsia="黑体"/>
          <w:sz w:val="32"/>
          <w:szCs w:val="32"/>
        </w:rPr>
      </w:pPr>
    </w:p>
    <w:sdt>
      <w:sdtPr>
        <w:tag w:val="NEW_STAND_NAME"/>
        <w:id w:val="595910757"/>
        <w:lock w:val="sdtLocked"/>
        <w:placeholder>
          <w:docPart w:val="19E17FB33C2D4F67B7B608DAD4EADCE1"/>
        </w:placeholder>
      </w:sdtPr>
      <w:sdtContent>
        <w:p w14:paraId="5AA4BEDD">
          <w:pPr>
            <w:pStyle w:val="177"/>
            <w:spacing w:before="240" w:beforeLines="100" w:after="528" w:afterLines="220"/>
            <w:rPr>
              <w:rFonts w:hint="eastAsia"/>
            </w:rPr>
          </w:pPr>
          <w:bookmarkStart w:id="27" w:name="NEW_STAND_NAME"/>
          <w:r>
            <w:rPr>
              <w:rFonts w:hint="eastAsia"/>
            </w:rPr>
            <w:t>绿色建筑工程造价编制与管理操作规范</w:t>
          </w:r>
        </w:p>
      </w:sdtContent>
    </w:sdt>
    <w:bookmarkEnd w:id="27"/>
    <w:p w14:paraId="7D3B1DAA">
      <w:pPr>
        <w:pStyle w:val="104"/>
        <w:spacing w:before="240" w:after="240"/>
        <w:rPr>
          <w:rFonts w:ascii="Times New Roman"/>
        </w:rPr>
      </w:pPr>
      <w:bookmarkStart w:id="28" w:name="_Toc17233325"/>
      <w:bookmarkStart w:id="29" w:name="_Toc26986530"/>
      <w:bookmarkStart w:id="30" w:name="_Toc24884211"/>
      <w:bookmarkStart w:id="31" w:name="_Toc208240936"/>
      <w:bookmarkStart w:id="32" w:name="_Toc26986771"/>
      <w:bookmarkStart w:id="33" w:name="_Toc208244466"/>
      <w:bookmarkStart w:id="34" w:name="_Toc24884218"/>
      <w:bookmarkStart w:id="35" w:name="_Toc26718930"/>
      <w:bookmarkStart w:id="36" w:name="_Toc26648465"/>
      <w:bookmarkStart w:id="37" w:name="_Toc17233333"/>
      <w:bookmarkStart w:id="38" w:name="_Toc97192964"/>
      <w:r>
        <w:rPr>
          <w:rFonts w:ascii="Times New Roman"/>
        </w:rPr>
        <w:t>范围</w:t>
      </w:r>
      <w:bookmarkEnd w:id="28"/>
      <w:bookmarkEnd w:id="29"/>
      <w:bookmarkEnd w:id="30"/>
      <w:bookmarkEnd w:id="31"/>
      <w:bookmarkEnd w:id="32"/>
      <w:bookmarkEnd w:id="33"/>
      <w:bookmarkEnd w:id="34"/>
      <w:bookmarkEnd w:id="35"/>
      <w:bookmarkEnd w:id="36"/>
      <w:bookmarkEnd w:id="37"/>
      <w:bookmarkEnd w:id="38"/>
    </w:p>
    <w:p w14:paraId="5FEE0CD9">
      <w:pPr>
        <w:pStyle w:val="56"/>
        <w:ind w:firstLine="420"/>
        <w:rPr>
          <w:rFonts w:ascii="Times New Roman"/>
        </w:rPr>
      </w:pPr>
      <w:bookmarkStart w:id="39" w:name="_Toc17233326"/>
      <w:bookmarkStart w:id="40" w:name="_Toc24884212"/>
      <w:bookmarkStart w:id="41" w:name="_Toc17233334"/>
      <w:bookmarkStart w:id="42" w:name="_Toc26648466"/>
      <w:bookmarkStart w:id="43" w:name="_Toc24884219"/>
      <w:r>
        <w:rPr>
          <w:rFonts w:ascii="Times New Roman"/>
        </w:rPr>
        <w:t>本文件规定了绿色建筑工程造价编制与管理操作的术语和定义</w:t>
      </w:r>
      <w:r>
        <w:rPr>
          <w:rFonts w:hint="eastAsia" w:ascii="Times New Roman"/>
        </w:rPr>
        <w:t>、基本要求、文件编制、专项费用、造价管理、信息管理。</w:t>
      </w:r>
    </w:p>
    <w:p w14:paraId="4A6FD80B">
      <w:pPr>
        <w:pStyle w:val="56"/>
        <w:ind w:firstLine="420"/>
        <w:rPr>
          <w:rFonts w:ascii="Times New Roman"/>
        </w:rPr>
      </w:pPr>
      <w:r>
        <w:rPr>
          <w:rFonts w:ascii="Times New Roman"/>
        </w:rPr>
        <w:t>本文件适用于绿色建筑工程造价编制与管理。</w:t>
      </w:r>
    </w:p>
    <w:p w14:paraId="3FBFF776">
      <w:pPr>
        <w:pStyle w:val="104"/>
        <w:spacing w:before="240" w:after="240"/>
        <w:rPr>
          <w:rFonts w:ascii="Times New Roman"/>
        </w:rPr>
      </w:pPr>
      <w:bookmarkStart w:id="44" w:name="_Toc208244467"/>
      <w:bookmarkStart w:id="45" w:name="_Toc97192965"/>
      <w:bookmarkStart w:id="46" w:name="_Toc208240937"/>
      <w:bookmarkStart w:id="47" w:name="_Toc26718931"/>
      <w:bookmarkStart w:id="48" w:name="_Toc26986531"/>
      <w:bookmarkStart w:id="49" w:name="_Toc26986772"/>
      <w:r>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95FFBF1BCD40470296AC7BEBE179499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42853F10">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CD11073">
      <w:pPr>
        <w:pStyle w:val="56"/>
        <w:ind w:firstLine="420"/>
        <w:rPr>
          <w:rFonts w:ascii="Times New Roman"/>
        </w:rPr>
      </w:pPr>
      <w:r>
        <w:rPr>
          <w:rFonts w:ascii="Times New Roman"/>
        </w:rPr>
        <w:t>GB/T 50378 绿色建筑评价标准</w:t>
      </w:r>
    </w:p>
    <w:p w14:paraId="4B70B1C4">
      <w:pPr>
        <w:pStyle w:val="56"/>
        <w:ind w:firstLine="420"/>
        <w:rPr>
          <w:rFonts w:ascii="Times New Roman"/>
        </w:rPr>
      </w:pPr>
      <w:r>
        <w:rPr>
          <w:rFonts w:ascii="Times New Roman"/>
        </w:rPr>
        <w:t>GB/T 50500 建设工程工程量清单计价标准</w:t>
      </w:r>
    </w:p>
    <w:p w14:paraId="3D608990">
      <w:pPr>
        <w:pStyle w:val="56"/>
        <w:ind w:firstLine="420"/>
        <w:rPr>
          <w:rFonts w:ascii="Times New Roman"/>
        </w:rPr>
      </w:pPr>
      <w:r>
        <w:rPr>
          <w:rFonts w:ascii="Times New Roman"/>
        </w:rPr>
        <w:t>GB/T 51095 建设工程造价咨询规范</w:t>
      </w:r>
    </w:p>
    <w:p w14:paraId="3B8A3F97">
      <w:pPr>
        <w:pStyle w:val="104"/>
        <w:spacing w:before="240" w:after="240"/>
        <w:rPr>
          <w:rFonts w:ascii="Times New Roman"/>
        </w:rPr>
      </w:pPr>
      <w:bookmarkStart w:id="50" w:name="_Toc208244468"/>
      <w:bookmarkStart w:id="51" w:name="_Toc97192966"/>
      <w:bookmarkStart w:id="52" w:name="_Toc208240938"/>
      <w:r>
        <w:rPr>
          <w:rFonts w:ascii="Times New Roman"/>
          <w:szCs w:val="21"/>
        </w:rPr>
        <w:t>术语和定义</w:t>
      </w:r>
      <w:bookmarkEnd w:id="50"/>
      <w:bookmarkEnd w:id="51"/>
      <w:bookmarkEnd w:id="52"/>
    </w:p>
    <w:sdt>
      <w:sdtPr>
        <w:rPr>
          <w:rFonts w:ascii="Times New Roman"/>
        </w:rPr>
        <w:id w:val="-1909835108"/>
        <w:placeholder>
          <w:docPart w:val="FB6242A4443343F0BD40F86E94B1F2F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41B65B5F">
          <w:pPr>
            <w:pStyle w:val="56"/>
            <w:ind w:firstLine="420"/>
            <w:rPr>
              <w:rFonts w:ascii="Times New Roman"/>
            </w:rPr>
          </w:pPr>
          <w:bookmarkStart w:id="53" w:name="_Toc26986532"/>
          <w:bookmarkEnd w:id="53"/>
          <w:r>
            <w:rPr>
              <w:rFonts w:ascii="Times New Roman"/>
            </w:rPr>
            <w:t>下列术语和定义适用于本文件。</w:t>
          </w:r>
        </w:p>
      </w:sdtContent>
    </w:sdt>
    <w:p w14:paraId="0BDC2B59">
      <w:pPr>
        <w:pStyle w:val="223"/>
        <w:ind w:left="420" w:hanging="420" w:hangingChars="200"/>
        <w:rPr>
          <w:rFonts w:ascii="Times New Roman" w:eastAsia="黑体"/>
        </w:rPr>
      </w:pPr>
      <w:r>
        <w:rPr>
          <w:rFonts w:ascii="Times New Roman" w:eastAsia="黑体"/>
        </w:rPr>
        <w:br w:type="textWrapping"/>
      </w:r>
      <w:r>
        <w:rPr>
          <w:rFonts w:ascii="Times New Roman" w:eastAsia="黑体"/>
        </w:rPr>
        <w:t>绿色建筑 green building</w:t>
      </w:r>
    </w:p>
    <w:p w14:paraId="1877B506">
      <w:pPr>
        <w:pStyle w:val="56"/>
        <w:ind w:firstLine="420"/>
        <w:rPr>
          <w:rFonts w:ascii="Times New Roman"/>
        </w:rPr>
      </w:pPr>
      <w:r>
        <w:rPr>
          <w:rFonts w:ascii="Times New Roman"/>
        </w:rPr>
        <w:t>在全寿命期内，节约资源、保护环境、减少污染，为人们提供健康、适用、高效的使用空间，最大限度地实现人与自然和谐共生的高质量建筑。</w:t>
      </w:r>
    </w:p>
    <w:p w14:paraId="436869CB">
      <w:pPr>
        <w:pStyle w:val="223"/>
        <w:ind w:left="420" w:hanging="420" w:hangingChars="200"/>
        <w:rPr>
          <w:rFonts w:ascii="Times New Roman" w:eastAsia="黑体"/>
        </w:rPr>
      </w:pPr>
    </w:p>
    <w:p w14:paraId="17AF5695">
      <w:pPr>
        <w:pStyle w:val="223"/>
        <w:numPr>
          <w:ilvl w:val="0"/>
          <w:numId w:val="0"/>
        </w:numPr>
        <w:ind w:left="420"/>
        <w:rPr>
          <w:rFonts w:ascii="Times New Roman" w:eastAsia="黑体"/>
        </w:rPr>
      </w:pPr>
      <w:r>
        <w:rPr>
          <w:rFonts w:ascii="Times New Roman" w:eastAsia="黑体"/>
        </w:rPr>
        <w:t>工程造价 cost of project</w:t>
      </w:r>
    </w:p>
    <w:p w14:paraId="3C9950B2">
      <w:pPr>
        <w:pStyle w:val="56"/>
        <w:ind w:firstLine="420"/>
        <w:rPr>
          <w:rFonts w:ascii="Times New Roman"/>
        </w:rPr>
      </w:pPr>
      <w:r>
        <w:rPr>
          <w:rFonts w:ascii="Times New Roman"/>
        </w:rPr>
        <w:t>完成一个建筑工程项目，从立项到竣工交付所需的全部费用，包括常规建安工程费用和绿色建筑专项费用。</w:t>
      </w:r>
    </w:p>
    <w:p w14:paraId="60B989D7">
      <w:pPr>
        <w:pStyle w:val="223"/>
        <w:ind w:left="420" w:hanging="420" w:hangingChars="200"/>
        <w:rPr>
          <w:rFonts w:ascii="Times New Roman" w:eastAsia="黑体"/>
        </w:rPr>
      </w:pPr>
    </w:p>
    <w:p w14:paraId="48E9DA64">
      <w:pPr>
        <w:pStyle w:val="223"/>
        <w:numPr>
          <w:ilvl w:val="0"/>
          <w:numId w:val="0"/>
        </w:numPr>
        <w:ind w:left="420"/>
        <w:rPr>
          <w:rFonts w:ascii="Times New Roman" w:eastAsia="黑体"/>
        </w:rPr>
      </w:pPr>
      <w:r>
        <w:rPr>
          <w:rFonts w:ascii="Times New Roman" w:eastAsia="黑体"/>
        </w:rPr>
        <w:t>专项费用 special cost</w:t>
      </w:r>
    </w:p>
    <w:p w14:paraId="4E6C0DA3">
      <w:pPr>
        <w:pStyle w:val="56"/>
        <w:ind w:firstLine="420"/>
        <w:rPr>
          <w:rFonts w:ascii="Times New Roman"/>
        </w:rPr>
      </w:pPr>
      <w:r>
        <w:rPr>
          <w:rFonts w:ascii="Times New Roman"/>
        </w:rPr>
        <w:t>为达到绿色建筑评价标准而采用的各项技术、措施、产品所产生的增量费用、咨询评审费用等。</w:t>
      </w:r>
    </w:p>
    <w:p w14:paraId="225401DB">
      <w:pPr>
        <w:pStyle w:val="223"/>
        <w:ind w:left="420" w:hanging="420" w:hangingChars="200"/>
        <w:rPr>
          <w:rFonts w:ascii="Times New Roman" w:eastAsia="黑体"/>
        </w:rPr>
      </w:pPr>
      <w:r>
        <w:rPr>
          <w:rFonts w:ascii="Times New Roman" w:eastAsia="黑体"/>
        </w:rPr>
        <w:br w:type="textWrapping"/>
      </w:r>
      <w:r>
        <w:rPr>
          <w:rFonts w:ascii="Times New Roman" w:eastAsia="黑体"/>
        </w:rPr>
        <w:t>增量成本 incremental cost</w:t>
      </w:r>
    </w:p>
    <w:p w14:paraId="0BD7E7A8">
      <w:pPr>
        <w:pStyle w:val="56"/>
        <w:ind w:firstLine="420"/>
        <w:rPr>
          <w:rFonts w:ascii="Times New Roman"/>
        </w:rPr>
      </w:pPr>
      <w:r>
        <w:rPr>
          <w:rFonts w:ascii="Times New Roman"/>
        </w:rPr>
        <w:t>与满足国家强制性标准基准线的常规建筑相比，为达到特定绿色建筑星级目标而增加的额外投资成本。</w:t>
      </w:r>
    </w:p>
    <w:p w14:paraId="74DEDB3D">
      <w:pPr>
        <w:pStyle w:val="223"/>
        <w:ind w:left="420" w:hanging="420" w:hangingChars="200"/>
        <w:rPr>
          <w:rFonts w:ascii="Times New Roman" w:eastAsia="黑体"/>
        </w:rPr>
      </w:pPr>
      <w:r>
        <w:rPr>
          <w:rFonts w:ascii="Times New Roman" w:eastAsia="黑体"/>
        </w:rPr>
        <w:br w:type="textWrapping"/>
      </w:r>
      <w:r>
        <w:rPr>
          <w:rFonts w:ascii="Times New Roman" w:eastAsia="黑体"/>
        </w:rPr>
        <w:t>全生命期成本 life-cycle cost</w:t>
      </w:r>
    </w:p>
    <w:p w14:paraId="248DB0BE">
      <w:pPr>
        <w:pStyle w:val="56"/>
        <w:ind w:firstLine="420"/>
        <w:rPr>
          <w:rFonts w:ascii="Times New Roman"/>
        </w:rPr>
      </w:pPr>
      <w:r>
        <w:rPr>
          <w:rFonts w:ascii="Times New Roman"/>
        </w:rPr>
        <w:t>在建筑的全寿命期内，包括初始建造成本和未来的运营、维护、修理、更换直至拆除处置等一系列成本的总和。</w:t>
      </w:r>
    </w:p>
    <w:p w14:paraId="6AC22CFB">
      <w:pPr>
        <w:pStyle w:val="104"/>
        <w:spacing w:before="240" w:after="240"/>
        <w:rPr>
          <w:rFonts w:ascii="Times New Roman"/>
        </w:rPr>
      </w:pPr>
      <w:bookmarkStart w:id="54" w:name="_Toc208240939"/>
      <w:bookmarkStart w:id="55" w:name="_Toc208244469"/>
      <w:r>
        <w:rPr>
          <w:rFonts w:ascii="Times New Roman"/>
        </w:rPr>
        <w:t>基本</w:t>
      </w:r>
      <w:bookmarkEnd w:id="54"/>
      <w:r>
        <w:rPr>
          <w:rFonts w:hint="eastAsia" w:ascii="Times New Roman"/>
        </w:rPr>
        <w:t>要求</w:t>
      </w:r>
      <w:bookmarkEnd w:id="55"/>
    </w:p>
    <w:p w14:paraId="36448FB9">
      <w:pPr>
        <w:pStyle w:val="162"/>
        <w:rPr>
          <w:rFonts w:ascii="Times New Roman"/>
        </w:rPr>
      </w:pPr>
      <w:r>
        <w:rPr>
          <w:rFonts w:ascii="Times New Roman"/>
        </w:rPr>
        <w:t>绿色建筑工程造价编制与管理应遵循全过程管理、目标导向、技术经济统一、数据驱动的基本原则，确保造价成果的真实性、准确性、完整性和规范性。</w:t>
      </w:r>
    </w:p>
    <w:p w14:paraId="7F4A6D51">
      <w:pPr>
        <w:pStyle w:val="162"/>
        <w:rPr>
          <w:rFonts w:ascii="Times New Roman"/>
        </w:rPr>
      </w:pPr>
      <w:r>
        <w:rPr>
          <w:rFonts w:ascii="Times New Roman"/>
        </w:rPr>
        <w:t>绿色建筑项目应实行全过程造价管理。投资决策、设计、招投标、施工、结算等各阶段造价活动应前后衔接，形成有机整体，并将绿色建筑性能要求贯穿始终。</w:t>
      </w:r>
    </w:p>
    <w:p w14:paraId="6550B6B5">
      <w:pPr>
        <w:pStyle w:val="162"/>
        <w:rPr>
          <w:rFonts w:ascii="Times New Roman"/>
        </w:rPr>
      </w:pPr>
      <w:r>
        <w:rPr>
          <w:rFonts w:ascii="Times New Roman"/>
        </w:rPr>
        <w:t>项目前期应明确绿色建筑目标等级，造价工作应围绕目标展开。各阶段造价文件应同步编制绿色建筑专项费用，并与常规建设工程费用形成对比分析，合理反映绿色建筑的增量成本与效益。</w:t>
      </w:r>
    </w:p>
    <w:p w14:paraId="647E2860">
      <w:pPr>
        <w:pStyle w:val="162"/>
        <w:rPr>
          <w:rFonts w:ascii="Times New Roman"/>
        </w:rPr>
      </w:pPr>
      <w:r>
        <w:rPr>
          <w:rFonts w:ascii="Times New Roman"/>
        </w:rPr>
        <w:t>绿色建筑造价的确定与控制，应基于性能导向和结果导向。造价应与所采用的绿色技术措施的性能参数、实施效果和验收标准相关联，确保资金投入与绿色建筑品质相匹配。</w:t>
      </w:r>
    </w:p>
    <w:p w14:paraId="56DFD6EC">
      <w:pPr>
        <w:pStyle w:val="162"/>
        <w:rPr>
          <w:rFonts w:ascii="Times New Roman"/>
        </w:rPr>
      </w:pPr>
      <w:r>
        <w:rPr>
          <w:rFonts w:ascii="Times New Roman"/>
        </w:rPr>
        <w:t>建设单位作为项目投资责任主体，应负责组织、协调和决策绿色建筑造价管理的重大事项。应委托具有相应能力的造价咨询机构，并明确其在全过程造价管理中关于绿色建筑内容的咨询职责。</w:t>
      </w:r>
    </w:p>
    <w:p w14:paraId="6444F2B9">
      <w:pPr>
        <w:pStyle w:val="162"/>
        <w:rPr>
          <w:rFonts w:ascii="Times New Roman"/>
        </w:rPr>
      </w:pPr>
      <w:r>
        <w:rPr>
          <w:rFonts w:ascii="Times New Roman"/>
        </w:rPr>
        <w:t>设计单位应在设计文件中设立绿色建筑</w:t>
      </w:r>
      <w:r>
        <w:rPr>
          <w:rFonts w:hint="eastAsia" w:ascii="Times New Roman"/>
        </w:rPr>
        <w:t>内容</w:t>
      </w:r>
      <w:r>
        <w:rPr>
          <w:rFonts w:ascii="Times New Roman"/>
        </w:rPr>
        <w:t>，明确技术措施、材料性能指标和施工工艺要求，为造价的准确计量与计价提供清晰、完备的设计依据。造价编制人员应参与技术方案的经济性比选。</w:t>
      </w:r>
    </w:p>
    <w:p w14:paraId="44209EFD">
      <w:pPr>
        <w:pStyle w:val="162"/>
        <w:rPr>
          <w:rFonts w:ascii="Times New Roman"/>
        </w:rPr>
      </w:pPr>
      <w:r>
        <w:rPr>
          <w:rFonts w:ascii="Times New Roman"/>
        </w:rPr>
        <w:t>造价从业人员应具备绿色建筑相关知识，熟悉绿色建筑技术、材料、工艺的施工流程和成本构成。咨询企业应建立内部培训机制，提升从业人员绿色造价专业能力。</w:t>
      </w:r>
    </w:p>
    <w:p w14:paraId="32802C73">
      <w:pPr>
        <w:pStyle w:val="162"/>
        <w:rPr>
          <w:rFonts w:ascii="Times New Roman"/>
        </w:rPr>
      </w:pPr>
      <w:r>
        <w:rPr>
          <w:rFonts w:ascii="Times New Roman"/>
        </w:rPr>
        <w:t>绿色建筑造价的编制宜考虑全生命期成本理念，在关键技术选型时，可进行建造成本与未来运营维护成本的综合比选，寻求全寿命期经济性最优方案。</w:t>
      </w:r>
    </w:p>
    <w:p w14:paraId="7A35F7C3">
      <w:pPr>
        <w:pStyle w:val="162"/>
        <w:rPr>
          <w:rFonts w:ascii="Times New Roman"/>
        </w:rPr>
      </w:pPr>
      <w:r>
        <w:rPr>
          <w:rFonts w:ascii="Times New Roman"/>
        </w:rPr>
        <w:t>应高度重视造价数据的积累与应用。鼓励建设单位、造价咨询企业建立绿色建筑造价数据库，收集和分析不同类型、不同星级绿色项目的经济技术指标、增量成本和造价指数。</w:t>
      </w:r>
    </w:p>
    <w:p w14:paraId="036EF8B1">
      <w:pPr>
        <w:pStyle w:val="162"/>
        <w:rPr>
          <w:rFonts w:ascii="Times New Roman"/>
        </w:rPr>
      </w:pPr>
      <w:r>
        <w:rPr>
          <w:rFonts w:ascii="Times New Roman"/>
        </w:rPr>
        <w:t>应积极采用先进信息技术支持绿色造价管理。鼓励应用建筑信息模型、大数据、云计算等技术，提升工程量计算的精确度、造价分析的深度以及各阶段造价数据传递与共享的效率。</w:t>
      </w:r>
    </w:p>
    <w:p w14:paraId="534753B9">
      <w:pPr>
        <w:pStyle w:val="162"/>
        <w:rPr>
          <w:rFonts w:ascii="Times New Roman"/>
        </w:rPr>
      </w:pPr>
      <w:r>
        <w:rPr>
          <w:rFonts w:ascii="Times New Roman"/>
        </w:rPr>
        <w:t>绿色建筑工程的发承包活动及合同价款管理，应遵守</w:t>
      </w:r>
      <w:bookmarkStart w:id="56" w:name="_Hlk208242151"/>
      <w:r>
        <w:rPr>
          <w:rFonts w:ascii="Times New Roman"/>
        </w:rPr>
        <w:t>GB/T 50378、GB/T 50500、GB/T 51095</w:t>
      </w:r>
      <w:bookmarkEnd w:id="56"/>
      <w:r>
        <w:rPr>
          <w:rFonts w:ascii="Times New Roman"/>
        </w:rPr>
        <w:t>的规定。合同中应专门条款约定绿色建筑实施范围、标准、验收方式、价款调整与支付办法。</w:t>
      </w:r>
    </w:p>
    <w:p w14:paraId="7263CD99">
      <w:pPr>
        <w:pStyle w:val="104"/>
        <w:spacing w:before="240" w:after="240"/>
        <w:rPr>
          <w:rFonts w:ascii="Times New Roman"/>
        </w:rPr>
      </w:pPr>
      <w:bookmarkStart w:id="57" w:name="_Toc208244470"/>
      <w:bookmarkStart w:id="58" w:name="_Toc208240940"/>
      <w:r>
        <w:rPr>
          <w:rFonts w:ascii="Times New Roman"/>
        </w:rPr>
        <w:t>文件编制</w:t>
      </w:r>
      <w:bookmarkEnd w:id="57"/>
      <w:bookmarkEnd w:id="58"/>
    </w:p>
    <w:p w14:paraId="79D36E46">
      <w:pPr>
        <w:pStyle w:val="105"/>
        <w:spacing w:before="120" w:after="120"/>
        <w:rPr>
          <w:rFonts w:ascii="Times New Roman"/>
        </w:rPr>
      </w:pPr>
      <w:r>
        <w:rPr>
          <w:rFonts w:ascii="Times New Roman"/>
        </w:rPr>
        <w:t>投资决策阶段</w:t>
      </w:r>
    </w:p>
    <w:p w14:paraId="3F3A71D6">
      <w:pPr>
        <w:pStyle w:val="165"/>
        <w:rPr>
          <w:rFonts w:ascii="Times New Roman"/>
        </w:rPr>
      </w:pPr>
      <w:r>
        <w:rPr>
          <w:rFonts w:ascii="Times New Roman"/>
        </w:rPr>
        <w:t>本阶段应编制绿色建筑项目投资估算，作为项目投资决策和控制设计概算的重要依据。</w:t>
      </w:r>
    </w:p>
    <w:p w14:paraId="402DE2B4">
      <w:pPr>
        <w:pStyle w:val="165"/>
        <w:rPr>
          <w:rFonts w:ascii="Times New Roman"/>
        </w:rPr>
      </w:pPr>
      <w:r>
        <w:rPr>
          <w:rFonts w:ascii="Times New Roman"/>
        </w:rPr>
        <w:t>投资估算应依据项目建设方案、绿色建筑策划方案及目标星级进行编制。</w:t>
      </w:r>
    </w:p>
    <w:p w14:paraId="3B5EE391">
      <w:pPr>
        <w:pStyle w:val="165"/>
        <w:rPr>
          <w:rFonts w:ascii="Times New Roman"/>
        </w:rPr>
      </w:pPr>
      <w:r>
        <w:rPr>
          <w:rFonts w:ascii="Times New Roman"/>
        </w:rPr>
        <w:t>投资估算内容应完整包括常规建设工程费用和绿色建筑专项费用。</w:t>
      </w:r>
    </w:p>
    <w:p w14:paraId="424CF2CA">
      <w:pPr>
        <w:pStyle w:val="165"/>
        <w:rPr>
          <w:rFonts w:ascii="Times New Roman"/>
        </w:rPr>
      </w:pPr>
      <w:r>
        <w:rPr>
          <w:rFonts w:ascii="Times New Roman"/>
        </w:rPr>
        <w:t>绿色建筑专项费用应单独列项，可参照已建同类绿色建筑项目的单位指标或增量成本指标进行估算。无可靠参考数据时，可采用专家咨询、市场询价等方式进行估算。</w:t>
      </w:r>
    </w:p>
    <w:p w14:paraId="1D0B034E">
      <w:pPr>
        <w:pStyle w:val="165"/>
        <w:rPr>
          <w:rFonts w:ascii="Times New Roman"/>
        </w:rPr>
      </w:pPr>
      <w:r>
        <w:rPr>
          <w:rFonts w:ascii="Times New Roman"/>
        </w:rPr>
        <w:t>投资估算文件应包含绿色建筑技术措施和专项费用的编制说明，阐述估算依据、方法及主要技术选项。</w:t>
      </w:r>
    </w:p>
    <w:p w14:paraId="4A8A8B98">
      <w:pPr>
        <w:pStyle w:val="105"/>
        <w:spacing w:before="120" w:after="120"/>
        <w:rPr>
          <w:rFonts w:ascii="Times New Roman"/>
        </w:rPr>
      </w:pPr>
      <w:r>
        <w:rPr>
          <w:rFonts w:ascii="Times New Roman"/>
        </w:rPr>
        <w:t>设计阶段</w:t>
      </w:r>
    </w:p>
    <w:p w14:paraId="401A3244">
      <w:pPr>
        <w:pStyle w:val="65"/>
        <w:spacing w:before="120" w:after="120"/>
        <w:rPr>
          <w:rFonts w:ascii="Times New Roman"/>
        </w:rPr>
      </w:pPr>
      <w:r>
        <w:rPr>
          <w:rFonts w:ascii="Times New Roman"/>
        </w:rPr>
        <w:t>设计概算</w:t>
      </w:r>
    </w:p>
    <w:p w14:paraId="480731B2">
      <w:pPr>
        <w:pStyle w:val="164"/>
        <w:rPr>
          <w:rFonts w:ascii="Times New Roman"/>
        </w:rPr>
      </w:pPr>
      <w:r>
        <w:rPr>
          <w:rFonts w:ascii="Times New Roman"/>
        </w:rPr>
        <w:t>设计概算应依据初步设计文件、绿色建筑设计</w:t>
      </w:r>
      <w:r>
        <w:rPr>
          <w:rFonts w:hint="eastAsia" w:ascii="Times New Roman"/>
        </w:rPr>
        <w:t>内容</w:t>
      </w:r>
      <w:r>
        <w:rPr>
          <w:rFonts w:ascii="Times New Roman"/>
        </w:rPr>
        <w:t>及说明书进行编制。</w:t>
      </w:r>
    </w:p>
    <w:p w14:paraId="570A4F15">
      <w:pPr>
        <w:pStyle w:val="164"/>
        <w:rPr>
          <w:rFonts w:ascii="Times New Roman"/>
        </w:rPr>
      </w:pPr>
      <w:r>
        <w:rPr>
          <w:rFonts w:ascii="Times New Roman"/>
        </w:rPr>
        <w:t>编制时应采用概算定额、概算指标或类似工程决算资料。绿色建筑专项投资应得以细化，不应再以单一项或笼统指标计列。</w:t>
      </w:r>
    </w:p>
    <w:p w14:paraId="4188B52A">
      <w:pPr>
        <w:pStyle w:val="164"/>
        <w:rPr>
          <w:rFonts w:ascii="Times New Roman"/>
        </w:rPr>
      </w:pPr>
      <w:r>
        <w:rPr>
          <w:rFonts w:ascii="Times New Roman"/>
        </w:rPr>
        <w:t>应将为达到绿色建筑星级标准而采用的各项技术、材料、设备所发生的增量成本，分解至各相关单位工程和分部工程中；对于综合性的绿色措施项目，应在工程建设其他费用中单独列项。</w:t>
      </w:r>
    </w:p>
    <w:p w14:paraId="349AF29C">
      <w:pPr>
        <w:pStyle w:val="164"/>
        <w:rPr>
          <w:rFonts w:ascii="Times New Roman"/>
        </w:rPr>
      </w:pPr>
      <w:r>
        <w:rPr>
          <w:rFonts w:ascii="Times New Roman"/>
        </w:rPr>
        <w:t>设计概算应进行技术经济多方案比选，论证绿色技术路线的经济合理性，确保绿色建筑目标下的总投资控制在投资估算范围内。</w:t>
      </w:r>
    </w:p>
    <w:p w14:paraId="375A2928">
      <w:pPr>
        <w:pStyle w:val="65"/>
        <w:spacing w:before="120" w:after="120"/>
        <w:rPr>
          <w:rFonts w:ascii="Times New Roman"/>
        </w:rPr>
      </w:pPr>
      <w:r>
        <w:rPr>
          <w:rFonts w:ascii="Times New Roman"/>
        </w:rPr>
        <w:t>施工图预算</w:t>
      </w:r>
    </w:p>
    <w:p w14:paraId="18E9BF3F">
      <w:pPr>
        <w:pStyle w:val="164"/>
        <w:rPr>
          <w:rFonts w:ascii="Times New Roman"/>
        </w:rPr>
      </w:pPr>
      <w:r>
        <w:rPr>
          <w:rFonts w:ascii="Times New Roman"/>
        </w:rPr>
        <w:t>施工图预算应依据施工图设计文件、审定的绿色建筑设计文件及其具体要求进行编制。</w:t>
      </w:r>
    </w:p>
    <w:p w14:paraId="5A5A93F3">
      <w:pPr>
        <w:pStyle w:val="164"/>
        <w:rPr>
          <w:rFonts w:ascii="Times New Roman"/>
        </w:rPr>
      </w:pPr>
      <w:r>
        <w:rPr>
          <w:rFonts w:ascii="Times New Roman"/>
        </w:rPr>
        <w:t>应严格按照现行工程量计算规范、计价定额及工程造价信息进行编制。对于定额缺项的新技术、新工艺、新材料，应编制补充估价表。</w:t>
      </w:r>
    </w:p>
    <w:p w14:paraId="5FEAB6BB">
      <w:pPr>
        <w:pStyle w:val="164"/>
        <w:rPr>
          <w:rFonts w:ascii="Times New Roman"/>
        </w:rPr>
      </w:pPr>
      <w:r>
        <w:rPr>
          <w:rFonts w:ascii="Times New Roman"/>
        </w:rPr>
        <w:t>应在分部分项工程和措施项目中，清晰识别并准确计量与绿色建筑要求相关的工程内容。项目特征描述应详尽注明绿色性能参数。</w:t>
      </w:r>
    </w:p>
    <w:p w14:paraId="4A70FB86">
      <w:pPr>
        <w:pStyle w:val="164"/>
        <w:rPr>
          <w:rFonts w:ascii="Times New Roman"/>
        </w:rPr>
      </w:pPr>
      <w:r>
        <w:rPr>
          <w:rFonts w:ascii="Times New Roman"/>
        </w:rPr>
        <w:t>施工图预算的总价和单项造价宜与设计概算进行对比分析，如出现超概算情况，应分析原因并提出优化建议。</w:t>
      </w:r>
    </w:p>
    <w:p w14:paraId="6B6E2A7B">
      <w:pPr>
        <w:pStyle w:val="105"/>
        <w:spacing w:before="120" w:after="120"/>
        <w:rPr>
          <w:rFonts w:ascii="Times New Roman"/>
        </w:rPr>
      </w:pPr>
      <w:r>
        <w:rPr>
          <w:rFonts w:ascii="Times New Roman"/>
        </w:rPr>
        <w:t>招投标阶段</w:t>
      </w:r>
    </w:p>
    <w:p w14:paraId="7C60929D">
      <w:pPr>
        <w:pStyle w:val="165"/>
        <w:rPr>
          <w:rFonts w:ascii="Times New Roman"/>
        </w:rPr>
      </w:pPr>
      <w:r>
        <w:rPr>
          <w:rFonts w:ascii="Times New Roman"/>
        </w:rPr>
        <w:t>招标人发布的招标工程量清单，应全面、准确地反映绿色建筑设计要求。</w:t>
      </w:r>
    </w:p>
    <w:p w14:paraId="1FE57A76">
      <w:pPr>
        <w:pStyle w:val="165"/>
        <w:rPr>
          <w:rFonts w:ascii="Times New Roman"/>
        </w:rPr>
      </w:pPr>
      <w:r>
        <w:rPr>
          <w:rFonts w:ascii="Times New Roman"/>
        </w:rPr>
        <w:t>在分部分项工程项目清单中，应将涉及绿色性能要求的项目特征描述清晰，不应遗漏。如高性能混凝土、保温隔热材料、再生材料制品、节水器具、节能灯具、高效能设备等，均应明确其技术指标和标准。</w:t>
      </w:r>
    </w:p>
    <w:p w14:paraId="4197CA39">
      <w:pPr>
        <w:pStyle w:val="165"/>
        <w:rPr>
          <w:rFonts w:ascii="Times New Roman"/>
        </w:rPr>
      </w:pPr>
      <w:r>
        <w:rPr>
          <w:rFonts w:ascii="Times New Roman"/>
        </w:rPr>
        <w:t>招标控制价的编制，应全面考虑绿色建筑技术要求，合理确定其价格。绿色专项措施费用应依据常规施工组织设计、绿色施工专项方案及市场价格进行编制。</w:t>
      </w:r>
    </w:p>
    <w:p w14:paraId="7735BFE0">
      <w:pPr>
        <w:pStyle w:val="165"/>
        <w:rPr>
          <w:rFonts w:ascii="Times New Roman"/>
        </w:rPr>
      </w:pPr>
      <w:r>
        <w:rPr>
          <w:rFonts w:ascii="Times New Roman"/>
        </w:rPr>
        <w:t>投标人应依据招标文件、施工图纸、自行编制的绿色施工方案及企业自身技术水平，对绿色建筑相关项目进行自主报价。报价应涵盖为达到约定绿色标准所需的一切费用，且不应低于其成本。</w:t>
      </w:r>
    </w:p>
    <w:p w14:paraId="640EE60A">
      <w:pPr>
        <w:pStyle w:val="165"/>
        <w:rPr>
          <w:rFonts w:ascii="Times New Roman"/>
        </w:rPr>
      </w:pPr>
      <w:r>
        <w:rPr>
          <w:rFonts w:ascii="Times New Roman"/>
        </w:rPr>
        <w:t>评标标准中宜设置绿色建筑造价相关条款，对投标报价中绿色措施方案的合理性、完整性进行评审。</w:t>
      </w:r>
    </w:p>
    <w:p w14:paraId="2A9BFC9A">
      <w:pPr>
        <w:pStyle w:val="105"/>
        <w:spacing w:before="120" w:after="120"/>
        <w:rPr>
          <w:rFonts w:ascii="Times New Roman"/>
        </w:rPr>
      </w:pPr>
      <w:r>
        <w:rPr>
          <w:rFonts w:ascii="Times New Roman"/>
        </w:rPr>
        <w:t>施工阶段</w:t>
      </w:r>
    </w:p>
    <w:p w14:paraId="3D367A29">
      <w:pPr>
        <w:pStyle w:val="165"/>
        <w:rPr>
          <w:rFonts w:ascii="Times New Roman"/>
        </w:rPr>
      </w:pPr>
      <w:r>
        <w:rPr>
          <w:rFonts w:ascii="Times New Roman"/>
        </w:rPr>
        <w:t>发承包双方签订的合同价款中，应明确约定绿色建筑专项费用的内容、支付方式、调整规定及验收条件。绿色性能要求应作为合同的实质性条款。</w:t>
      </w:r>
    </w:p>
    <w:p w14:paraId="6DF9450B">
      <w:pPr>
        <w:pStyle w:val="165"/>
        <w:rPr>
          <w:rFonts w:ascii="Times New Roman"/>
        </w:rPr>
      </w:pPr>
      <w:r>
        <w:rPr>
          <w:rFonts w:ascii="Times New Roman"/>
        </w:rPr>
        <w:t>工程款支付申请与审核时，应将绿色建筑措施项目的完成情况、质量验收证明作为支付进度款的重要依据，实现绿色绩效与支付挂钩。</w:t>
      </w:r>
    </w:p>
    <w:p w14:paraId="0EDAA226">
      <w:pPr>
        <w:pStyle w:val="165"/>
        <w:rPr>
          <w:rFonts w:ascii="Times New Roman"/>
        </w:rPr>
      </w:pPr>
      <w:r>
        <w:rPr>
          <w:rFonts w:ascii="Times New Roman"/>
        </w:rPr>
        <w:t>处理工程变更和现场签证时，应同步评估其对绿色建筑目标星级、技术路径及造价的影响。涉及绿色性能的变更，应经过原设计单位确认，并履行相应的造价变更程序。</w:t>
      </w:r>
    </w:p>
    <w:p w14:paraId="748B35B0">
      <w:pPr>
        <w:pStyle w:val="165"/>
        <w:rPr>
          <w:rFonts w:ascii="Times New Roman"/>
        </w:rPr>
      </w:pPr>
      <w:r>
        <w:rPr>
          <w:rFonts w:ascii="Times New Roman"/>
        </w:rPr>
        <w:t>施工单位应建立绿色建筑措施费用台账，详细记录各项绿色措施的实施情况与费用发生情况，并收集保存相关影像、检测报告等证明资料。</w:t>
      </w:r>
    </w:p>
    <w:p w14:paraId="1B978F62">
      <w:pPr>
        <w:pStyle w:val="165"/>
        <w:rPr>
          <w:rFonts w:ascii="Times New Roman"/>
        </w:rPr>
      </w:pPr>
      <w:r>
        <w:rPr>
          <w:rFonts w:ascii="Times New Roman"/>
        </w:rPr>
        <w:t>应实施动态的造价控制，定期将实际发生成本与目标成本进行比对，及时发现偏差并采取纠偏措施。</w:t>
      </w:r>
    </w:p>
    <w:p w14:paraId="2064728D">
      <w:pPr>
        <w:pStyle w:val="105"/>
        <w:spacing w:before="120" w:after="120"/>
        <w:rPr>
          <w:rFonts w:ascii="Times New Roman"/>
        </w:rPr>
      </w:pPr>
      <w:r>
        <w:rPr>
          <w:rFonts w:ascii="Times New Roman"/>
        </w:rPr>
        <w:t>竣工结算阶段</w:t>
      </w:r>
    </w:p>
    <w:p w14:paraId="488B5DCB">
      <w:pPr>
        <w:pStyle w:val="165"/>
        <w:rPr>
          <w:rFonts w:ascii="Times New Roman"/>
        </w:rPr>
      </w:pPr>
      <w:r>
        <w:rPr>
          <w:rFonts w:ascii="Times New Roman"/>
        </w:rPr>
        <w:t>竣工结算应全面汇总、真实反映绿色建筑项目从筹建到竣工交付的全部费用。</w:t>
      </w:r>
    </w:p>
    <w:p w14:paraId="259A1508">
      <w:pPr>
        <w:pStyle w:val="165"/>
        <w:rPr>
          <w:rFonts w:ascii="Times New Roman"/>
        </w:rPr>
      </w:pPr>
      <w:r>
        <w:rPr>
          <w:rFonts w:ascii="Times New Roman"/>
        </w:rPr>
        <w:t>结算编制与审核应以合同为依据，结合竣工图纸、竣工资料、绿色建筑专项验收报告、工程变更签证、市场价格变化等资料进行。</w:t>
      </w:r>
    </w:p>
    <w:p w14:paraId="2325970B">
      <w:pPr>
        <w:pStyle w:val="165"/>
        <w:rPr>
          <w:rFonts w:ascii="Times New Roman"/>
        </w:rPr>
      </w:pPr>
      <w:r>
        <w:rPr>
          <w:rFonts w:ascii="Times New Roman"/>
        </w:rPr>
        <w:t>应重点审核绿色建筑相关措施的完成工程量、结算单价和费用。审核时应核验其是否满足绿色建筑设计文件和合同约定的技术标准与验收要求。</w:t>
      </w:r>
    </w:p>
    <w:p w14:paraId="7420513E">
      <w:pPr>
        <w:pStyle w:val="165"/>
        <w:rPr>
          <w:rFonts w:ascii="Times New Roman"/>
        </w:rPr>
      </w:pPr>
      <w:r>
        <w:rPr>
          <w:rFonts w:ascii="Times New Roman"/>
        </w:rPr>
        <w:t>竣工结算文件中，宜单独形成绿色建筑专项费用结算汇总表，清晰列明各项绿色技术措施的结算金额，并与招标控制价、投标报价进行对比，分析其变化原因。</w:t>
      </w:r>
    </w:p>
    <w:p w14:paraId="16D9A5F8">
      <w:pPr>
        <w:pStyle w:val="165"/>
        <w:rPr>
          <w:rFonts w:ascii="Times New Roman"/>
        </w:rPr>
      </w:pPr>
      <w:r>
        <w:rPr>
          <w:rFonts w:ascii="Times New Roman"/>
        </w:rPr>
        <w:t>竣工结算完成后，宜对项目最终的绿色建筑增量成本进行核算与分析，并将关键经济技术指标归档，为后续项目提供数据支撑。</w:t>
      </w:r>
    </w:p>
    <w:p w14:paraId="36C0EB0B">
      <w:pPr>
        <w:pStyle w:val="104"/>
        <w:spacing w:before="240" w:after="240"/>
        <w:rPr>
          <w:rFonts w:ascii="Times New Roman"/>
        </w:rPr>
      </w:pPr>
      <w:bookmarkStart w:id="59" w:name="_Toc208244471"/>
      <w:bookmarkStart w:id="60" w:name="_Toc208240941"/>
      <w:r>
        <w:rPr>
          <w:rFonts w:ascii="Times New Roman"/>
        </w:rPr>
        <w:t>专项费用</w:t>
      </w:r>
      <w:bookmarkEnd w:id="59"/>
      <w:bookmarkEnd w:id="60"/>
    </w:p>
    <w:p w14:paraId="2205D792">
      <w:pPr>
        <w:pStyle w:val="105"/>
        <w:spacing w:before="120" w:after="120"/>
        <w:rPr>
          <w:rFonts w:ascii="Times New Roman"/>
        </w:rPr>
      </w:pPr>
      <w:r>
        <w:rPr>
          <w:rFonts w:ascii="Times New Roman"/>
        </w:rPr>
        <w:t>费用构成</w:t>
      </w:r>
    </w:p>
    <w:p w14:paraId="552BB5F5">
      <w:pPr>
        <w:pStyle w:val="165"/>
        <w:rPr>
          <w:rFonts w:ascii="Times New Roman"/>
        </w:rPr>
      </w:pPr>
      <w:r>
        <w:rPr>
          <w:rFonts w:ascii="Times New Roman"/>
        </w:rPr>
        <w:t>绿色专项费用应由为达到绿色建筑目标等级而发生的全部新增费用构成，主要包括增量成本、咨询评审费用及其他相关费用。</w:t>
      </w:r>
    </w:p>
    <w:p w14:paraId="08F06182">
      <w:pPr>
        <w:pStyle w:val="165"/>
        <w:rPr>
          <w:rFonts w:ascii="Times New Roman"/>
        </w:rPr>
      </w:pPr>
      <w:r>
        <w:rPr>
          <w:rFonts w:ascii="Times New Roman"/>
        </w:rPr>
        <w:t>增量成本应包括：</w:t>
      </w:r>
    </w:p>
    <w:p w14:paraId="08D9621D">
      <w:pPr>
        <w:pStyle w:val="132"/>
        <w:rPr>
          <w:rFonts w:ascii="Times New Roman"/>
        </w:rPr>
      </w:pPr>
      <w:r>
        <w:rPr>
          <w:rFonts w:ascii="Times New Roman"/>
        </w:rPr>
        <w:t>提升性成本：为满足更高性能标准，相比国家或地方强制性标准基准线要求而增加的费用。主要包括：</w:t>
      </w:r>
    </w:p>
    <w:p w14:paraId="1695BA9E">
      <w:pPr>
        <w:pStyle w:val="187"/>
        <w:rPr>
          <w:rFonts w:ascii="Times New Roman"/>
        </w:rPr>
      </w:pPr>
      <w:r>
        <w:rPr>
          <w:rFonts w:ascii="Times New Roman"/>
        </w:rPr>
        <w:t>围护结构增强保温隔热性能的费用差价；</w:t>
      </w:r>
    </w:p>
    <w:p w14:paraId="09250F33">
      <w:pPr>
        <w:pStyle w:val="187"/>
        <w:rPr>
          <w:rFonts w:ascii="Times New Roman"/>
        </w:rPr>
      </w:pPr>
      <w:r>
        <w:rPr>
          <w:rFonts w:ascii="Times New Roman"/>
        </w:rPr>
        <w:t>更高能效等级的供暖、通风、空调、照明及电梯等设备系统的费用差价；</w:t>
      </w:r>
    </w:p>
    <w:p w14:paraId="6DC4DC29">
      <w:pPr>
        <w:pStyle w:val="187"/>
        <w:rPr>
          <w:rFonts w:ascii="Times New Roman"/>
        </w:rPr>
      </w:pPr>
      <w:r>
        <w:rPr>
          <w:rFonts w:ascii="Times New Roman"/>
        </w:rPr>
        <w:t>节水器具、高效灌溉系统、非传统水源利用系统的费用；</w:t>
      </w:r>
    </w:p>
    <w:p w14:paraId="343EF96C">
      <w:pPr>
        <w:pStyle w:val="187"/>
        <w:rPr>
          <w:rFonts w:ascii="Times New Roman"/>
        </w:rPr>
      </w:pPr>
      <w:r>
        <w:rPr>
          <w:rFonts w:ascii="Times New Roman"/>
        </w:rPr>
        <w:t>采用高强度钢、高耐久性混凝土、可再循环材料、可再利用材料、利废建材等产生的材料差价；</w:t>
      </w:r>
    </w:p>
    <w:p w14:paraId="6EF366B1">
      <w:pPr>
        <w:pStyle w:val="187"/>
        <w:rPr>
          <w:rFonts w:ascii="Times New Roman"/>
        </w:rPr>
      </w:pPr>
      <w:r>
        <w:rPr>
          <w:rFonts w:ascii="Times New Roman"/>
        </w:rPr>
        <w:t>改善室内声、光、热湿环境与空气品质的措施费用；</w:t>
      </w:r>
    </w:p>
    <w:p w14:paraId="0AB798ED">
      <w:pPr>
        <w:pStyle w:val="187"/>
        <w:rPr>
          <w:rFonts w:ascii="Times New Roman"/>
        </w:rPr>
      </w:pPr>
      <w:r>
        <w:rPr>
          <w:rFonts w:ascii="Times New Roman"/>
        </w:rPr>
        <w:t>场地生态修复、植被绿化、透水铺装、降低热岛效应等措施的费用。</w:t>
      </w:r>
    </w:p>
    <w:p w14:paraId="4072830E">
      <w:pPr>
        <w:pStyle w:val="132"/>
        <w:rPr>
          <w:rFonts w:ascii="Times New Roman"/>
        </w:rPr>
      </w:pPr>
      <w:r>
        <w:rPr>
          <w:rFonts w:ascii="Times New Roman"/>
        </w:rPr>
        <w:t>新增性成本：基准线建筑未包含，而为绿色建筑新增的技术措施所发生的费用。主要包括：</w:t>
      </w:r>
    </w:p>
    <w:p w14:paraId="041A8A74">
      <w:pPr>
        <w:pStyle w:val="187"/>
        <w:rPr>
          <w:rFonts w:ascii="Times New Roman"/>
        </w:rPr>
      </w:pPr>
      <w:r>
        <w:rPr>
          <w:rFonts w:ascii="Times New Roman"/>
        </w:rPr>
        <w:t>可再生能源利用系统的费用；</w:t>
      </w:r>
    </w:p>
    <w:p w14:paraId="093E39DE">
      <w:pPr>
        <w:pStyle w:val="187"/>
        <w:rPr>
          <w:rFonts w:ascii="Times New Roman"/>
        </w:rPr>
      </w:pPr>
      <w:r>
        <w:rPr>
          <w:rFonts w:ascii="Times New Roman"/>
        </w:rPr>
        <w:t>雨水收集、处理与回用系统的费用；</w:t>
      </w:r>
    </w:p>
    <w:p w14:paraId="333EB631">
      <w:pPr>
        <w:pStyle w:val="187"/>
        <w:rPr>
          <w:rFonts w:ascii="Times New Roman"/>
        </w:rPr>
      </w:pPr>
      <w:r>
        <w:rPr>
          <w:rFonts w:ascii="Times New Roman"/>
        </w:rPr>
        <w:t>土建装修一体化、预制构件等工业化建造方式增加的费用；</w:t>
      </w:r>
    </w:p>
    <w:p w14:paraId="07E046A7">
      <w:pPr>
        <w:pStyle w:val="187"/>
        <w:rPr>
          <w:rFonts w:ascii="Times New Roman"/>
        </w:rPr>
      </w:pPr>
      <w:r>
        <w:rPr>
          <w:rFonts w:ascii="Times New Roman"/>
        </w:rPr>
        <w:t>专项智能化监控与管理系统的费用；</w:t>
      </w:r>
    </w:p>
    <w:p w14:paraId="420327C5">
      <w:pPr>
        <w:pStyle w:val="187"/>
        <w:rPr>
          <w:rFonts w:ascii="Times New Roman"/>
        </w:rPr>
      </w:pPr>
      <w:r>
        <w:rPr>
          <w:rFonts w:ascii="Times New Roman"/>
        </w:rPr>
        <w:t>特殊绿色施工技术措施的费用。</w:t>
      </w:r>
    </w:p>
    <w:p w14:paraId="0E1985C3">
      <w:pPr>
        <w:pStyle w:val="165"/>
        <w:rPr>
          <w:rFonts w:ascii="Times New Roman"/>
        </w:rPr>
      </w:pPr>
      <w:r>
        <w:rPr>
          <w:rFonts w:ascii="Times New Roman"/>
        </w:rPr>
        <w:t>咨询评审费用应包括：</w:t>
      </w:r>
    </w:p>
    <w:p w14:paraId="042D517A">
      <w:pPr>
        <w:pStyle w:val="132"/>
        <w:rPr>
          <w:rFonts w:ascii="Times New Roman"/>
        </w:rPr>
      </w:pPr>
      <w:r>
        <w:rPr>
          <w:rFonts w:ascii="Times New Roman"/>
        </w:rPr>
        <w:t>绿色建筑专项咨询费；</w:t>
      </w:r>
    </w:p>
    <w:p w14:paraId="599B5B4F">
      <w:pPr>
        <w:pStyle w:val="132"/>
        <w:rPr>
          <w:rFonts w:ascii="Times New Roman"/>
        </w:rPr>
      </w:pPr>
      <w:r>
        <w:rPr>
          <w:rFonts w:ascii="Times New Roman"/>
        </w:rPr>
        <w:t>绿色建筑评价标识的申报、评审及认证费；</w:t>
      </w:r>
    </w:p>
    <w:p w14:paraId="380AC310">
      <w:pPr>
        <w:pStyle w:val="132"/>
        <w:rPr>
          <w:rFonts w:ascii="Times New Roman"/>
        </w:rPr>
      </w:pPr>
      <w:r>
        <w:rPr>
          <w:rFonts w:ascii="Times New Roman"/>
        </w:rPr>
        <w:t>专项检测、检验费。</w:t>
      </w:r>
    </w:p>
    <w:p w14:paraId="0FE9FCBB">
      <w:pPr>
        <w:pStyle w:val="165"/>
        <w:rPr>
          <w:rFonts w:ascii="Times New Roman"/>
        </w:rPr>
      </w:pPr>
      <w:r>
        <w:rPr>
          <w:rFonts w:ascii="Times New Roman"/>
        </w:rPr>
        <w:t>其他相关费用可包括：</w:t>
      </w:r>
    </w:p>
    <w:p w14:paraId="1E914317">
      <w:pPr>
        <w:pStyle w:val="132"/>
        <w:rPr>
          <w:rFonts w:ascii="Times New Roman"/>
        </w:rPr>
      </w:pPr>
      <w:r>
        <w:rPr>
          <w:rFonts w:ascii="Times New Roman"/>
        </w:rPr>
        <w:t>绿色建筑新技术、新材料的研发与试验费；</w:t>
      </w:r>
    </w:p>
    <w:p w14:paraId="45C782D3">
      <w:pPr>
        <w:pStyle w:val="132"/>
        <w:rPr>
          <w:rFonts w:ascii="Times New Roman"/>
        </w:rPr>
      </w:pPr>
      <w:r>
        <w:rPr>
          <w:rFonts w:ascii="Times New Roman"/>
        </w:rPr>
        <w:t>绿色建筑培训费；</w:t>
      </w:r>
    </w:p>
    <w:p w14:paraId="11F2BEB5">
      <w:pPr>
        <w:pStyle w:val="132"/>
        <w:rPr>
          <w:rFonts w:ascii="Times New Roman"/>
        </w:rPr>
      </w:pPr>
      <w:r>
        <w:rPr>
          <w:rFonts w:ascii="Times New Roman"/>
        </w:rPr>
        <w:t>绿色建筑运营维护手册编制费。</w:t>
      </w:r>
    </w:p>
    <w:p w14:paraId="288AE85E">
      <w:pPr>
        <w:pStyle w:val="105"/>
        <w:spacing w:before="120" w:after="120"/>
        <w:rPr>
          <w:rFonts w:ascii="Times New Roman"/>
        </w:rPr>
      </w:pPr>
      <w:r>
        <w:rPr>
          <w:rFonts w:ascii="Times New Roman"/>
        </w:rPr>
        <w:t>计价方法</w:t>
      </w:r>
    </w:p>
    <w:p w14:paraId="740123FB">
      <w:pPr>
        <w:pStyle w:val="165"/>
        <w:rPr>
          <w:rFonts w:ascii="Times New Roman"/>
        </w:rPr>
      </w:pPr>
      <w:r>
        <w:rPr>
          <w:rFonts w:ascii="Times New Roman"/>
        </w:rPr>
        <w:t>绿色专项费用的计价应遵循合理性、准确性、市场性的原则，真实反映其价值。</w:t>
      </w:r>
    </w:p>
    <w:p w14:paraId="6ACE391C">
      <w:pPr>
        <w:pStyle w:val="165"/>
        <w:rPr>
          <w:rFonts w:ascii="Times New Roman"/>
        </w:rPr>
      </w:pPr>
      <w:r>
        <w:rPr>
          <w:rFonts w:ascii="Times New Roman"/>
        </w:rPr>
        <w:t>增量成本宜采用对比分析法进行确定，即计算采用绿色建筑技术方案的工程成本与满足强制性标准基准方案的工程成本之间的差额。</w:t>
      </w:r>
    </w:p>
    <w:p w14:paraId="0471DACA">
      <w:pPr>
        <w:pStyle w:val="165"/>
        <w:rPr>
          <w:rFonts w:ascii="Times New Roman"/>
        </w:rPr>
      </w:pPr>
      <w:r>
        <w:rPr>
          <w:rFonts w:ascii="Times New Roman"/>
        </w:rPr>
        <w:t>计价方法应根据项目特点、设计深度和数据基础选择适用：</w:t>
      </w:r>
    </w:p>
    <w:p w14:paraId="1EE3355A">
      <w:pPr>
        <w:pStyle w:val="132"/>
        <w:rPr>
          <w:rFonts w:ascii="Times New Roman"/>
        </w:rPr>
      </w:pPr>
      <w:r>
        <w:rPr>
          <w:rFonts w:ascii="Times New Roman"/>
        </w:rPr>
        <w:t>实物量法：作为主要计价方法</w:t>
      </w:r>
      <w:r>
        <w:rPr>
          <w:rFonts w:hint="eastAsia" w:ascii="Times New Roman"/>
        </w:rPr>
        <w:t>，</w:t>
      </w:r>
      <w:r>
        <w:rPr>
          <w:rFonts w:ascii="Times New Roman"/>
        </w:rPr>
        <w:t>依据设计文件详细计算工程量，并依据以下方式确定综合单价：</w:t>
      </w:r>
    </w:p>
    <w:p w14:paraId="0D82797E">
      <w:pPr>
        <w:pStyle w:val="187"/>
        <w:rPr>
          <w:rFonts w:ascii="Times New Roman"/>
        </w:rPr>
      </w:pPr>
      <w:r>
        <w:rPr>
          <w:rFonts w:ascii="Times New Roman"/>
        </w:rPr>
        <w:t>有对应定额子目的，执行相应定额，并按设计参数调整人工、材料、机械消耗量；</w:t>
      </w:r>
    </w:p>
    <w:p w14:paraId="617B884D">
      <w:pPr>
        <w:pStyle w:val="187"/>
        <w:rPr>
          <w:rFonts w:ascii="Times New Roman"/>
        </w:rPr>
      </w:pPr>
      <w:r>
        <w:rPr>
          <w:rFonts w:ascii="Times New Roman"/>
        </w:rPr>
        <w:t>无对应定额子目的，通过市场询价、参考类似项目结算数据或编制企业定额确定；</w:t>
      </w:r>
    </w:p>
    <w:p w14:paraId="5B28CE48">
      <w:pPr>
        <w:pStyle w:val="187"/>
        <w:rPr>
          <w:rFonts w:ascii="Times New Roman"/>
        </w:rPr>
      </w:pPr>
      <w:r>
        <w:rPr>
          <w:rFonts w:ascii="Times New Roman"/>
        </w:rPr>
        <w:t>涉及性能提升的，通过对比基准方案与绿色方案的单价差进行计算。</w:t>
      </w:r>
    </w:p>
    <w:p w14:paraId="477E97F7">
      <w:pPr>
        <w:pStyle w:val="132"/>
        <w:rPr>
          <w:rFonts w:ascii="Times New Roman"/>
        </w:rPr>
      </w:pPr>
      <w:r>
        <w:rPr>
          <w:rFonts w:ascii="Times New Roman"/>
        </w:rPr>
        <w:t>指标参数法：在投资估算或设计概算阶段，当设计深度不足时，可采用单位面积增量成本指标或投资比例进行估算</w:t>
      </w:r>
      <w:r>
        <w:rPr>
          <w:rFonts w:hint="eastAsia" w:ascii="Times New Roman"/>
        </w:rPr>
        <w:t>，</w:t>
      </w:r>
      <w:r>
        <w:rPr>
          <w:rFonts w:ascii="Times New Roman"/>
        </w:rPr>
        <w:t>所采用指标应有可靠来源，并根据项目所在地、技术内容、星级目标等进行调整</w:t>
      </w:r>
      <w:r>
        <w:rPr>
          <w:rFonts w:hint="eastAsia" w:ascii="Times New Roman"/>
        </w:rPr>
        <w:t>；</w:t>
      </w:r>
    </w:p>
    <w:p w14:paraId="5E98C994">
      <w:pPr>
        <w:pStyle w:val="132"/>
        <w:rPr>
          <w:rFonts w:ascii="Times New Roman"/>
        </w:rPr>
      </w:pPr>
      <w:r>
        <w:rPr>
          <w:rFonts w:ascii="Times New Roman"/>
        </w:rPr>
        <w:t>费用包干法：对于绿色建筑咨询费、认证评审费等，按合同约定或市场惯例以一项总费用包干计列。</w:t>
      </w:r>
    </w:p>
    <w:p w14:paraId="267A0D5B">
      <w:pPr>
        <w:pStyle w:val="165"/>
        <w:rPr>
          <w:rFonts w:ascii="Times New Roman"/>
        </w:rPr>
      </w:pPr>
      <w:r>
        <w:rPr>
          <w:rFonts w:ascii="Times New Roman"/>
        </w:rPr>
        <w:t>对可再生能源系统、非传统水源利用系统等可产生运营收益的措施，其计价可综合考虑初始投资、运行维护费用、能源价格及政策补贴等因素进行经济性分析。</w:t>
      </w:r>
    </w:p>
    <w:p w14:paraId="335F26B0">
      <w:pPr>
        <w:pStyle w:val="105"/>
        <w:spacing w:before="120" w:after="120"/>
        <w:rPr>
          <w:rFonts w:ascii="Times New Roman"/>
        </w:rPr>
      </w:pPr>
      <w:r>
        <w:rPr>
          <w:rFonts w:ascii="Times New Roman"/>
        </w:rPr>
        <w:t>增量成本分析</w:t>
      </w:r>
    </w:p>
    <w:p w14:paraId="645C047A">
      <w:pPr>
        <w:pStyle w:val="165"/>
        <w:rPr>
          <w:rFonts w:ascii="Times New Roman"/>
        </w:rPr>
      </w:pPr>
      <w:r>
        <w:rPr>
          <w:rFonts w:ascii="Times New Roman"/>
        </w:rPr>
        <w:t>项目宜在重要节点进行绿色建筑增量成本分析，以量化绿色投入。</w:t>
      </w:r>
    </w:p>
    <w:p w14:paraId="3924B4A8">
      <w:pPr>
        <w:pStyle w:val="165"/>
        <w:rPr>
          <w:rFonts w:ascii="Times New Roman"/>
        </w:rPr>
      </w:pPr>
      <w:r>
        <w:rPr>
          <w:rFonts w:ascii="Times New Roman"/>
        </w:rPr>
        <w:t>增量成本分析应明确所对比的基准方案。基准方案应定义为满足国家及项目所在地现行强制性节能、节水、节材、环保等标准的最低要求。</w:t>
      </w:r>
    </w:p>
    <w:p w14:paraId="50335FEE">
      <w:pPr>
        <w:pStyle w:val="165"/>
        <w:rPr>
          <w:rFonts w:ascii="Times New Roman"/>
        </w:rPr>
      </w:pPr>
      <w:r>
        <w:rPr>
          <w:rFonts w:ascii="Times New Roman"/>
        </w:rPr>
        <w:t>增量成本分析报告宜包括以下内容：</w:t>
      </w:r>
    </w:p>
    <w:p w14:paraId="5DF41190">
      <w:pPr>
        <w:pStyle w:val="132"/>
        <w:rPr>
          <w:rFonts w:ascii="Times New Roman"/>
        </w:rPr>
      </w:pPr>
      <w:r>
        <w:rPr>
          <w:rFonts w:ascii="Times New Roman"/>
        </w:rPr>
        <w:t>项目绿色建筑目标等级及主要技术策略；</w:t>
      </w:r>
    </w:p>
    <w:p w14:paraId="7752B4EC">
      <w:pPr>
        <w:pStyle w:val="132"/>
        <w:rPr>
          <w:rFonts w:ascii="Times New Roman"/>
        </w:rPr>
      </w:pPr>
      <w:r>
        <w:rPr>
          <w:rFonts w:ascii="Times New Roman"/>
        </w:rPr>
        <w:t>基准方案与绿色建筑方案的技术参数对比；</w:t>
      </w:r>
    </w:p>
    <w:p w14:paraId="3AF3CC5A">
      <w:pPr>
        <w:pStyle w:val="132"/>
        <w:rPr>
          <w:rFonts w:ascii="Times New Roman"/>
        </w:rPr>
      </w:pPr>
      <w:r>
        <w:rPr>
          <w:rFonts w:ascii="Times New Roman"/>
        </w:rPr>
        <w:t>各项绿色技术措施的增量成本计算过程与汇总；</w:t>
      </w:r>
    </w:p>
    <w:p w14:paraId="35F37409">
      <w:pPr>
        <w:pStyle w:val="132"/>
        <w:rPr>
          <w:rFonts w:ascii="Times New Roman"/>
        </w:rPr>
      </w:pPr>
      <w:r>
        <w:rPr>
          <w:rFonts w:ascii="Times New Roman"/>
        </w:rPr>
        <w:t>单位面积增量成本指标；</w:t>
      </w:r>
    </w:p>
    <w:p w14:paraId="57B740DB">
      <w:pPr>
        <w:pStyle w:val="132"/>
        <w:rPr>
          <w:rFonts w:ascii="Times New Roman"/>
        </w:rPr>
      </w:pPr>
      <w:r>
        <w:rPr>
          <w:rFonts w:ascii="Times New Roman"/>
        </w:rPr>
        <w:t>增量成本占项目总投资的比例；</w:t>
      </w:r>
    </w:p>
    <w:p w14:paraId="2C3FE541">
      <w:pPr>
        <w:pStyle w:val="132"/>
        <w:rPr>
          <w:rFonts w:ascii="Times New Roman"/>
        </w:rPr>
      </w:pPr>
      <w:r>
        <w:rPr>
          <w:rFonts w:ascii="Times New Roman"/>
        </w:rPr>
        <w:t>对增量成本效益的简要分析。</w:t>
      </w:r>
    </w:p>
    <w:p w14:paraId="2A4AC455">
      <w:pPr>
        <w:pStyle w:val="165"/>
        <w:rPr>
          <w:rFonts w:ascii="Times New Roman"/>
        </w:rPr>
      </w:pPr>
      <w:r>
        <w:rPr>
          <w:rFonts w:ascii="Times New Roman"/>
        </w:rPr>
        <w:t>鼓励对增量效益显著的技术措施进行全寿命期经济分析，综合考量其在运营阶段产生的节能、节水、节材、降耗等效益。</w:t>
      </w:r>
    </w:p>
    <w:p w14:paraId="115AC2EE">
      <w:pPr>
        <w:pStyle w:val="105"/>
        <w:spacing w:before="120" w:after="120"/>
        <w:rPr>
          <w:rFonts w:ascii="Times New Roman"/>
        </w:rPr>
      </w:pPr>
      <w:r>
        <w:rPr>
          <w:rFonts w:ascii="Times New Roman"/>
        </w:rPr>
        <w:t>动态管理</w:t>
      </w:r>
    </w:p>
    <w:p w14:paraId="61F4D3F7">
      <w:pPr>
        <w:pStyle w:val="165"/>
        <w:rPr>
          <w:rFonts w:ascii="Times New Roman"/>
        </w:rPr>
      </w:pPr>
      <w:r>
        <w:rPr>
          <w:rFonts w:ascii="Times New Roman"/>
        </w:rPr>
        <w:t>建设、设计、造价咨询等单位应注重绿色专项费用数据的收集、整理与分析，逐步建立和完善绿色建筑造价数据库。</w:t>
      </w:r>
    </w:p>
    <w:p w14:paraId="08748AB8">
      <w:pPr>
        <w:pStyle w:val="165"/>
        <w:rPr>
          <w:rFonts w:ascii="Times New Roman"/>
        </w:rPr>
      </w:pPr>
      <w:r>
        <w:rPr>
          <w:rFonts w:ascii="Times New Roman"/>
        </w:rPr>
        <w:t>数据库内容宜包括绿色建材设备市场价格、不同技术措施的增量成本指标、绿色咨询与认证费用等信息。</w:t>
      </w:r>
    </w:p>
    <w:p w14:paraId="79FA5C1A">
      <w:pPr>
        <w:pStyle w:val="165"/>
        <w:rPr>
          <w:rFonts w:ascii="Times New Roman"/>
        </w:rPr>
      </w:pPr>
      <w:r>
        <w:rPr>
          <w:rFonts w:ascii="Times New Roman"/>
        </w:rPr>
        <w:t>绿色专项费用的确定应实行动态管理，随市场价格变化、技术发展进步和政策调整而及时更新计价依据。</w:t>
      </w:r>
    </w:p>
    <w:p w14:paraId="14AC588B">
      <w:pPr>
        <w:pStyle w:val="104"/>
        <w:spacing w:before="240" w:after="240"/>
        <w:rPr>
          <w:rFonts w:ascii="Times New Roman"/>
        </w:rPr>
      </w:pPr>
      <w:bookmarkStart w:id="61" w:name="_Toc208244472"/>
      <w:bookmarkStart w:id="62" w:name="_Toc208240942"/>
      <w:r>
        <w:rPr>
          <w:rFonts w:ascii="Times New Roman"/>
        </w:rPr>
        <w:t>造价管理</w:t>
      </w:r>
      <w:bookmarkEnd w:id="61"/>
      <w:bookmarkEnd w:id="62"/>
    </w:p>
    <w:p w14:paraId="32CD9328">
      <w:pPr>
        <w:pStyle w:val="105"/>
        <w:spacing w:before="120" w:after="120"/>
        <w:rPr>
          <w:rFonts w:ascii="Times New Roman"/>
        </w:rPr>
      </w:pPr>
      <w:r>
        <w:rPr>
          <w:rFonts w:hint="eastAsia" w:ascii="Times New Roman"/>
        </w:rPr>
        <w:t>基本要求</w:t>
      </w:r>
    </w:p>
    <w:p w14:paraId="13932406">
      <w:pPr>
        <w:pStyle w:val="165"/>
        <w:rPr>
          <w:rFonts w:ascii="Times New Roman"/>
        </w:rPr>
      </w:pPr>
      <w:r>
        <w:rPr>
          <w:rFonts w:ascii="Times New Roman"/>
        </w:rPr>
        <w:t>绿色建筑工程项目应实行全过程、全方位、动态化的造价控制与管理，核心目标是确保项目投资效益与绿色建筑性能目标的共同实现。</w:t>
      </w:r>
    </w:p>
    <w:p w14:paraId="0ED9C064">
      <w:pPr>
        <w:pStyle w:val="165"/>
        <w:rPr>
          <w:rFonts w:ascii="Times New Roman"/>
        </w:rPr>
      </w:pPr>
      <w:r>
        <w:rPr>
          <w:rFonts w:ascii="Times New Roman"/>
        </w:rPr>
        <w:t>造价控制与管理应建立以投资估算为目标、设计概算为限额、施工图预算为基础、合同价为约束、工程支付与结算为执行的闭环控制体系。</w:t>
      </w:r>
    </w:p>
    <w:p w14:paraId="52B6775F">
      <w:pPr>
        <w:pStyle w:val="165"/>
        <w:rPr>
          <w:rFonts w:ascii="Times New Roman"/>
        </w:rPr>
      </w:pPr>
      <w:r>
        <w:rPr>
          <w:rFonts w:ascii="Times New Roman"/>
        </w:rPr>
        <w:t>绿色建筑专项费用应作为造价控制与管理的重点对象，实行专项计划、专项跟踪、专项分析。</w:t>
      </w:r>
    </w:p>
    <w:p w14:paraId="3D0E5672">
      <w:pPr>
        <w:pStyle w:val="105"/>
        <w:spacing w:before="120" w:after="120"/>
        <w:rPr>
          <w:rFonts w:ascii="Times New Roman"/>
        </w:rPr>
      </w:pPr>
      <w:r>
        <w:rPr>
          <w:rFonts w:ascii="Times New Roman"/>
        </w:rPr>
        <w:t>各阶段控制要点</w:t>
      </w:r>
    </w:p>
    <w:p w14:paraId="6A173292">
      <w:pPr>
        <w:pStyle w:val="65"/>
        <w:spacing w:before="120" w:after="120"/>
        <w:rPr>
          <w:rFonts w:ascii="Times New Roman"/>
        </w:rPr>
      </w:pPr>
      <w:r>
        <w:rPr>
          <w:rFonts w:ascii="Times New Roman"/>
        </w:rPr>
        <w:t>决策与设计阶段控制</w:t>
      </w:r>
    </w:p>
    <w:p w14:paraId="16FBFF1B">
      <w:pPr>
        <w:pStyle w:val="164"/>
        <w:rPr>
          <w:rFonts w:ascii="Times New Roman"/>
        </w:rPr>
      </w:pPr>
      <w:r>
        <w:rPr>
          <w:rFonts w:ascii="Times New Roman"/>
        </w:rPr>
        <w:t>项目决策阶段确定的投资估算，应是整个项目造价控制的最高限额，不应突破。</w:t>
      </w:r>
    </w:p>
    <w:p w14:paraId="5C767025">
      <w:pPr>
        <w:pStyle w:val="164"/>
        <w:rPr>
          <w:rFonts w:ascii="Times New Roman"/>
        </w:rPr>
      </w:pPr>
      <w:r>
        <w:rPr>
          <w:rFonts w:ascii="Times New Roman"/>
        </w:rPr>
        <w:t>推行限额设计。建设单位应将投资估算及绿色建筑目标分解至各设计单位、各专业，要求其在保证绿色性能的前提下进行设计，并使初步设计概算控制在投资估算之内。</w:t>
      </w:r>
    </w:p>
    <w:p w14:paraId="46B92444">
      <w:pPr>
        <w:pStyle w:val="164"/>
        <w:rPr>
          <w:rFonts w:ascii="Times New Roman"/>
        </w:rPr>
      </w:pPr>
      <w:r>
        <w:rPr>
          <w:rFonts w:ascii="Times New Roman"/>
        </w:rPr>
        <w:t>应强化设计阶段的技术经济论证与多方案比选。通过价值工程分析，寻求绿色建筑性能、工程质量、建造成本与运营成本之间的最佳平衡点，避免过度设计或性能不足。</w:t>
      </w:r>
    </w:p>
    <w:p w14:paraId="47B122F6">
      <w:pPr>
        <w:pStyle w:val="164"/>
        <w:rPr>
          <w:rFonts w:ascii="Times New Roman"/>
        </w:rPr>
      </w:pPr>
      <w:r>
        <w:rPr>
          <w:rFonts w:ascii="Times New Roman"/>
        </w:rPr>
        <w:t>设计概算及施工图预算应进行详细审查，重点审查绿色技术方案的经济性、绿色专项费用计取的合理性与完整性。</w:t>
      </w:r>
    </w:p>
    <w:p w14:paraId="71972489">
      <w:pPr>
        <w:pStyle w:val="65"/>
        <w:spacing w:before="120" w:after="120"/>
        <w:rPr>
          <w:rFonts w:ascii="Times New Roman"/>
        </w:rPr>
      </w:pPr>
      <w:r>
        <w:rPr>
          <w:rFonts w:ascii="Times New Roman"/>
        </w:rPr>
        <w:t>合同订立阶段控制</w:t>
      </w:r>
    </w:p>
    <w:p w14:paraId="4E618E8F">
      <w:pPr>
        <w:pStyle w:val="164"/>
        <w:rPr>
          <w:rFonts w:ascii="Times New Roman"/>
        </w:rPr>
      </w:pPr>
      <w:r>
        <w:rPr>
          <w:rFonts w:ascii="Times New Roman"/>
        </w:rPr>
        <w:t>招标文件中应清晰、无歧义地约定绿色建筑的技术要求、验收标准及履约责任，从源头上减少后续变更和索赔的风险。</w:t>
      </w:r>
    </w:p>
    <w:p w14:paraId="0FA6E848">
      <w:pPr>
        <w:pStyle w:val="164"/>
        <w:rPr>
          <w:rFonts w:ascii="Times New Roman"/>
        </w:rPr>
      </w:pPr>
      <w:r>
        <w:rPr>
          <w:rFonts w:ascii="Times New Roman"/>
        </w:rPr>
        <w:t>招标控制</w:t>
      </w:r>
      <w:r>
        <w:rPr>
          <w:rFonts w:hint="eastAsia" w:ascii="Times New Roman"/>
        </w:rPr>
        <w:t>报价</w:t>
      </w:r>
      <w:r>
        <w:rPr>
          <w:rFonts w:ascii="Times New Roman"/>
        </w:rPr>
        <w:t>应准确反映绿色建筑内容，其编制质量是防止结算超预算的关键。</w:t>
      </w:r>
    </w:p>
    <w:p w14:paraId="1129CDF4">
      <w:pPr>
        <w:pStyle w:val="164"/>
        <w:rPr>
          <w:rFonts w:ascii="Times New Roman"/>
        </w:rPr>
      </w:pPr>
      <w:r>
        <w:rPr>
          <w:rFonts w:ascii="Times New Roman"/>
        </w:rPr>
        <w:t>合同条款应设立专项条款，明确约定：</w:t>
      </w:r>
    </w:p>
    <w:p w14:paraId="0BCEBB2C">
      <w:pPr>
        <w:pStyle w:val="132"/>
        <w:rPr>
          <w:rFonts w:ascii="Times New Roman"/>
        </w:rPr>
      </w:pPr>
      <w:r>
        <w:rPr>
          <w:rFonts w:ascii="Times New Roman"/>
        </w:rPr>
        <w:t>绿色专项费用的内容、计价方式与调整方法；</w:t>
      </w:r>
    </w:p>
    <w:p w14:paraId="14EF3CF0">
      <w:pPr>
        <w:pStyle w:val="132"/>
        <w:rPr>
          <w:rFonts w:ascii="Times New Roman"/>
        </w:rPr>
      </w:pPr>
      <w:r>
        <w:rPr>
          <w:rFonts w:ascii="Times New Roman"/>
        </w:rPr>
        <w:t>绿色建筑性能指标的验收标准、检测方法与程序；</w:t>
      </w:r>
    </w:p>
    <w:p w14:paraId="39016E46">
      <w:pPr>
        <w:pStyle w:val="132"/>
        <w:rPr>
          <w:rFonts w:ascii="Times New Roman"/>
        </w:rPr>
      </w:pPr>
      <w:r>
        <w:rPr>
          <w:rFonts w:ascii="Times New Roman"/>
        </w:rPr>
        <w:t>绿色施工措施的检查、验收与支付条件；</w:t>
      </w:r>
    </w:p>
    <w:p w14:paraId="06F037EB">
      <w:pPr>
        <w:pStyle w:val="132"/>
        <w:rPr>
          <w:rFonts w:ascii="Times New Roman"/>
        </w:rPr>
      </w:pPr>
      <w:r>
        <w:rPr>
          <w:rFonts w:ascii="Times New Roman"/>
        </w:rPr>
        <w:t>对未达到约定绿色性能指标的违约处理办法；</w:t>
      </w:r>
    </w:p>
    <w:p w14:paraId="489DE699">
      <w:pPr>
        <w:pStyle w:val="132"/>
        <w:rPr>
          <w:rFonts w:ascii="Times New Roman"/>
        </w:rPr>
      </w:pPr>
      <w:r>
        <w:rPr>
          <w:rFonts w:ascii="Times New Roman"/>
        </w:rPr>
        <w:t>对实现或超越绿色性能目标的奖励机制。</w:t>
      </w:r>
    </w:p>
    <w:p w14:paraId="6CA44635">
      <w:pPr>
        <w:pStyle w:val="65"/>
        <w:spacing w:before="120" w:after="120"/>
        <w:rPr>
          <w:rFonts w:ascii="Times New Roman"/>
        </w:rPr>
      </w:pPr>
      <w:r>
        <w:rPr>
          <w:rFonts w:ascii="Times New Roman"/>
        </w:rPr>
        <w:t>施工阶段控制</w:t>
      </w:r>
    </w:p>
    <w:p w14:paraId="75265C28">
      <w:pPr>
        <w:pStyle w:val="164"/>
        <w:rPr>
          <w:rFonts w:ascii="Times New Roman"/>
        </w:rPr>
      </w:pPr>
      <w:r>
        <w:rPr>
          <w:rFonts w:ascii="Times New Roman"/>
        </w:rPr>
        <w:t>应建立动态的造价监控机制，定期将实际发生成本与计划目标成本进行对比分析，及时发现偏差并预警。</w:t>
      </w:r>
    </w:p>
    <w:p w14:paraId="5BAA62F1">
      <w:pPr>
        <w:pStyle w:val="164"/>
        <w:rPr>
          <w:rFonts w:ascii="Times New Roman"/>
        </w:rPr>
      </w:pPr>
      <w:r>
        <w:rPr>
          <w:rFonts w:ascii="Times New Roman"/>
        </w:rPr>
        <w:t>工程变更与签证管理是此阶段控制的重点。任何涉及绿色建筑性能、标准、方案的变更，均应进行技术经济综合论证，评估其对绿色目标等级和造价的双重影响，并履行严格的审批程序。严禁通过变更降低绿色建筑标准。</w:t>
      </w:r>
    </w:p>
    <w:p w14:paraId="32A28D7F">
      <w:pPr>
        <w:pStyle w:val="164"/>
        <w:rPr>
          <w:rFonts w:ascii="Times New Roman"/>
        </w:rPr>
      </w:pPr>
      <w:r>
        <w:rPr>
          <w:rFonts w:ascii="Times New Roman"/>
        </w:rPr>
        <w:t>工程进度款的支付宜与绿色施工措施的实施进度、绿色建筑部品部件的进场验收情况挂钩。支付申请应附有证明绿色措施已按要求实施的支撑材料。</w:t>
      </w:r>
    </w:p>
    <w:p w14:paraId="211B01BA">
      <w:pPr>
        <w:pStyle w:val="164"/>
        <w:rPr>
          <w:rFonts w:ascii="Times New Roman"/>
        </w:rPr>
      </w:pPr>
      <w:r>
        <w:rPr>
          <w:rFonts w:ascii="Times New Roman"/>
        </w:rPr>
        <w:t>施工单位应提交详细的绿色施工方案及专项费用使用计划，并严格按照方案施工，建设单位及监理单位应负责监督落实。</w:t>
      </w:r>
    </w:p>
    <w:p w14:paraId="241E0614">
      <w:pPr>
        <w:pStyle w:val="65"/>
        <w:spacing w:before="120" w:after="120"/>
        <w:rPr>
          <w:rFonts w:ascii="Times New Roman"/>
        </w:rPr>
      </w:pPr>
      <w:r>
        <w:rPr>
          <w:rFonts w:ascii="Times New Roman"/>
        </w:rPr>
        <w:t>竣工结算阶段控制</w:t>
      </w:r>
    </w:p>
    <w:p w14:paraId="2EDBE803">
      <w:pPr>
        <w:pStyle w:val="164"/>
        <w:rPr>
          <w:rFonts w:ascii="Times New Roman"/>
        </w:rPr>
      </w:pPr>
      <w:r>
        <w:rPr>
          <w:rFonts w:ascii="Times New Roman"/>
        </w:rPr>
        <w:t>竣工结算应严格执行合同约定。对绿色专项费用的结算，应依据绿色建筑评价相关验收合格文件、专项检测报告等证明性材料。</w:t>
      </w:r>
    </w:p>
    <w:p w14:paraId="45607E27">
      <w:pPr>
        <w:pStyle w:val="164"/>
        <w:rPr>
          <w:rFonts w:ascii="Times New Roman"/>
        </w:rPr>
      </w:pPr>
      <w:r>
        <w:rPr>
          <w:rFonts w:ascii="Times New Roman"/>
        </w:rPr>
        <w:t>结算审核应重点核查绿色建筑相关措施的完成工程量真实性、措施实施的有效性以及价格计取的合规性。对于未实施或未达到要求的项目，应相应扣减费用。</w:t>
      </w:r>
    </w:p>
    <w:p w14:paraId="21D46773">
      <w:pPr>
        <w:pStyle w:val="164"/>
        <w:rPr>
          <w:rFonts w:ascii="Times New Roman"/>
        </w:rPr>
      </w:pPr>
      <w:r>
        <w:rPr>
          <w:rFonts w:ascii="Times New Roman"/>
        </w:rPr>
        <w:t>结算完成后，应形成最终的绿色建筑增量成本分析报告，并与估算、概算进行对比，总结成本控制经验，为后续项目提供数据支持。</w:t>
      </w:r>
    </w:p>
    <w:p w14:paraId="6C9172FA">
      <w:pPr>
        <w:pStyle w:val="105"/>
        <w:spacing w:before="120" w:after="120"/>
        <w:rPr>
          <w:rFonts w:ascii="Times New Roman"/>
        </w:rPr>
      </w:pPr>
      <w:r>
        <w:rPr>
          <w:rFonts w:ascii="Times New Roman"/>
        </w:rPr>
        <w:t>管理措施</w:t>
      </w:r>
    </w:p>
    <w:p w14:paraId="22F4D69C">
      <w:pPr>
        <w:pStyle w:val="165"/>
        <w:rPr>
          <w:rFonts w:ascii="Times New Roman"/>
        </w:rPr>
      </w:pPr>
      <w:r>
        <w:rPr>
          <w:rFonts w:ascii="Times New Roman"/>
        </w:rPr>
        <w:t>应建立项目全过程造价咨询机制，委托具备绿色建筑专业能力的造价咨询单位，从早期介入，提供连续、系统的造价管理服务。</w:t>
      </w:r>
    </w:p>
    <w:p w14:paraId="25D9E6D4">
      <w:pPr>
        <w:pStyle w:val="165"/>
        <w:rPr>
          <w:rFonts w:ascii="Times New Roman"/>
        </w:rPr>
      </w:pPr>
      <w:r>
        <w:rPr>
          <w:rFonts w:ascii="Times New Roman"/>
        </w:rPr>
        <w:t>宜建立信息化管理平台，利用BIM技术整合设计、造价、施工信息，实现工程量自动计算、成本数据实时共享与动态查询，提升造价控制的精确度和效率。</w:t>
      </w:r>
    </w:p>
    <w:p w14:paraId="337929C9">
      <w:pPr>
        <w:pStyle w:val="165"/>
        <w:rPr>
          <w:rFonts w:ascii="Times New Roman"/>
        </w:rPr>
      </w:pPr>
      <w:r>
        <w:rPr>
          <w:rFonts w:ascii="Times New Roman"/>
        </w:rPr>
        <w:t>应建立设计、施工、造价等多方协同的工作机制。定期召开造价协调会，沟通绿色技术实施与成本情况，共同解决造价与技术之间的冲突问题。</w:t>
      </w:r>
    </w:p>
    <w:p w14:paraId="4A44C488">
      <w:pPr>
        <w:pStyle w:val="165"/>
        <w:rPr>
          <w:rFonts w:ascii="Times New Roman"/>
        </w:rPr>
      </w:pPr>
      <w:r>
        <w:rPr>
          <w:rFonts w:ascii="Times New Roman"/>
        </w:rPr>
        <w:t>应加强绿色建材与设备的价格信息管理，建立询价、</w:t>
      </w:r>
      <w:r>
        <w:rPr>
          <w:rFonts w:hint="eastAsia" w:ascii="Times New Roman"/>
        </w:rPr>
        <w:t>价格</w:t>
      </w:r>
      <w:r>
        <w:rPr>
          <w:rFonts w:ascii="Times New Roman"/>
        </w:rPr>
        <w:t>机制，确保价格信息准确反映市场状况。</w:t>
      </w:r>
    </w:p>
    <w:p w14:paraId="4B347E4E">
      <w:pPr>
        <w:pStyle w:val="165"/>
        <w:rPr>
          <w:rFonts w:ascii="Times New Roman"/>
        </w:rPr>
      </w:pPr>
      <w:r>
        <w:rPr>
          <w:rFonts w:ascii="Times New Roman"/>
        </w:rPr>
        <w:t>鼓励进行全生命期成本分析，对重大绿色技术选项进行建造成本与未来运营维护成本的综合测算，指导投资决策，实现项目全寿命期的经济性最优。</w:t>
      </w:r>
    </w:p>
    <w:p w14:paraId="37DE5B91">
      <w:pPr>
        <w:pStyle w:val="104"/>
        <w:spacing w:before="240" w:after="240"/>
        <w:rPr>
          <w:rFonts w:ascii="Times New Roman"/>
        </w:rPr>
      </w:pPr>
      <w:bookmarkStart w:id="63" w:name="_Toc208244473"/>
      <w:bookmarkStart w:id="64" w:name="_Toc208240943"/>
      <w:r>
        <w:rPr>
          <w:rFonts w:ascii="Times New Roman"/>
        </w:rPr>
        <w:t>信息管理</w:t>
      </w:r>
      <w:bookmarkEnd w:id="63"/>
      <w:bookmarkEnd w:id="64"/>
    </w:p>
    <w:p w14:paraId="686B8C5C">
      <w:pPr>
        <w:pStyle w:val="105"/>
        <w:spacing w:before="120" w:after="120"/>
        <w:rPr>
          <w:rFonts w:ascii="Times New Roman"/>
        </w:rPr>
      </w:pPr>
      <w:r>
        <w:rPr>
          <w:rFonts w:hint="eastAsia" w:ascii="Times New Roman"/>
        </w:rPr>
        <w:t>基本要求</w:t>
      </w:r>
    </w:p>
    <w:p w14:paraId="00F49897">
      <w:pPr>
        <w:pStyle w:val="165"/>
        <w:rPr>
          <w:rFonts w:ascii="Times New Roman"/>
        </w:rPr>
      </w:pPr>
      <w:r>
        <w:rPr>
          <w:rFonts w:ascii="Times New Roman"/>
        </w:rPr>
        <w:t>绿色建筑工程造价信息管理应贯穿项目全寿命期，确保造价数据的真实性、准确性、完整性、连续性和可追溯性。</w:t>
      </w:r>
    </w:p>
    <w:p w14:paraId="428E934D">
      <w:pPr>
        <w:pStyle w:val="165"/>
        <w:rPr>
          <w:rFonts w:ascii="Times New Roman"/>
        </w:rPr>
      </w:pPr>
      <w:r>
        <w:rPr>
          <w:rFonts w:ascii="Times New Roman"/>
        </w:rPr>
        <w:t>应建立与绿色建筑造价编制、确定、控制和评价相适应的信息管理制度，明确信息采集、处理、传递、存储及应用的职责、流程和要求。</w:t>
      </w:r>
    </w:p>
    <w:p w14:paraId="72B5BE86">
      <w:pPr>
        <w:pStyle w:val="165"/>
        <w:rPr>
          <w:rFonts w:ascii="Times New Roman"/>
        </w:rPr>
      </w:pPr>
      <w:r>
        <w:rPr>
          <w:rFonts w:ascii="Times New Roman"/>
        </w:rPr>
        <w:t>鼓励应用先进信息技术，构建数字化、智能化的造价信息管理平台，提升信息处理效率与共享水平，为造价决策提供数据支撑。</w:t>
      </w:r>
    </w:p>
    <w:p w14:paraId="415AFFE8">
      <w:pPr>
        <w:pStyle w:val="105"/>
        <w:spacing w:before="120" w:after="120"/>
        <w:rPr>
          <w:rFonts w:ascii="Times New Roman"/>
        </w:rPr>
      </w:pPr>
      <w:r>
        <w:rPr>
          <w:rFonts w:ascii="Times New Roman"/>
        </w:rPr>
        <w:t>信息内容</w:t>
      </w:r>
    </w:p>
    <w:p w14:paraId="5B185068">
      <w:pPr>
        <w:pStyle w:val="165"/>
        <w:rPr>
          <w:rFonts w:ascii="Times New Roman"/>
        </w:rPr>
      </w:pPr>
      <w:r>
        <w:rPr>
          <w:rFonts w:ascii="Times New Roman"/>
        </w:rPr>
        <w:t>绿色建筑造价信息管理内容应覆盖项目全过程，主要包括：</w:t>
      </w:r>
    </w:p>
    <w:p w14:paraId="4ED1798D">
      <w:pPr>
        <w:pStyle w:val="132"/>
        <w:rPr>
          <w:rFonts w:ascii="Times New Roman"/>
        </w:rPr>
      </w:pPr>
      <w:r>
        <w:rPr>
          <w:rFonts w:ascii="Times New Roman"/>
        </w:rPr>
        <w:t>基础标准信息：</w:t>
      </w:r>
    </w:p>
    <w:p w14:paraId="5530F2E8">
      <w:pPr>
        <w:pStyle w:val="187"/>
        <w:rPr>
          <w:rFonts w:ascii="Times New Roman"/>
        </w:rPr>
      </w:pPr>
      <w:r>
        <w:rPr>
          <w:rFonts w:ascii="Times New Roman"/>
        </w:rPr>
        <w:t>绿色建筑评价标准；</w:t>
      </w:r>
    </w:p>
    <w:p w14:paraId="51E3A292">
      <w:pPr>
        <w:pStyle w:val="187"/>
        <w:rPr>
          <w:rFonts w:ascii="Times New Roman"/>
        </w:rPr>
      </w:pPr>
      <w:r>
        <w:rPr>
          <w:rFonts w:ascii="Times New Roman"/>
        </w:rPr>
        <w:t>工程量清单计价规定；</w:t>
      </w:r>
    </w:p>
    <w:p w14:paraId="24E09149">
      <w:pPr>
        <w:pStyle w:val="187"/>
        <w:rPr>
          <w:rFonts w:ascii="Times New Roman"/>
        </w:rPr>
      </w:pPr>
      <w:r>
        <w:rPr>
          <w:rFonts w:ascii="Times New Roman"/>
        </w:rPr>
        <w:t>定额及其配套规定；</w:t>
      </w:r>
    </w:p>
    <w:p w14:paraId="5632539E">
      <w:pPr>
        <w:pStyle w:val="187"/>
        <w:rPr>
          <w:rFonts w:ascii="Times New Roman"/>
        </w:rPr>
      </w:pPr>
      <w:r>
        <w:rPr>
          <w:rFonts w:ascii="Times New Roman"/>
        </w:rPr>
        <w:t>法律法规；</w:t>
      </w:r>
    </w:p>
    <w:p w14:paraId="63BEB3C8">
      <w:pPr>
        <w:pStyle w:val="187"/>
        <w:rPr>
          <w:rFonts w:ascii="Times New Roman"/>
        </w:rPr>
      </w:pPr>
      <w:r>
        <w:rPr>
          <w:rFonts w:ascii="Times New Roman"/>
        </w:rPr>
        <w:t>政策性调整文件。</w:t>
      </w:r>
    </w:p>
    <w:p w14:paraId="2603E244">
      <w:pPr>
        <w:pStyle w:val="132"/>
        <w:rPr>
          <w:rFonts w:ascii="Times New Roman"/>
        </w:rPr>
      </w:pPr>
      <w:r>
        <w:rPr>
          <w:rFonts w:ascii="Times New Roman"/>
        </w:rPr>
        <w:t>市场价格信息：</w:t>
      </w:r>
    </w:p>
    <w:p w14:paraId="7E0BFFAD">
      <w:pPr>
        <w:pStyle w:val="187"/>
        <w:rPr>
          <w:rFonts w:ascii="Times New Roman"/>
        </w:rPr>
      </w:pPr>
      <w:r>
        <w:rPr>
          <w:rFonts w:ascii="Times New Roman"/>
        </w:rPr>
        <w:t>绿色建材；</w:t>
      </w:r>
    </w:p>
    <w:p w14:paraId="2D5C79CC">
      <w:pPr>
        <w:pStyle w:val="187"/>
        <w:rPr>
          <w:rFonts w:ascii="Times New Roman"/>
        </w:rPr>
      </w:pPr>
      <w:r>
        <w:rPr>
          <w:rFonts w:ascii="Times New Roman"/>
        </w:rPr>
        <w:t>节能设备；</w:t>
      </w:r>
    </w:p>
    <w:p w14:paraId="4FB95AF4">
      <w:pPr>
        <w:pStyle w:val="187"/>
        <w:rPr>
          <w:rFonts w:ascii="Times New Roman"/>
        </w:rPr>
      </w:pPr>
      <w:r>
        <w:rPr>
          <w:rFonts w:ascii="Times New Roman"/>
        </w:rPr>
        <w:t>节水器具；</w:t>
      </w:r>
    </w:p>
    <w:p w14:paraId="14E3264C">
      <w:pPr>
        <w:pStyle w:val="187"/>
        <w:rPr>
          <w:rFonts w:ascii="Times New Roman"/>
        </w:rPr>
      </w:pPr>
      <w:r>
        <w:rPr>
          <w:rFonts w:ascii="Times New Roman"/>
        </w:rPr>
        <w:t>可再生能源系统；</w:t>
      </w:r>
    </w:p>
    <w:p w14:paraId="6940FB69">
      <w:pPr>
        <w:pStyle w:val="187"/>
        <w:rPr>
          <w:rFonts w:ascii="Times New Roman"/>
        </w:rPr>
      </w:pPr>
      <w:r>
        <w:rPr>
          <w:rFonts w:ascii="Times New Roman"/>
        </w:rPr>
        <w:t>咨询；</w:t>
      </w:r>
    </w:p>
    <w:p w14:paraId="7CF9E81F">
      <w:pPr>
        <w:pStyle w:val="187"/>
        <w:rPr>
          <w:rFonts w:ascii="Times New Roman"/>
        </w:rPr>
      </w:pPr>
      <w:r>
        <w:rPr>
          <w:rFonts w:ascii="Times New Roman"/>
        </w:rPr>
        <w:t>检测；</w:t>
      </w:r>
    </w:p>
    <w:p w14:paraId="1A4AEC91">
      <w:pPr>
        <w:pStyle w:val="187"/>
        <w:rPr>
          <w:rFonts w:ascii="Times New Roman"/>
        </w:rPr>
      </w:pPr>
      <w:r>
        <w:rPr>
          <w:rFonts w:ascii="Times New Roman"/>
        </w:rPr>
        <w:t>认证。</w:t>
      </w:r>
    </w:p>
    <w:p w14:paraId="47624187">
      <w:pPr>
        <w:pStyle w:val="132"/>
        <w:rPr>
          <w:rFonts w:ascii="Times New Roman"/>
        </w:rPr>
      </w:pPr>
      <w:r>
        <w:rPr>
          <w:rFonts w:ascii="Times New Roman"/>
        </w:rPr>
        <w:t>项目特征信息：</w:t>
      </w:r>
    </w:p>
    <w:p w14:paraId="1F78C37E">
      <w:pPr>
        <w:pStyle w:val="187"/>
        <w:rPr>
          <w:rFonts w:ascii="Times New Roman"/>
        </w:rPr>
      </w:pPr>
      <w:r>
        <w:rPr>
          <w:rFonts w:ascii="Times New Roman"/>
        </w:rPr>
        <w:t>项目概况；</w:t>
      </w:r>
    </w:p>
    <w:p w14:paraId="76F07E61">
      <w:pPr>
        <w:pStyle w:val="187"/>
        <w:rPr>
          <w:rFonts w:ascii="Times New Roman"/>
        </w:rPr>
      </w:pPr>
      <w:r>
        <w:rPr>
          <w:rFonts w:ascii="Times New Roman"/>
        </w:rPr>
        <w:t>目标等级；</w:t>
      </w:r>
    </w:p>
    <w:p w14:paraId="032D45A1">
      <w:pPr>
        <w:pStyle w:val="187"/>
        <w:rPr>
          <w:rFonts w:ascii="Times New Roman"/>
        </w:rPr>
      </w:pPr>
      <w:r>
        <w:rPr>
          <w:rFonts w:ascii="Times New Roman"/>
        </w:rPr>
        <w:t>主要技术策略清单；</w:t>
      </w:r>
    </w:p>
    <w:p w14:paraId="7AD4E4A9">
      <w:pPr>
        <w:pStyle w:val="187"/>
        <w:rPr>
          <w:rFonts w:ascii="Times New Roman"/>
        </w:rPr>
      </w:pPr>
      <w:r>
        <w:rPr>
          <w:rFonts w:ascii="Times New Roman"/>
        </w:rPr>
        <w:t>技术经济参数。</w:t>
      </w:r>
    </w:p>
    <w:p w14:paraId="545529EC">
      <w:pPr>
        <w:pStyle w:val="132"/>
        <w:rPr>
          <w:rFonts w:ascii="Times New Roman"/>
        </w:rPr>
      </w:pPr>
      <w:r>
        <w:rPr>
          <w:rFonts w:ascii="Times New Roman"/>
        </w:rPr>
        <w:t xml:space="preserve">各阶段造价成果信息： </w:t>
      </w:r>
    </w:p>
    <w:p w14:paraId="62361D52">
      <w:pPr>
        <w:pStyle w:val="187"/>
        <w:rPr>
          <w:rFonts w:ascii="Times New Roman"/>
        </w:rPr>
      </w:pPr>
      <w:r>
        <w:rPr>
          <w:rFonts w:ascii="Times New Roman"/>
        </w:rPr>
        <w:t>投资估算；</w:t>
      </w:r>
    </w:p>
    <w:p w14:paraId="510FC3C8">
      <w:pPr>
        <w:pStyle w:val="187"/>
        <w:rPr>
          <w:rFonts w:ascii="Times New Roman"/>
        </w:rPr>
      </w:pPr>
      <w:r>
        <w:rPr>
          <w:rFonts w:ascii="Times New Roman"/>
        </w:rPr>
        <w:t>设计概算；</w:t>
      </w:r>
    </w:p>
    <w:p w14:paraId="64D6A632">
      <w:pPr>
        <w:pStyle w:val="187"/>
        <w:rPr>
          <w:rFonts w:ascii="Times New Roman"/>
        </w:rPr>
      </w:pPr>
      <w:r>
        <w:rPr>
          <w:rFonts w:ascii="Times New Roman"/>
        </w:rPr>
        <w:t>施工图预算；</w:t>
      </w:r>
    </w:p>
    <w:p w14:paraId="19B2C480">
      <w:pPr>
        <w:pStyle w:val="187"/>
        <w:rPr>
          <w:rFonts w:ascii="Times New Roman"/>
        </w:rPr>
      </w:pPr>
      <w:r>
        <w:rPr>
          <w:rFonts w:ascii="Times New Roman"/>
        </w:rPr>
        <w:t>招标控制价；</w:t>
      </w:r>
    </w:p>
    <w:p w14:paraId="7A293165">
      <w:pPr>
        <w:pStyle w:val="187"/>
        <w:rPr>
          <w:rFonts w:ascii="Times New Roman"/>
        </w:rPr>
      </w:pPr>
      <w:r>
        <w:rPr>
          <w:rFonts w:ascii="Times New Roman"/>
        </w:rPr>
        <w:t>投标报价；</w:t>
      </w:r>
    </w:p>
    <w:p w14:paraId="1958FA29">
      <w:pPr>
        <w:pStyle w:val="187"/>
        <w:rPr>
          <w:rFonts w:ascii="Times New Roman"/>
        </w:rPr>
      </w:pPr>
      <w:r>
        <w:rPr>
          <w:rFonts w:ascii="Times New Roman"/>
        </w:rPr>
        <w:t>合同价；</w:t>
      </w:r>
    </w:p>
    <w:p w14:paraId="0581C426">
      <w:pPr>
        <w:pStyle w:val="187"/>
        <w:rPr>
          <w:rFonts w:ascii="Times New Roman"/>
        </w:rPr>
      </w:pPr>
      <w:r>
        <w:rPr>
          <w:rFonts w:ascii="Times New Roman"/>
        </w:rPr>
        <w:t>竣工结算。</w:t>
      </w:r>
    </w:p>
    <w:p w14:paraId="5E4EA3B2">
      <w:pPr>
        <w:pStyle w:val="132"/>
        <w:rPr>
          <w:rFonts w:ascii="Times New Roman"/>
        </w:rPr>
      </w:pPr>
      <w:r>
        <w:rPr>
          <w:rFonts w:ascii="Times New Roman"/>
        </w:rPr>
        <w:t>指标数据信息：</w:t>
      </w:r>
    </w:p>
    <w:p w14:paraId="09EABEDB">
      <w:pPr>
        <w:pStyle w:val="187"/>
        <w:rPr>
          <w:rFonts w:ascii="Times New Roman"/>
        </w:rPr>
      </w:pPr>
      <w:r>
        <w:rPr>
          <w:rFonts w:ascii="Times New Roman"/>
        </w:rPr>
        <w:t>不同建筑类型；</w:t>
      </w:r>
    </w:p>
    <w:p w14:paraId="0DA88D36">
      <w:pPr>
        <w:pStyle w:val="187"/>
        <w:rPr>
          <w:rFonts w:ascii="Times New Roman"/>
        </w:rPr>
      </w:pPr>
      <w:r>
        <w:rPr>
          <w:rFonts w:ascii="Times New Roman"/>
        </w:rPr>
        <w:t>不同绿色星级的单位造价指标；</w:t>
      </w:r>
    </w:p>
    <w:p w14:paraId="163E0632">
      <w:pPr>
        <w:pStyle w:val="187"/>
        <w:rPr>
          <w:rFonts w:ascii="Times New Roman"/>
        </w:rPr>
      </w:pPr>
      <w:r>
        <w:rPr>
          <w:rFonts w:ascii="Times New Roman"/>
        </w:rPr>
        <w:t>单位面积增量成本指标；</w:t>
      </w:r>
    </w:p>
    <w:p w14:paraId="64805AC4">
      <w:pPr>
        <w:pStyle w:val="187"/>
        <w:rPr>
          <w:rFonts w:ascii="Times New Roman"/>
        </w:rPr>
      </w:pPr>
      <w:r>
        <w:rPr>
          <w:rFonts w:ascii="Times New Roman"/>
        </w:rPr>
        <w:t>专项费用占总造价的比率。</w:t>
      </w:r>
    </w:p>
    <w:p w14:paraId="2B2710A8">
      <w:pPr>
        <w:pStyle w:val="165"/>
        <w:rPr>
          <w:rFonts w:ascii="Times New Roman"/>
        </w:rPr>
      </w:pPr>
      <w:r>
        <w:rPr>
          <w:rFonts w:ascii="Times New Roman"/>
        </w:rPr>
        <w:t>信息宜按项目阶段、专业类型、绿色技术类别等进行多维分类与编码，便于检索、统计与分析。</w:t>
      </w:r>
    </w:p>
    <w:p w14:paraId="14B6D5C0">
      <w:pPr>
        <w:pStyle w:val="105"/>
        <w:spacing w:before="120" w:after="120"/>
        <w:rPr>
          <w:rFonts w:ascii="Times New Roman"/>
        </w:rPr>
      </w:pPr>
      <w:r>
        <w:rPr>
          <w:rFonts w:ascii="Times New Roman"/>
        </w:rPr>
        <w:t>过程信息管理</w:t>
      </w:r>
    </w:p>
    <w:p w14:paraId="4532DCA0">
      <w:pPr>
        <w:pStyle w:val="65"/>
        <w:spacing w:before="120" w:after="120"/>
        <w:rPr>
          <w:rFonts w:ascii="Times New Roman"/>
        </w:rPr>
      </w:pPr>
      <w:r>
        <w:rPr>
          <w:rFonts w:ascii="Times New Roman"/>
        </w:rPr>
        <w:t>决策与设计阶段</w:t>
      </w:r>
    </w:p>
    <w:p w14:paraId="4B46B09A">
      <w:pPr>
        <w:pStyle w:val="56"/>
        <w:ind w:firstLine="420"/>
        <w:rPr>
          <w:rFonts w:ascii="Times New Roman"/>
        </w:rPr>
      </w:pPr>
      <w:r>
        <w:rPr>
          <w:rFonts w:ascii="Times New Roman"/>
        </w:rPr>
        <w:t>应重点收集和存储绿色建筑方案比选的技术经济论证资料、增量成本估算依据、概预算编制说明等信息。</w:t>
      </w:r>
    </w:p>
    <w:p w14:paraId="71F1F2E9">
      <w:pPr>
        <w:pStyle w:val="65"/>
        <w:spacing w:before="120" w:after="120"/>
        <w:rPr>
          <w:rFonts w:ascii="Times New Roman"/>
        </w:rPr>
      </w:pPr>
      <w:r>
        <w:rPr>
          <w:rFonts w:ascii="Times New Roman"/>
        </w:rPr>
        <w:t>招投标阶段</w:t>
      </w:r>
    </w:p>
    <w:p w14:paraId="6A00D538">
      <w:pPr>
        <w:pStyle w:val="56"/>
        <w:ind w:firstLine="420"/>
        <w:rPr>
          <w:rFonts w:ascii="Times New Roman"/>
        </w:rPr>
      </w:pPr>
      <w:r>
        <w:rPr>
          <w:rFonts w:ascii="Times New Roman"/>
        </w:rPr>
        <w:t>应完整保存招标工程量清单及绿色建筑措施项目清单、招标控制价编制成果、投标报价文件、评标记录及合同文件，重点关注绿色技术要求的响应情况与价格构成。</w:t>
      </w:r>
    </w:p>
    <w:p w14:paraId="3D00B9DC">
      <w:pPr>
        <w:pStyle w:val="65"/>
        <w:spacing w:before="120" w:after="120"/>
        <w:rPr>
          <w:rFonts w:ascii="Times New Roman"/>
        </w:rPr>
      </w:pPr>
      <w:r>
        <w:rPr>
          <w:rFonts w:ascii="Times New Roman"/>
        </w:rPr>
        <w:t>施工阶段</w:t>
      </w:r>
    </w:p>
    <w:p w14:paraId="5FE6F1B4">
      <w:pPr>
        <w:pStyle w:val="56"/>
        <w:ind w:firstLine="420"/>
        <w:rPr>
          <w:rFonts w:ascii="Times New Roman"/>
        </w:rPr>
      </w:pPr>
      <w:r>
        <w:rPr>
          <w:rFonts w:ascii="Times New Roman"/>
        </w:rPr>
        <w:t>应动态收集和更新与绿色造价相关的信息，包括：</w:t>
      </w:r>
    </w:p>
    <w:p w14:paraId="39D37CDA">
      <w:pPr>
        <w:pStyle w:val="132"/>
        <w:rPr>
          <w:rFonts w:ascii="Times New Roman"/>
        </w:rPr>
      </w:pPr>
      <w:r>
        <w:rPr>
          <w:rFonts w:ascii="Times New Roman"/>
        </w:rPr>
        <w:t>绿色建材与设备的进场验收、报审报验及价格确认资料；</w:t>
      </w:r>
    </w:p>
    <w:p w14:paraId="016997B5">
      <w:pPr>
        <w:pStyle w:val="132"/>
        <w:rPr>
          <w:rFonts w:ascii="Times New Roman"/>
        </w:rPr>
      </w:pPr>
      <w:r>
        <w:rPr>
          <w:rFonts w:ascii="Times New Roman"/>
        </w:rPr>
        <w:t>绿色施工措施的实施记录、影像资料及费用台账；</w:t>
      </w:r>
    </w:p>
    <w:p w14:paraId="4AEDAC6E">
      <w:pPr>
        <w:pStyle w:val="132"/>
        <w:rPr>
          <w:rFonts w:ascii="Times New Roman"/>
        </w:rPr>
      </w:pPr>
      <w:r>
        <w:rPr>
          <w:rFonts w:ascii="Times New Roman"/>
        </w:rPr>
        <w:t>涉及绿色建筑目标的工程变更、现场签证及其造价调整文件；</w:t>
      </w:r>
    </w:p>
    <w:p w14:paraId="1AFCE237">
      <w:pPr>
        <w:pStyle w:val="132"/>
        <w:rPr>
          <w:rFonts w:ascii="Times New Roman"/>
        </w:rPr>
      </w:pPr>
      <w:r>
        <w:rPr>
          <w:rFonts w:ascii="Times New Roman"/>
        </w:rPr>
        <w:t>工程款支付申请与审核记录，特别是绿色措施费用的支付凭证。</w:t>
      </w:r>
    </w:p>
    <w:p w14:paraId="727F0649">
      <w:pPr>
        <w:pStyle w:val="65"/>
        <w:spacing w:before="120" w:after="120"/>
        <w:rPr>
          <w:rFonts w:ascii="Times New Roman"/>
        </w:rPr>
      </w:pPr>
      <w:r>
        <w:rPr>
          <w:rFonts w:ascii="Times New Roman"/>
        </w:rPr>
        <w:t>竣工结算阶段</w:t>
      </w:r>
    </w:p>
    <w:p w14:paraId="0E21021A">
      <w:pPr>
        <w:pStyle w:val="56"/>
        <w:ind w:firstLine="420"/>
        <w:rPr>
          <w:rFonts w:ascii="Times New Roman"/>
        </w:rPr>
      </w:pPr>
      <w:r>
        <w:rPr>
          <w:rFonts w:ascii="Times New Roman"/>
        </w:rPr>
        <w:t>应全面归档竣工图纸、绿色建筑竣工验收报告、专项检测报告、结算书及最终的增量成本分析报告，形成完整的项目造价信息链。</w:t>
      </w:r>
    </w:p>
    <w:p w14:paraId="235A625C">
      <w:pPr>
        <w:pStyle w:val="105"/>
        <w:spacing w:before="120" w:after="120"/>
        <w:rPr>
          <w:rFonts w:ascii="Times New Roman"/>
        </w:rPr>
      </w:pPr>
      <w:r>
        <w:rPr>
          <w:rFonts w:ascii="Times New Roman"/>
        </w:rPr>
        <w:t>数据库管理</w:t>
      </w:r>
    </w:p>
    <w:p w14:paraId="5D7C1EC3">
      <w:pPr>
        <w:pStyle w:val="165"/>
        <w:rPr>
          <w:rFonts w:ascii="Times New Roman"/>
        </w:rPr>
      </w:pPr>
      <w:r>
        <w:rPr>
          <w:rFonts w:ascii="Times New Roman"/>
        </w:rPr>
        <w:t>建设、造价咨询、行业协会等相关单位宜建立绿色建筑工程造价数据库，系统积累和管理绿色造价信息。</w:t>
      </w:r>
    </w:p>
    <w:p w14:paraId="7DB519A5">
      <w:pPr>
        <w:pStyle w:val="165"/>
        <w:rPr>
          <w:rFonts w:ascii="Times New Roman"/>
        </w:rPr>
      </w:pPr>
      <w:r>
        <w:rPr>
          <w:rFonts w:ascii="Times New Roman"/>
        </w:rPr>
        <w:t>数据库建设应统一数据标准，规范数据格式，确保数据的规范性与可比性。数据采集宜采用标准化模板。</w:t>
      </w:r>
    </w:p>
    <w:p w14:paraId="27A5C3FB">
      <w:pPr>
        <w:pStyle w:val="165"/>
        <w:rPr>
          <w:rFonts w:ascii="Times New Roman"/>
        </w:rPr>
      </w:pPr>
      <w:r>
        <w:rPr>
          <w:rFonts w:ascii="Times New Roman"/>
        </w:rPr>
        <w:t>应对入库数据进行清洗、审核与校验，保证数据质量。宜建立数据更新与维护机制，定期对过期、失效数据进行标识或剔除。</w:t>
      </w:r>
    </w:p>
    <w:p w14:paraId="1D5C4389">
      <w:pPr>
        <w:pStyle w:val="165"/>
        <w:rPr>
          <w:rFonts w:ascii="Times New Roman"/>
        </w:rPr>
      </w:pPr>
      <w:r>
        <w:rPr>
          <w:rFonts w:ascii="Times New Roman"/>
        </w:rPr>
        <w:t>应开发数据库的应用功能，支持数据的多维度查询、对比分析与指标生成，为新建项目的投资决策、造价编制与控制提供参考依据。</w:t>
      </w:r>
    </w:p>
    <w:p w14:paraId="77979FF4">
      <w:pPr>
        <w:pStyle w:val="105"/>
        <w:spacing w:before="120" w:after="120"/>
        <w:rPr>
          <w:rFonts w:ascii="Times New Roman"/>
        </w:rPr>
      </w:pPr>
      <w:r>
        <w:rPr>
          <w:rFonts w:ascii="Times New Roman"/>
        </w:rPr>
        <w:t>信息技术应用</w:t>
      </w:r>
    </w:p>
    <w:p w14:paraId="0EE054E5">
      <w:pPr>
        <w:pStyle w:val="165"/>
        <w:rPr>
          <w:rFonts w:ascii="Times New Roman"/>
        </w:rPr>
      </w:pPr>
      <w:r>
        <w:rPr>
          <w:rFonts w:ascii="Times New Roman"/>
        </w:rPr>
        <w:t>宜积极应用建筑信息模型技术，实现设计与</w:t>
      </w:r>
      <w:r>
        <w:rPr>
          <w:rFonts w:hint="eastAsia" w:ascii="Times New Roman"/>
        </w:rPr>
        <w:t>量化</w:t>
      </w:r>
      <w:r>
        <w:rPr>
          <w:rFonts w:ascii="Times New Roman"/>
        </w:rPr>
        <w:t>软件的数据互通，利用BIM模型的构件信息自动计算绿色技术措施的工程量，提高计量效率和准确性。</w:t>
      </w:r>
    </w:p>
    <w:p w14:paraId="4F259568">
      <w:pPr>
        <w:pStyle w:val="165"/>
        <w:rPr>
          <w:rFonts w:ascii="Times New Roman"/>
        </w:rPr>
      </w:pPr>
      <w:r>
        <w:rPr>
          <w:rFonts w:ascii="Times New Roman"/>
        </w:rPr>
        <w:t>可探索基于BIM的5D模型应用，将绿色建筑构件与造价信息关联，进行可视化的造价模拟和动态监控。</w:t>
      </w:r>
    </w:p>
    <w:p w14:paraId="6FE183CE">
      <w:pPr>
        <w:pStyle w:val="165"/>
        <w:rPr>
          <w:rFonts w:ascii="Times New Roman"/>
        </w:rPr>
      </w:pPr>
      <w:r>
        <w:rPr>
          <w:rFonts w:ascii="Times New Roman"/>
        </w:rPr>
        <w:t>鼓励利用大数据技术对海量造价信息进行挖掘与分析，探寻绿色建筑造价的分布规律、价格变动趋势及影响因素，发布绿色建筑造价指数。</w:t>
      </w:r>
    </w:p>
    <w:p w14:paraId="398A6B8D">
      <w:pPr>
        <w:pStyle w:val="165"/>
        <w:rPr>
          <w:rFonts w:ascii="Times New Roman"/>
        </w:rPr>
      </w:pPr>
      <w:r>
        <w:rPr>
          <w:rFonts w:ascii="Times New Roman"/>
        </w:rPr>
        <w:t>宜建立或利用云端协作平台，实现项目参建各方基于同一平台的造价信息共享与协同管理，确保信息的唯一性和及时性。</w:t>
      </w:r>
    </w:p>
    <w:p w14:paraId="0E4CC17D">
      <w:pPr>
        <w:pStyle w:val="105"/>
        <w:spacing w:before="120" w:after="120"/>
        <w:rPr>
          <w:rFonts w:ascii="Times New Roman"/>
        </w:rPr>
      </w:pPr>
      <w:r>
        <w:rPr>
          <w:rFonts w:ascii="Times New Roman"/>
        </w:rPr>
        <w:t>信息安全</w:t>
      </w:r>
    </w:p>
    <w:p w14:paraId="31A793E8">
      <w:pPr>
        <w:pStyle w:val="165"/>
        <w:rPr>
          <w:rFonts w:ascii="Times New Roman"/>
        </w:rPr>
      </w:pPr>
      <w:r>
        <w:rPr>
          <w:rFonts w:ascii="Times New Roman"/>
        </w:rPr>
        <w:t>应建立信息安全管理制度，采取必要技术手段，防止造价信息数据被非授权访问、破坏、泄露或丢失。</w:t>
      </w:r>
    </w:p>
    <w:p w14:paraId="04E1E74E">
      <w:pPr>
        <w:pStyle w:val="165"/>
        <w:rPr>
          <w:rFonts w:ascii="Times New Roman"/>
        </w:rPr>
      </w:pPr>
      <w:r>
        <w:rPr>
          <w:rFonts w:ascii="Times New Roman"/>
        </w:rPr>
        <w:t>应遵守商业秘密和个人信息保护相关法律法规，对涉及企业商业秘密的造价信息予以保密，依法依规进行信息的共享与利用。</w:t>
      </w:r>
    </w:p>
    <w:bookmarkEnd w:id="26"/>
    <w:p w14:paraId="69733B67">
      <w:pPr>
        <w:pStyle w:val="56"/>
        <w:ind w:firstLine="0" w:firstLineChars="0"/>
        <w:jc w:val="center"/>
      </w:pPr>
      <w:bookmarkStart w:id="65" w:name="BookMark8"/>
      <w:r>
        <w:drawing>
          <wp:inline distT="0" distB="0" distL="0" distR="0">
            <wp:extent cx="1485900" cy="317500"/>
            <wp:effectExtent l="0" t="0" r="0" b="6350"/>
            <wp:docPr id="1727916836" name="图片 1"/>
            <wp:cNvGraphicFramePr/>
            <a:graphic xmlns:a="http://schemas.openxmlformats.org/drawingml/2006/main">
              <a:graphicData uri="http://schemas.openxmlformats.org/drawingml/2006/picture">
                <pic:pic xmlns:pic="http://schemas.openxmlformats.org/drawingml/2006/picture">
                  <pic:nvPicPr>
                    <pic:cNvPr id="1727916836"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893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A5C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3E7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2861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6914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3C5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073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BCEF">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0811">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4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64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F83"/>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02"/>
    <w:rsid w:val="0025418B"/>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A7ADF"/>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4FF"/>
    <w:rsid w:val="00746800"/>
    <w:rsid w:val="007501A8"/>
    <w:rsid w:val="00750D61"/>
    <w:rsid w:val="00750EE1"/>
    <w:rsid w:val="007527B4"/>
    <w:rsid w:val="00752B4D"/>
    <w:rsid w:val="00755402"/>
    <w:rsid w:val="00756B26"/>
    <w:rsid w:val="00756EDF"/>
    <w:rsid w:val="007600E3"/>
    <w:rsid w:val="00765C43"/>
    <w:rsid w:val="00765EFB"/>
    <w:rsid w:val="007671CA"/>
    <w:rsid w:val="00767611"/>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060E"/>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9F4"/>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293F"/>
    <w:rsid w:val="00953604"/>
    <w:rsid w:val="00953EC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282"/>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45A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0A24"/>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226221E"/>
    <w:rsid w:val="4A957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9E17FB33C2D4F67B7B608DAD4EADCE1"/>
        <w:style w:val=""/>
        <w:category>
          <w:name w:val="常规"/>
          <w:gallery w:val="placeholder"/>
        </w:category>
        <w:types>
          <w:type w:val="bbPlcHdr"/>
        </w:types>
        <w:behaviors>
          <w:behavior w:val="content"/>
        </w:behaviors>
        <w:description w:val=""/>
        <w:guid w:val="{24398AFF-4939-4EF4-B02C-C0F336ACE970}"/>
      </w:docPartPr>
      <w:docPartBody>
        <w:p w14:paraId="4176EE72">
          <w:pPr>
            <w:pStyle w:val="5"/>
            <w:rPr>
              <w:rFonts w:hint="eastAsia"/>
            </w:rPr>
          </w:pPr>
          <w:r>
            <w:rPr>
              <w:rStyle w:val="4"/>
              <w:rFonts w:hint="eastAsia"/>
            </w:rPr>
            <w:t>单击或点击此处输入文字。</w:t>
          </w:r>
        </w:p>
      </w:docPartBody>
    </w:docPart>
    <w:docPart>
      <w:docPartPr>
        <w:name w:val="95FFBF1BCD40470296AC7BEBE179499C"/>
        <w:style w:val=""/>
        <w:category>
          <w:name w:val="常规"/>
          <w:gallery w:val="placeholder"/>
        </w:category>
        <w:types>
          <w:type w:val="bbPlcHdr"/>
        </w:types>
        <w:behaviors>
          <w:behavior w:val="content"/>
        </w:behaviors>
        <w:description w:val=""/>
        <w:guid w:val="{64A18314-5415-4830-AC6C-C2706372E91F}"/>
      </w:docPartPr>
      <w:docPartBody>
        <w:p w14:paraId="16A3E956">
          <w:pPr>
            <w:pStyle w:val="6"/>
            <w:rPr>
              <w:rFonts w:hint="eastAsia"/>
            </w:rPr>
          </w:pPr>
          <w:r>
            <w:rPr>
              <w:rStyle w:val="4"/>
              <w:rFonts w:hint="eastAsia"/>
            </w:rPr>
            <w:t>选择一项。</w:t>
          </w:r>
        </w:p>
      </w:docPartBody>
    </w:docPart>
    <w:docPart>
      <w:docPartPr>
        <w:name w:val="FB6242A4443343F0BD40F86E94B1F2F5"/>
        <w:style w:val=""/>
        <w:category>
          <w:name w:val="常规"/>
          <w:gallery w:val="placeholder"/>
        </w:category>
        <w:types>
          <w:type w:val="bbPlcHdr"/>
        </w:types>
        <w:behaviors>
          <w:behavior w:val="content"/>
        </w:behaviors>
        <w:description w:val=""/>
        <w:guid w:val="{6C29230B-CAA3-4C35-87F3-8EF5131F3055}"/>
      </w:docPartPr>
      <w:docPartBody>
        <w:p w14:paraId="3C322977">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A95"/>
    <w:rsid w:val="00002A95"/>
    <w:rsid w:val="00466FF2"/>
    <w:rsid w:val="004A7ADF"/>
    <w:rsid w:val="006F440B"/>
    <w:rsid w:val="00767611"/>
    <w:rsid w:val="009F17DC"/>
    <w:rsid w:val="00C545A2"/>
    <w:rsid w:val="00C61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9E17FB33C2D4F67B7B608DAD4EADCE1"/>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5FFBF1BCD40470296AC7BEBE179499C"/>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FB6242A4443343F0BD40F86E94B1F2F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6826</Words>
  <Characters>7051</Characters>
  <Lines>61</Lines>
  <Paragraphs>17</Paragraphs>
  <TotalTime>0</TotalTime>
  <ScaleCrop>false</ScaleCrop>
  <LinksUpToDate>false</LinksUpToDate>
  <CharactersWithSpaces>7123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2025-09-08T07:45:00Z</dcterms:created>
  <dc:creator>1</dc:creator>
  <dc:description>&lt;config cover="true" show_menu="true" version="1.0.0" doctype="SDKXY"&gt;_x000d_
&lt;/config&gt;</dc:description>
  <cp:lastModifiedBy>Shimmer</cp:lastModifiedBy>
  <cp:lastPrinted>2021-02-02T08:22:00Z</cp:lastPrinted>
  <dcterms:modified xsi:type="dcterms:W3CDTF">2025-10-20T06:30:16Z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2052-12.1.0.23125</vt:lpwstr>
  </property>
  <property fmtid="{D5CDD505-2E9C-101B-9397-08002B2CF9AE}" pid="16" name="ICV">
    <vt:lpwstr>713F8D58EDF14E79A2E0D9C7B41ECB5A_12</vt:lpwstr>
  </property>
</Properties>
</file>