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智慧零碳园区微电网光储充协同控制系统建设规范</w:t>
      </w:r>
      <w:r>
        <w:rPr>
          <w:rFonts w:hint="eastAsia" w:ascii="迷你简小标宋" w:hAnsi="宋体" w:eastAsia="迷你简小标宋"/>
          <w:w w:val="90"/>
          <w:sz w:val="44"/>
          <w:szCs w:val="44"/>
        </w:rPr>
        <w:t>》</w:t>
      </w:r>
    </w:p>
    <w:p>
      <w:pPr>
        <w:jc w:val="center"/>
        <w:rPr>
          <w:rFonts w:ascii="迷你简小标宋" w:hAnsi="宋体" w:eastAsia="迷你简小标宋"/>
          <w:sz w:val="44"/>
          <w:szCs w:val="44"/>
        </w:rPr>
      </w:pPr>
    </w:p>
    <w:p>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宋体" w:hAnsi="宋体" w:eastAsia="宋体"/>
          <w:sz w:val="28"/>
          <w:szCs w:val="28"/>
        </w:rPr>
      </w:pPr>
      <w:r>
        <w:rPr>
          <w:rFonts w:hint="eastAsia" w:ascii="宋体" w:hAnsi="宋体" w:eastAsia="宋体"/>
          <w:sz w:val="28"/>
          <w:szCs w:val="28"/>
        </w:rPr>
        <w:t xml:space="preserve">团标制定工作组 </w:t>
      </w:r>
    </w:p>
    <w:p>
      <w:pPr>
        <w:jc w:val="center"/>
        <w:rPr>
          <w:rFonts w:ascii="宋体" w:hAnsi="宋体" w:eastAsia="宋体"/>
          <w:sz w:val="28"/>
          <w:szCs w:val="28"/>
        </w:rPr>
      </w:pPr>
    </w:p>
    <w:p>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w:t>
      </w:r>
      <w:r>
        <w:rPr>
          <w:rFonts w:hint="eastAsia" w:ascii="宋体" w:hAnsi="宋体" w:eastAsia="宋体"/>
          <w:sz w:val="28"/>
          <w:szCs w:val="28"/>
        </w:rPr>
        <w:t>月</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年团体标准修订编制计划，将《</w:t>
      </w:r>
      <w:r>
        <w:rPr>
          <w:rFonts w:hint="eastAsia" w:ascii="宋体" w:hAnsi="宋体" w:eastAsia="宋体"/>
          <w:sz w:val="28"/>
          <w:szCs w:val="28"/>
          <w:lang w:eastAsia="zh-CN"/>
        </w:rPr>
        <w:t>智慧零碳园区微电网光储充协同控制系统建设规范</w:t>
      </w:r>
      <w:r>
        <w:rPr>
          <w:rFonts w:ascii="宋体" w:hAnsi="宋体" w:eastAsia="宋体"/>
          <w:sz w:val="28"/>
          <w:szCs w:val="28"/>
        </w:rPr>
        <w:t>》列为标准编制项目，并于202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9</w:t>
      </w:r>
      <w:r>
        <w:rPr>
          <w:rFonts w:ascii="宋体" w:hAnsi="宋体" w:eastAsia="宋体"/>
          <w:sz w:val="28"/>
          <w:szCs w:val="28"/>
        </w:rPr>
        <w:t>月在全国团体标准信息平台上进行了立项公告。</w:t>
      </w:r>
    </w:p>
    <w:p>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在</w:t>
      </w:r>
      <w:r>
        <w:rPr>
          <w:rFonts w:hint="eastAsia" w:ascii="宋体" w:hAnsi="宋体" w:eastAsia="宋体"/>
          <w:sz w:val="28"/>
          <w:szCs w:val="28"/>
        </w:rPr>
        <w:t>“双碳”目标推动下，园区作为产业集聚的核心单元</w:t>
      </w:r>
      <w:r>
        <w:rPr>
          <w:rFonts w:hint="eastAsia" w:ascii="宋体" w:hAnsi="宋体" w:eastAsia="宋体"/>
          <w:sz w:val="28"/>
          <w:szCs w:val="28"/>
          <w:lang w:eastAsia="zh-CN"/>
        </w:rPr>
        <w:t>，</w:t>
      </w:r>
      <w:r>
        <w:rPr>
          <w:rFonts w:hint="eastAsia" w:ascii="宋体" w:hAnsi="宋体" w:eastAsia="宋体"/>
          <w:sz w:val="28"/>
          <w:szCs w:val="28"/>
        </w:rPr>
        <w:t>成为城市低碳转型的核心载体</w:t>
      </w:r>
      <w:r>
        <w:rPr>
          <w:rFonts w:hint="eastAsia" w:ascii="宋体" w:hAnsi="宋体" w:eastAsia="宋体"/>
          <w:sz w:val="28"/>
          <w:szCs w:val="28"/>
          <w:lang w:eastAsia="zh-CN"/>
        </w:rPr>
        <w:t>，需要率先实现绿色低碳转型。传统产业园区存在能源管理粗放、设备协同性差等问题，导致能源浪费严重。</w:t>
      </w:r>
      <w:r>
        <w:rPr>
          <w:rFonts w:hint="eastAsia" w:ascii="宋体" w:hAnsi="宋体" w:eastAsia="宋体"/>
          <w:sz w:val="28"/>
          <w:szCs w:val="28"/>
        </w:rPr>
        <w:t>智慧零碳</w:t>
      </w:r>
      <w:r>
        <w:rPr>
          <w:rFonts w:hint="eastAsia" w:ascii="宋体" w:hAnsi="宋体" w:eastAsia="宋体"/>
          <w:sz w:val="28"/>
          <w:szCs w:val="28"/>
          <w:lang w:val="en-US" w:eastAsia="zh-CN"/>
        </w:rPr>
        <w:t>园区中微电网的使用，通过有效整合太阳能、风能等分布式清洁能源，实现能源的就地生产与消纳，减少传输损耗，使能源利用高效化；当大电网出现故障或停电时，园区微电网可切换至孤岛运行模式，继续为园区内的重要负荷供电，保障园区的正常生产生活，提升供电可靠性；同时，微电网可以根据园区的用电需求和能源供应情况，灵活地调整运行方式，实现能源的优化配置。智慧零碳园区微电网光储充协同控制系统是基于园区对微电网的智能化协同控制需求，依托分布式光伏（光）、储能系统（储）、电动汽车充电桩（充） 三大核心能源设施，结合先进的传感监测、通信网络、人工智能与自动化控制技术，构建的一套面向智慧零碳园区场景的“源-储-荷-充”协同优化管理体系。其核心目标是实现园区内可再生能源最大化消纳、能源供需精准匹配、碳排放持续降低，同时保障能源供应安全可靠，是智慧零碳园区微电网控制的“中枢大脑”。智慧零碳园区微电网光储充协同控制系统的标准化建设，不仅是智慧零碳园区实现“双碳”目标的核心技术支撑，更是推动园区能源从“传统粗放管理”向“智能低碳高效”转型的关键基础设施。但截至目前，尚未有标准对</w:t>
      </w:r>
      <w:r>
        <w:rPr>
          <w:rFonts w:hint="eastAsia" w:ascii="宋体" w:hAnsi="宋体" w:eastAsia="宋体"/>
          <w:sz w:val="28"/>
          <w:szCs w:val="28"/>
          <w:lang w:eastAsia="zh-CN"/>
        </w:rPr>
        <w:t>智慧零碳园区微电网光储充协同控制系统的</w:t>
      </w:r>
      <w:r>
        <w:rPr>
          <w:rFonts w:hint="eastAsia" w:ascii="宋体" w:hAnsi="宋体" w:eastAsia="宋体"/>
          <w:sz w:val="28"/>
          <w:szCs w:val="28"/>
          <w:lang w:val="en-US" w:eastAsia="zh-CN"/>
        </w:rPr>
        <w:t>建设进行规范，本项目旨在借助标准化手段，对</w:t>
      </w:r>
      <w:r>
        <w:rPr>
          <w:rFonts w:hint="eastAsia" w:ascii="宋体" w:hAnsi="宋体" w:eastAsia="宋体"/>
          <w:sz w:val="28"/>
          <w:szCs w:val="28"/>
          <w:lang w:eastAsia="zh-CN"/>
        </w:rPr>
        <w:t>智慧零碳园区微电网光储充协同控制系统的</w:t>
      </w:r>
      <w:r>
        <w:rPr>
          <w:rFonts w:hint="eastAsia" w:ascii="宋体" w:hAnsi="宋体" w:eastAsia="宋体"/>
          <w:sz w:val="28"/>
          <w:szCs w:val="28"/>
          <w:lang w:val="en-US" w:eastAsia="zh-CN"/>
        </w:rPr>
        <w:t>建设要求进行统一规定，实现能源的高效利用和碳排放的有效控制，从而在</w:t>
      </w:r>
      <w:r>
        <w:rPr>
          <w:rFonts w:hint="eastAsia" w:ascii="宋体" w:hAnsi="宋体" w:eastAsia="宋体"/>
          <w:sz w:val="28"/>
          <w:szCs w:val="28"/>
          <w:lang w:eastAsia="zh-CN"/>
        </w:rPr>
        <w:t>智慧零碳园区</w:t>
      </w:r>
      <w:r>
        <w:rPr>
          <w:rFonts w:hint="eastAsia" w:ascii="宋体" w:hAnsi="宋体" w:eastAsia="宋体"/>
          <w:sz w:val="28"/>
          <w:szCs w:val="28"/>
          <w:lang w:val="en-US" w:eastAsia="zh-CN"/>
        </w:rPr>
        <w:t>层面落实“双碳”战略目标。</w:t>
      </w:r>
    </w:p>
    <w:p>
      <w:pPr>
        <w:numPr>
          <w:numId w:val="0"/>
        </w:numPr>
        <w:spacing w:line="360" w:lineRule="auto"/>
        <w:jc w:val="left"/>
        <w:rPr>
          <w:rFonts w:ascii="宋体" w:hAnsi="宋体" w:eastAsia="宋体"/>
          <w:b/>
          <w:bCs/>
          <w:sz w:val="28"/>
          <w:szCs w:val="28"/>
        </w:rPr>
      </w:pPr>
    </w:p>
    <w:p>
      <w:pPr>
        <w:spacing w:line="360" w:lineRule="auto"/>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pPr>
        <w:spacing w:line="360" w:lineRule="auto"/>
        <w:jc w:val="left"/>
        <w:rPr>
          <w:rFonts w:ascii="宋体" w:hAnsi="宋体" w:eastAsia="宋体"/>
          <w:sz w:val="28"/>
          <w:szCs w:val="28"/>
        </w:rPr>
      </w:pPr>
      <w:r>
        <w:rPr>
          <w:rFonts w:hint="eastAsia" w:ascii="宋体" w:hAnsi="宋体" w:eastAsia="宋体"/>
          <w:sz w:val="28"/>
          <w:szCs w:val="28"/>
        </w:rPr>
        <w:t xml:space="preserve">    202</w:t>
      </w:r>
      <w:r>
        <w:rPr>
          <w:rFonts w:hint="eastAsia" w:ascii="宋体" w:hAnsi="宋体" w:eastAsia="宋体"/>
          <w:sz w:val="28"/>
          <w:szCs w:val="28"/>
          <w:lang w:val="en-US" w:eastAsia="zh-CN"/>
        </w:rPr>
        <w:t>5</w:t>
      </w:r>
      <w:r>
        <w:rPr>
          <w:rFonts w:hint="eastAsia" w:ascii="宋体" w:hAnsi="宋体" w:eastAsia="宋体"/>
          <w:sz w:val="28"/>
          <w:szCs w:val="28"/>
        </w:rPr>
        <w:t xml:space="preserve"> 年</w:t>
      </w:r>
      <w:r>
        <w:rPr>
          <w:rFonts w:hint="eastAsia" w:ascii="宋体" w:hAnsi="宋体" w:eastAsia="宋体"/>
          <w:sz w:val="28"/>
          <w:szCs w:val="28"/>
          <w:lang w:val="en-US" w:eastAsia="zh-CN"/>
        </w:rPr>
        <w:t>9</w:t>
      </w:r>
      <w:r>
        <w:rPr>
          <w:rFonts w:hint="eastAsia" w:ascii="宋体" w:hAnsi="宋体" w:eastAsia="宋体"/>
          <w:sz w:val="28"/>
          <w:szCs w:val="28"/>
        </w:rPr>
        <w:t>月，完成《</w:t>
      </w:r>
      <w:r>
        <w:rPr>
          <w:rFonts w:hint="eastAsia" w:ascii="宋体" w:hAnsi="宋体" w:eastAsia="宋体"/>
          <w:sz w:val="28"/>
          <w:szCs w:val="28"/>
          <w:lang w:eastAsia="zh-CN"/>
        </w:rPr>
        <w:t>智慧零碳园区微电网光储充协同控制系统建设规范</w:t>
      </w:r>
      <w:r>
        <w:rPr>
          <w:rFonts w:hint="eastAsia" w:ascii="宋体" w:hAnsi="宋体" w:eastAsia="宋体"/>
          <w:sz w:val="28"/>
          <w:szCs w:val="28"/>
        </w:rPr>
        <w:t>》的立项。标准立项计划下达后，根据相关文件的要求，明确小组成员工作任务并制定了详细的工作计划。</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 xml:space="preserve"> 年 </w:t>
      </w:r>
      <w:r>
        <w:rPr>
          <w:rFonts w:hint="eastAsia" w:ascii="宋体" w:hAnsi="宋体" w:eastAsia="宋体"/>
          <w:sz w:val="28"/>
          <w:szCs w:val="28"/>
          <w:lang w:val="en-US" w:eastAsia="zh-CN"/>
        </w:rPr>
        <w:t>9</w:t>
      </w:r>
      <w:r>
        <w:rPr>
          <w:rFonts w:hint="eastAsia" w:ascii="宋体" w:hAnsi="宋体" w:eastAsia="宋体"/>
          <w:sz w:val="28"/>
          <w:szCs w:val="28"/>
        </w:rPr>
        <w:t>月</w:t>
      </w:r>
      <w:r>
        <w:rPr>
          <w:rFonts w:hint="eastAsia" w:ascii="宋体" w:hAnsi="宋体" w:eastAsia="宋体"/>
          <w:sz w:val="28"/>
          <w:szCs w:val="28"/>
          <w:lang w:val="en-US" w:eastAsia="zh-CN"/>
        </w:rPr>
        <w:t>-10月</w:t>
      </w:r>
      <w:r>
        <w:rPr>
          <w:rFonts w:hint="eastAsia" w:ascii="宋体" w:hAnsi="宋体" w:eastAsia="宋体"/>
          <w:sz w:val="28"/>
          <w:szCs w:val="28"/>
        </w:rPr>
        <w:t>，标准编制组对国内外的相关行业、标准、科研成果、专著等开展广泛、深入的调研，在此基础上完成《</w:t>
      </w:r>
      <w:r>
        <w:rPr>
          <w:rFonts w:hint="eastAsia" w:ascii="宋体" w:hAnsi="宋体" w:eastAsia="宋体"/>
          <w:sz w:val="28"/>
          <w:szCs w:val="28"/>
          <w:lang w:eastAsia="zh-CN"/>
        </w:rPr>
        <w:t>智慧零碳园区微电网光储充协同控制系统建设规范</w:t>
      </w:r>
      <w:r>
        <w:rPr>
          <w:rFonts w:hint="eastAsia" w:ascii="宋体" w:hAnsi="宋体" w:eastAsia="宋体"/>
          <w:sz w:val="28"/>
          <w:szCs w:val="28"/>
        </w:rPr>
        <w:t>》的草案。随后标准制定小组与相关专家经多次研究、讨论对草案进行数次修改，于202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提交《</w:t>
      </w:r>
      <w:r>
        <w:rPr>
          <w:rFonts w:hint="eastAsia" w:ascii="宋体" w:hAnsi="宋体" w:eastAsia="宋体"/>
          <w:sz w:val="28"/>
          <w:szCs w:val="28"/>
          <w:lang w:eastAsia="zh-CN"/>
        </w:rPr>
        <w:t>智慧零碳园区微电网光储充协同控制系统建设规范</w:t>
      </w:r>
      <w:r>
        <w:rPr>
          <w:rFonts w:hint="eastAsia" w:ascii="宋体" w:hAnsi="宋体" w:eastAsia="宋体"/>
          <w:sz w:val="28"/>
          <w:szCs w:val="28"/>
        </w:rPr>
        <w:t>》标准征求意见稿及征求意见稿编制说明，广泛征求各方意见和建议。</w:t>
      </w:r>
    </w:p>
    <w:p>
      <w:pPr>
        <w:spacing w:line="360" w:lineRule="auto"/>
        <w:ind w:firstLine="560" w:firstLineChars="200"/>
        <w:jc w:val="left"/>
        <w:rPr>
          <w:rFonts w:ascii="宋体" w:hAnsi="宋体" w:eastAsia="宋体"/>
          <w:sz w:val="28"/>
          <w:szCs w:val="28"/>
        </w:rPr>
      </w:pPr>
    </w:p>
    <w:p>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pPr>
        <w:spacing w:line="360" w:lineRule="auto"/>
        <w:ind w:firstLine="560"/>
        <w:jc w:val="left"/>
        <w:rPr>
          <w:rFonts w:ascii="宋体" w:hAnsi="宋体" w:eastAsia="宋体"/>
          <w:sz w:val="28"/>
          <w:szCs w:val="28"/>
        </w:rPr>
      </w:pPr>
      <w:r>
        <w:rPr>
          <w:rFonts w:hint="eastAsia" w:ascii="宋体" w:hAnsi="宋体" w:eastAsia="宋体"/>
          <w:sz w:val="28"/>
          <w:szCs w:val="28"/>
        </w:rPr>
        <w:t>由</w:t>
      </w:r>
      <w:bookmarkStart w:id="0" w:name="OLE_LINK5"/>
      <w:r>
        <w:rPr>
          <w:rFonts w:hint="eastAsia" w:ascii="宋体" w:hAnsi="宋体" w:eastAsia="宋体"/>
          <w:sz w:val="28"/>
          <w:szCs w:val="28"/>
          <w:lang w:eastAsia="zh-CN"/>
        </w:rPr>
        <w:t>江苏乾艺远景新能源科技有限公司</w:t>
      </w:r>
      <w:bookmarkEnd w:id="0"/>
      <w:r>
        <w:rPr>
          <w:rFonts w:hint="eastAsia" w:ascii="宋体" w:hAnsi="宋体" w:eastAsia="宋体"/>
          <w:sz w:val="28"/>
          <w:szCs w:val="28"/>
        </w:rPr>
        <w:t>等相关单位的专家成立的标准制定小组，在广泛调研、查阅和研究国际、国内的现行标准，结合行业现行技术痛点和空白，组织、协调和策划了标准征求意见稿的草拟和修改过程。</w:t>
      </w:r>
    </w:p>
    <w:p>
      <w:pPr>
        <w:spacing w:line="360" w:lineRule="auto"/>
        <w:ind w:firstLine="560"/>
        <w:jc w:val="left"/>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1、规范性引用文件：列出了本文件引用的其他规范性文件。</w:t>
      </w:r>
    </w:p>
    <w:p>
      <w:pPr>
        <w:adjustRightInd w:val="0"/>
        <w:snapToGrid w:val="0"/>
        <w:spacing w:line="360" w:lineRule="auto"/>
        <w:ind w:right="315" w:rightChars="150" w:firstLine="560" w:firstLineChars="200"/>
        <w:rPr>
          <w:rFonts w:hint="eastAsia" w:ascii="宋体" w:hAnsi="宋体" w:eastAsia="宋体"/>
          <w:sz w:val="28"/>
          <w:szCs w:val="28"/>
        </w:rPr>
      </w:pPr>
      <w:r>
        <w:rPr>
          <w:rFonts w:hint="eastAsia" w:ascii="宋体" w:hAnsi="宋体" w:eastAsia="宋体"/>
          <w:sz w:val="28"/>
          <w:szCs w:val="28"/>
        </w:rPr>
        <w:t>2、术语和定义：</w:t>
      </w:r>
      <w:r>
        <w:rPr>
          <w:rFonts w:hint="eastAsia" w:ascii="宋体" w:hAnsi="宋体" w:eastAsia="宋体"/>
          <w:sz w:val="28"/>
          <w:szCs w:val="28"/>
          <w:lang w:val="en-US" w:eastAsia="zh-CN"/>
        </w:rPr>
        <w:t>GB/T 33590.2 界定的术语和定义适用于本文件</w:t>
      </w:r>
      <w:r>
        <w:rPr>
          <w:rFonts w:hint="eastAsia" w:ascii="宋体" w:hAnsi="宋体" w:eastAsia="宋体"/>
          <w:sz w:val="28"/>
          <w:szCs w:val="28"/>
        </w:rPr>
        <w:t>。</w:t>
      </w:r>
    </w:p>
    <w:p>
      <w:pPr>
        <w:adjustRightInd w:val="0"/>
        <w:snapToGrid w:val="0"/>
        <w:spacing w:line="360" w:lineRule="auto"/>
        <w:ind w:right="315" w:rightChars="150" w:firstLine="560" w:firstLineChars="200"/>
        <w:rPr>
          <w:rFonts w:hint="default" w:ascii="宋体" w:hAnsi="宋体" w:eastAsia="宋体"/>
          <w:sz w:val="28"/>
          <w:szCs w:val="28"/>
          <w:lang w:val="en-US" w:eastAsia="zh-CN"/>
        </w:rPr>
      </w:pPr>
      <w:r>
        <w:rPr>
          <w:rFonts w:hint="eastAsia" w:ascii="宋体" w:hAnsi="宋体" w:eastAsia="宋体"/>
          <w:sz w:val="28"/>
          <w:szCs w:val="28"/>
        </w:rPr>
        <w:t>3、</w:t>
      </w:r>
      <w:r>
        <w:rPr>
          <w:rFonts w:hint="eastAsia" w:ascii="宋体" w:hAnsi="宋体" w:eastAsia="宋体"/>
          <w:sz w:val="28"/>
          <w:szCs w:val="28"/>
          <w:lang w:val="en-US" w:eastAsia="zh-CN"/>
        </w:rPr>
        <w:t>建设原则：描述了智慧零碳园区微电网光储充协同控制系统建设的原则，包括功能性、易用性、可扩展性和兼容性。</w:t>
      </w:r>
    </w:p>
    <w:p>
      <w:pPr>
        <w:adjustRightInd w:val="0"/>
        <w:snapToGrid w:val="0"/>
        <w:spacing w:line="360" w:lineRule="auto"/>
        <w:ind w:right="315" w:rightChars="150" w:firstLine="560" w:firstLineChars="200"/>
        <w:rPr>
          <w:rFonts w:hint="eastAsia" w:ascii="宋体" w:hAnsi="宋体" w:eastAsia="宋体"/>
          <w:sz w:val="28"/>
          <w:szCs w:val="28"/>
        </w:rPr>
      </w:pPr>
      <w:r>
        <w:rPr>
          <w:rFonts w:hint="eastAsia" w:ascii="宋体" w:hAnsi="宋体" w:eastAsia="宋体"/>
          <w:sz w:val="28"/>
          <w:szCs w:val="28"/>
          <w:lang w:val="en-US" w:eastAsia="zh-CN"/>
        </w:rPr>
        <w:t>4、架构</w:t>
      </w:r>
      <w:r>
        <w:rPr>
          <w:rFonts w:hint="eastAsia" w:ascii="宋体" w:hAnsi="宋体" w:eastAsia="宋体"/>
          <w:sz w:val="28"/>
          <w:szCs w:val="28"/>
        </w:rPr>
        <w:t>：</w:t>
      </w:r>
      <w:r>
        <w:rPr>
          <w:rFonts w:hint="eastAsia" w:ascii="宋体" w:hAnsi="宋体" w:eastAsia="宋体"/>
          <w:sz w:val="28"/>
          <w:szCs w:val="28"/>
          <w:lang w:val="en-US" w:eastAsia="zh-CN"/>
        </w:rPr>
        <w:t>对智慧零碳园区微电网光储充协同控制系统架构进行规定</w:t>
      </w:r>
      <w:r>
        <w:rPr>
          <w:rFonts w:hint="eastAsia" w:ascii="宋体" w:hAnsi="宋体" w:eastAsia="宋体"/>
          <w:sz w:val="28"/>
          <w:szCs w:val="28"/>
        </w:rPr>
        <w:t>。</w:t>
      </w:r>
    </w:p>
    <w:p>
      <w:pPr>
        <w:adjustRightInd w:val="0"/>
        <w:snapToGrid w:val="0"/>
        <w:spacing w:line="360" w:lineRule="auto"/>
        <w:ind w:right="315" w:rightChars="150" w:firstLine="560" w:firstLineChars="200"/>
        <w:rPr>
          <w:rFonts w:hint="eastAsia" w:ascii="宋体" w:hAnsi="宋体" w:eastAsia="宋体"/>
          <w:sz w:val="28"/>
          <w:szCs w:val="28"/>
        </w:rPr>
      </w:pPr>
      <w:r>
        <w:rPr>
          <w:rFonts w:hint="eastAsia" w:ascii="宋体" w:hAnsi="宋体" w:eastAsia="宋体"/>
          <w:sz w:val="28"/>
          <w:szCs w:val="28"/>
          <w:lang w:val="en-US" w:eastAsia="zh-CN"/>
        </w:rPr>
        <w:t>5</w:t>
      </w:r>
      <w:r>
        <w:rPr>
          <w:rFonts w:hint="eastAsia" w:ascii="宋体" w:hAnsi="宋体" w:eastAsia="宋体"/>
          <w:sz w:val="28"/>
          <w:szCs w:val="28"/>
        </w:rPr>
        <w:t>、</w:t>
      </w:r>
      <w:r>
        <w:rPr>
          <w:rFonts w:hint="eastAsia" w:ascii="宋体" w:hAnsi="宋体" w:eastAsia="宋体"/>
          <w:sz w:val="28"/>
          <w:szCs w:val="28"/>
          <w:lang w:val="en-US" w:eastAsia="zh-CN"/>
        </w:rPr>
        <w:t>功能</w:t>
      </w:r>
      <w:r>
        <w:rPr>
          <w:rFonts w:hint="eastAsia" w:ascii="宋体" w:hAnsi="宋体" w:eastAsia="宋体"/>
          <w:sz w:val="28"/>
          <w:szCs w:val="28"/>
        </w:rPr>
        <w:t>：</w:t>
      </w:r>
      <w:r>
        <w:rPr>
          <w:rFonts w:hint="eastAsia" w:ascii="宋体" w:hAnsi="宋体" w:eastAsia="宋体"/>
          <w:sz w:val="28"/>
          <w:szCs w:val="28"/>
          <w:lang w:val="en-US" w:eastAsia="zh-CN"/>
        </w:rPr>
        <w:t>对智慧零碳园区微电网光储充协同控制系统的功能进行规定</w:t>
      </w:r>
      <w:r>
        <w:rPr>
          <w:rFonts w:hint="eastAsia" w:ascii="宋体" w:hAnsi="宋体" w:eastAsia="宋体"/>
          <w:sz w:val="28"/>
          <w:szCs w:val="28"/>
        </w:rPr>
        <w:t>。</w:t>
      </w:r>
    </w:p>
    <w:p>
      <w:pPr>
        <w:adjustRightInd w:val="0"/>
        <w:snapToGrid w:val="0"/>
        <w:spacing w:line="360" w:lineRule="auto"/>
        <w:ind w:right="315" w:rightChars="150"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6、数据库管理：对智慧零碳园区微电网光储充协同控制系统的数据库管理进行规定。</w:t>
      </w:r>
    </w:p>
    <w:p>
      <w:pPr>
        <w:adjustRightInd w:val="0"/>
        <w:snapToGrid w:val="0"/>
        <w:spacing w:line="360" w:lineRule="auto"/>
        <w:ind w:right="315" w:rightChars="150"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7、安全保障：对网络安全、信息安全、操作系统安全和灾难备份进行规定。</w:t>
      </w:r>
    </w:p>
    <w:p>
      <w:pPr>
        <w:adjustRightInd w:val="0"/>
        <w:snapToGrid w:val="0"/>
        <w:spacing w:line="360" w:lineRule="auto"/>
        <w:ind w:right="315" w:rightChars="150"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8、运行维护：对运行维护的规定。</w:t>
      </w:r>
    </w:p>
    <w:p>
      <w:pPr>
        <w:adjustRightInd w:val="0"/>
        <w:snapToGrid w:val="0"/>
        <w:spacing w:line="360" w:lineRule="auto"/>
        <w:ind w:right="315" w:rightChars="150"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9、证实方法。</w:t>
      </w:r>
    </w:p>
    <w:p>
      <w:pPr>
        <w:spacing w:line="360" w:lineRule="auto"/>
        <w:ind w:firstLine="560" w:firstLineChars="200"/>
        <w:jc w:val="left"/>
        <w:rPr>
          <w:rFonts w:ascii="宋体" w:hAnsi="宋体" w:eastAsia="宋体"/>
          <w:sz w:val="28"/>
          <w:szCs w:val="28"/>
        </w:rPr>
      </w:pPr>
    </w:p>
    <w:p>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pPr>
        <w:spacing w:line="360" w:lineRule="auto"/>
        <w:jc w:val="left"/>
        <w:rPr>
          <w:rFonts w:hint="eastAsia" w:ascii="宋体" w:hAnsi="宋体" w:eastAsia="宋体"/>
          <w:sz w:val="28"/>
          <w:szCs w:val="28"/>
        </w:rPr>
      </w:pPr>
      <w:r>
        <w:rPr>
          <w:rFonts w:hint="eastAsia" w:ascii="宋体" w:hAnsi="宋体" w:eastAsia="宋体"/>
          <w:sz w:val="28"/>
          <w:szCs w:val="28"/>
        </w:rPr>
        <w:t xml:space="preserve">     结合国内外行业情况及公司的实践进行验证。</w:t>
      </w:r>
    </w:p>
    <w:p>
      <w:pPr>
        <w:spacing w:line="360" w:lineRule="auto"/>
        <w:jc w:val="left"/>
        <w:rPr>
          <w:rFonts w:hint="eastAsia" w:ascii="宋体" w:hAnsi="宋体" w:eastAsia="宋体"/>
          <w:sz w:val="28"/>
          <w:szCs w:val="28"/>
        </w:rPr>
      </w:pPr>
    </w:p>
    <w:p>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pPr>
        <w:spacing w:line="360" w:lineRule="auto"/>
        <w:jc w:val="left"/>
        <w:rPr>
          <w:rFonts w:ascii="宋体" w:hAnsi="宋体" w:eastAsia="宋体"/>
          <w:sz w:val="28"/>
          <w:szCs w:val="28"/>
        </w:rPr>
      </w:pPr>
      <w:r>
        <w:rPr>
          <w:rFonts w:hint="eastAsia" w:ascii="宋体" w:hAnsi="宋体" w:eastAsia="宋体"/>
          <w:sz w:val="28"/>
          <w:szCs w:val="28"/>
        </w:rPr>
        <w:t xml:space="preserve">    无。</w:t>
      </w:r>
    </w:p>
    <w:p>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pPr>
        <w:adjustRightInd w:val="0"/>
        <w:snapToGrid w:val="0"/>
        <w:spacing w:line="360" w:lineRule="auto"/>
        <w:ind w:right="315" w:rightChars="150"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1、经济效益：有助于实现光储充系统的协调控制，提升能源利用效率，随着光伏、储能等成本的下降以及系统的优化运行，园区的用电成本将降低，提高了园区的经济效益；园区还可参与电网调峰等辅助服务获取补偿收益，并通过碳排放统计与绿电消纳，参与碳配额交易。</w:t>
      </w:r>
    </w:p>
    <w:p>
      <w:pPr>
        <w:adjustRightInd w:val="0"/>
        <w:snapToGrid w:val="0"/>
        <w:spacing w:line="360" w:lineRule="auto"/>
        <w:ind w:right="315" w:rightChars="150" w:firstLine="560" w:firstLineChars="200"/>
        <w:rPr>
          <w:rFonts w:hint="default" w:ascii="宋体" w:hAnsi="宋体" w:eastAsia="宋体"/>
          <w:sz w:val="28"/>
          <w:szCs w:val="28"/>
          <w:lang w:val="en-US" w:eastAsia="zh-CN"/>
        </w:rPr>
      </w:pPr>
      <w:r>
        <w:rPr>
          <w:rFonts w:hint="eastAsia" w:ascii="宋体" w:hAnsi="宋体" w:eastAsia="宋体"/>
          <w:sz w:val="28"/>
          <w:szCs w:val="28"/>
          <w:lang w:val="en-US" w:eastAsia="zh-CN"/>
        </w:rPr>
        <w:t>2、环境效益：有助于园区最大限度利用本地可再生能源，减少对外部电网的依赖，从而降低碳排放；将促进更多园区建设光储充协同控制系统，加快清洁能源的规模化应用，推动园区能源结构向绿色低碳转型，助力国家“双碳”目标的实现。</w:t>
      </w:r>
    </w:p>
    <w:p>
      <w:pPr>
        <w:adjustRightInd w:val="0"/>
        <w:snapToGrid w:val="0"/>
        <w:spacing w:line="360" w:lineRule="auto"/>
        <w:ind w:right="315" w:rightChars="150"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3、社会效益：提高园区能源系统的运行稳定性和可靠性，保障园区的能源安全供应；帮助园区成为区域经济的“绿色名片”，提升自身的品牌价值和影响力，吸引更多的企业入驻和投资。</w:t>
      </w:r>
    </w:p>
    <w:p>
      <w:pPr>
        <w:spacing w:line="360" w:lineRule="auto"/>
        <w:ind w:firstLine="570"/>
        <w:jc w:val="left"/>
        <w:rPr>
          <w:rFonts w:hint="eastAsia"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pPr>
        <w:spacing w:line="360" w:lineRule="auto"/>
        <w:ind w:firstLine="562"/>
        <w:jc w:val="left"/>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pPr>
        <w:spacing w:line="360" w:lineRule="auto"/>
        <w:ind w:firstLine="560"/>
        <w:jc w:val="left"/>
        <w:rPr>
          <w:rFonts w:ascii="宋体" w:hAnsi="宋体" w:eastAsia="宋体"/>
          <w:sz w:val="28"/>
          <w:szCs w:val="28"/>
        </w:rPr>
      </w:pPr>
      <w:r>
        <w:rPr>
          <w:rFonts w:hint="eastAsia" w:ascii="宋体" w:hAnsi="宋体" w:eastAsia="宋体"/>
          <w:sz w:val="28"/>
          <w:szCs w:val="28"/>
        </w:rPr>
        <w:t>无。</w:t>
      </w:r>
    </w:p>
    <w:p>
      <w:pPr>
        <w:spacing w:line="360" w:lineRule="auto"/>
        <w:ind w:firstLine="560"/>
        <w:jc w:val="left"/>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pPr>
        <w:spacing w:line="360" w:lineRule="auto"/>
        <w:ind w:firstLine="562"/>
        <w:jc w:val="left"/>
        <w:rPr>
          <w:rFonts w:ascii="宋体" w:hAnsi="宋体" w:eastAsia="宋体"/>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pPr>
        <w:spacing w:line="360" w:lineRule="auto"/>
        <w:ind w:firstLine="562"/>
        <w:jc w:val="left"/>
        <w:rPr>
          <w:rFonts w:ascii="宋体" w:hAnsi="宋体" w:eastAsia="宋体"/>
          <w:b/>
          <w:bCs/>
          <w:sz w:val="28"/>
          <w:szCs w:val="28"/>
        </w:rPr>
      </w:pPr>
    </w:p>
    <w:p>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pPr>
        <w:spacing w:line="360" w:lineRule="auto"/>
        <w:ind w:firstLine="562"/>
        <w:jc w:val="left"/>
        <w:rPr>
          <w:rFonts w:ascii="宋体" w:hAnsi="宋体" w:eastAsia="宋体"/>
          <w:sz w:val="28"/>
          <w:szCs w:val="28"/>
        </w:rPr>
      </w:pPr>
      <w:r>
        <w:rPr>
          <w:rFonts w:hint="eastAsia" w:ascii="宋体" w:hAnsi="宋体" w:eastAsia="宋体"/>
          <w:sz w:val="28"/>
          <w:szCs w:val="28"/>
        </w:rPr>
        <w:t>无。</w:t>
      </w:r>
    </w:p>
    <w:p>
      <w:pPr>
        <w:spacing w:line="360" w:lineRule="auto"/>
        <w:ind w:firstLine="562"/>
        <w:jc w:val="left"/>
        <w:rPr>
          <w:rFonts w:ascii="宋体" w:hAnsi="宋体" w:eastAsia="宋体"/>
          <w:b/>
          <w:bCs/>
          <w:sz w:val="28"/>
          <w:szCs w:val="28"/>
        </w:rPr>
      </w:pPr>
    </w:p>
    <w:p>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pPr>
        <w:spacing w:line="360" w:lineRule="auto"/>
        <w:ind w:firstLine="562"/>
        <w:jc w:val="left"/>
        <w:rPr>
          <w:rFonts w:ascii="宋体" w:hAnsi="宋体" w:eastAsia="宋体"/>
          <w:b/>
          <w:bCs/>
          <w:sz w:val="28"/>
          <w:szCs w:val="28"/>
        </w:rPr>
      </w:pPr>
      <w:r>
        <w:rPr>
          <w:rFonts w:hint="eastAsia" w:ascii="宋体" w:hAnsi="宋体" w:eastAsia="宋体"/>
          <w:sz w:val="28"/>
          <w:szCs w:val="28"/>
          <w:lang w:val="en-US" w:eastAsia="zh-CN"/>
        </w:rPr>
        <w:t>无</w:t>
      </w:r>
      <w:r>
        <w:rPr>
          <w:rFonts w:hint="eastAsia" w:ascii="宋体" w:hAnsi="宋体" w:eastAsia="宋体"/>
          <w:sz w:val="28"/>
          <w:szCs w:val="28"/>
        </w:rPr>
        <w:t>。</w:t>
      </w:r>
    </w:p>
    <w:p>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智慧零碳园区微电网光储充协同控制系统建设规范</w:t>
      </w:r>
      <w:r>
        <w:rPr>
          <w:rFonts w:hint="eastAsia" w:ascii="宋体" w:hAnsi="宋体" w:eastAsia="宋体"/>
          <w:sz w:val="28"/>
          <w:szCs w:val="28"/>
        </w:rPr>
        <w:t>》起草组</w:t>
      </w:r>
      <w:r>
        <w:rPr>
          <w:rFonts w:ascii="宋体" w:hAnsi="宋体" w:eastAsia="宋体"/>
          <w:sz w:val="28"/>
          <w:szCs w:val="28"/>
        </w:rPr>
        <w:t xml:space="preserve"> </w:t>
      </w:r>
    </w:p>
    <w:p>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21</w:t>
      </w:r>
      <w:bookmarkStart w:id="1" w:name="_GoBack"/>
      <w:bookmarkEnd w:id="1"/>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299CE7"/>
    <w:multiLevelType w:val="singleLevel"/>
    <w:tmpl w:val="5F299CE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10"/>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NGI5Mzg5YjIwMDliNGE5NzZmNDdkMmExNWY1MDQifQ=="/>
  </w:docVars>
  <w:rsids>
    <w:rsidRoot w:val="00080FCE"/>
    <w:rsid w:val="00004E32"/>
    <w:rsid w:val="00013CD7"/>
    <w:rsid w:val="00021E0D"/>
    <w:rsid w:val="00031415"/>
    <w:rsid w:val="000711D3"/>
    <w:rsid w:val="00076E6A"/>
    <w:rsid w:val="0007729C"/>
    <w:rsid w:val="00080FCE"/>
    <w:rsid w:val="000841BD"/>
    <w:rsid w:val="00086D78"/>
    <w:rsid w:val="00096631"/>
    <w:rsid w:val="000D7E80"/>
    <w:rsid w:val="000F7338"/>
    <w:rsid w:val="00100F6C"/>
    <w:rsid w:val="00100FA1"/>
    <w:rsid w:val="0010711D"/>
    <w:rsid w:val="001171FC"/>
    <w:rsid w:val="00122E25"/>
    <w:rsid w:val="00124E74"/>
    <w:rsid w:val="001552ED"/>
    <w:rsid w:val="00172D1B"/>
    <w:rsid w:val="00184316"/>
    <w:rsid w:val="001A1C3A"/>
    <w:rsid w:val="001A3971"/>
    <w:rsid w:val="001A5B35"/>
    <w:rsid w:val="001A7B8A"/>
    <w:rsid w:val="001C17B8"/>
    <w:rsid w:val="001C481D"/>
    <w:rsid w:val="001E5452"/>
    <w:rsid w:val="001E59E1"/>
    <w:rsid w:val="001E5E47"/>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678D0"/>
    <w:rsid w:val="00374298"/>
    <w:rsid w:val="003C4C2B"/>
    <w:rsid w:val="003F6507"/>
    <w:rsid w:val="004357F5"/>
    <w:rsid w:val="00462A1E"/>
    <w:rsid w:val="00467311"/>
    <w:rsid w:val="00486151"/>
    <w:rsid w:val="00495229"/>
    <w:rsid w:val="004A0525"/>
    <w:rsid w:val="004A5E54"/>
    <w:rsid w:val="004A6E9D"/>
    <w:rsid w:val="004B116E"/>
    <w:rsid w:val="004B24CF"/>
    <w:rsid w:val="004D46D1"/>
    <w:rsid w:val="004D5495"/>
    <w:rsid w:val="004E5DAF"/>
    <w:rsid w:val="004F32FF"/>
    <w:rsid w:val="00514855"/>
    <w:rsid w:val="0052542A"/>
    <w:rsid w:val="00543CA9"/>
    <w:rsid w:val="00555D75"/>
    <w:rsid w:val="00560FA5"/>
    <w:rsid w:val="00566FEC"/>
    <w:rsid w:val="00587745"/>
    <w:rsid w:val="005C7B43"/>
    <w:rsid w:val="005D2D38"/>
    <w:rsid w:val="005E5DA6"/>
    <w:rsid w:val="00612447"/>
    <w:rsid w:val="006379F1"/>
    <w:rsid w:val="00647F5C"/>
    <w:rsid w:val="00655E27"/>
    <w:rsid w:val="006770FA"/>
    <w:rsid w:val="006771DA"/>
    <w:rsid w:val="0068107B"/>
    <w:rsid w:val="00683BC8"/>
    <w:rsid w:val="00685E69"/>
    <w:rsid w:val="006903E9"/>
    <w:rsid w:val="00693278"/>
    <w:rsid w:val="00696DC6"/>
    <w:rsid w:val="006A2989"/>
    <w:rsid w:val="006A7619"/>
    <w:rsid w:val="006E0161"/>
    <w:rsid w:val="00705A1E"/>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37D93"/>
    <w:rsid w:val="00855EF3"/>
    <w:rsid w:val="008639DD"/>
    <w:rsid w:val="00873DB6"/>
    <w:rsid w:val="00895E54"/>
    <w:rsid w:val="008C674C"/>
    <w:rsid w:val="008F2746"/>
    <w:rsid w:val="00901136"/>
    <w:rsid w:val="00905D53"/>
    <w:rsid w:val="00921AEC"/>
    <w:rsid w:val="00925E06"/>
    <w:rsid w:val="009349E7"/>
    <w:rsid w:val="009468CF"/>
    <w:rsid w:val="00954D9A"/>
    <w:rsid w:val="009603D3"/>
    <w:rsid w:val="00975BD6"/>
    <w:rsid w:val="009D3675"/>
    <w:rsid w:val="009D498C"/>
    <w:rsid w:val="009D796E"/>
    <w:rsid w:val="00A136D0"/>
    <w:rsid w:val="00A32DBC"/>
    <w:rsid w:val="00A3749C"/>
    <w:rsid w:val="00A76277"/>
    <w:rsid w:val="00A824EF"/>
    <w:rsid w:val="00A869F3"/>
    <w:rsid w:val="00A86B89"/>
    <w:rsid w:val="00B05751"/>
    <w:rsid w:val="00B353ED"/>
    <w:rsid w:val="00B36263"/>
    <w:rsid w:val="00B379B8"/>
    <w:rsid w:val="00B5633A"/>
    <w:rsid w:val="00B77F39"/>
    <w:rsid w:val="00B82572"/>
    <w:rsid w:val="00B83264"/>
    <w:rsid w:val="00BB60E1"/>
    <w:rsid w:val="00BC4EE1"/>
    <w:rsid w:val="00BE3B0F"/>
    <w:rsid w:val="00BF39EE"/>
    <w:rsid w:val="00BF54BF"/>
    <w:rsid w:val="00C07B22"/>
    <w:rsid w:val="00C116C2"/>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F02D3E"/>
    <w:rsid w:val="00F17924"/>
    <w:rsid w:val="00F30933"/>
    <w:rsid w:val="00F7230A"/>
    <w:rsid w:val="00F724A6"/>
    <w:rsid w:val="00F829FC"/>
    <w:rsid w:val="00F92024"/>
    <w:rsid w:val="00FA1182"/>
    <w:rsid w:val="00FC34D9"/>
    <w:rsid w:val="00FE27EF"/>
    <w:rsid w:val="00FF23E8"/>
    <w:rsid w:val="00FF28A7"/>
    <w:rsid w:val="07410709"/>
    <w:rsid w:val="077633E2"/>
    <w:rsid w:val="0D9633F1"/>
    <w:rsid w:val="0F913D0D"/>
    <w:rsid w:val="1BF34DB3"/>
    <w:rsid w:val="1C995487"/>
    <w:rsid w:val="1D9236E6"/>
    <w:rsid w:val="1E2F40AA"/>
    <w:rsid w:val="1E8E65A3"/>
    <w:rsid w:val="208337BA"/>
    <w:rsid w:val="20A57BD4"/>
    <w:rsid w:val="233E073A"/>
    <w:rsid w:val="24101808"/>
    <w:rsid w:val="29177872"/>
    <w:rsid w:val="292F6A67"/>
    <w:rsid w:val="2B8E0000"/>
    <w:rsid w:val="35E6686D"/>
    <w:rsid w:val="39096AFA"/>
    <w:rsid w:val="459A64D3"/>
    <w:rsid w:val="467D7B77"/>
    <w:rsid w:val="46EA14CF"/>
    <w:rsid w:val="4C070C02"/>
    <w:rsid w:val="4C324162"/>
    <w:rsid w:val="4FB24323"/>
    <w:rsid w:val="5200731B"/>
    <w:rsid w:val="525E7A5F"/>
    <w:rsid w:val="52833022"/>
    <w:rsid w:val="53334A48"/>
    <w:rsid w:val="53AF7E46"/>
    <w:rsid w:val="5AE40D1D"/>
    <w:rsid w:val="5CA72002"/>
    <w:rsid w:val="5F994A9B"/>
    <w:rsid w:val="66B12C96"/>
    <w:rsid w:val="68AE1786"/>
    <w:rsid w:val="68EA193E"/>
    <w:rsid w:val="6A6D6639"/>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DEC-C107-445F-9040-47BE211C640A}">
  <ds:schemaRefs/>
</ds:datastoreItem>
</file>

<file path=docProps/app.xml><?xml version="1.0" encoding="utf-8"?>
<Properties xmlns="http://schemas.openxmlformats.org/officeDocument/2006/extended-properties" xmlns:vt="http://schemas.openxmlformats.org/officeDocument/2006/docPropsVTypes">
  <Template>Normal</Template>
  <Company>Windsoft</Company>
  <Pages>5</Pages>
  <Words>2030</Words>
  <Characters>2079</Characters>
  <Lines>15</Lines>
  <Paragraphs>4</Paragraphs>
  <TotalTime>0</TotalTime>
  <ScaleCrop>false</ScaleCrop>
  <LinksUpToDate>false</LinksUpToDate>
  <CharactersWithSpaces>2119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鲍</cp:lastModifiedBy>
  <cp:lastPrinted>2022-05-11T05:51:00Z</cp:lastPrinted>
  <dcterms:modified xsi:type="dcterms:W3CDTF">2025-10-21T05:23:25Z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363D128E8E8C4C2EBD8506CCEEF208AF_12</vt:lpwstr>
  </property>
  <property fmtid="{D5CDD505-2E9C-101B-9397-08002B2CF9AE}" pid="4" name="KSOTemplateDocerSaveRecord">
    <vt:lpwstr>eyJoZGlkIjoiYzQ4MjFkYmM4NmFlNTE3OTBhMTQwMGMzYWFiZjdiOGEiLCJ1c2VySWQiOiI5NjMyOTE2MjUifQ==</vt:lpwstr>
  </property>
</Properties>
</file>