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ED136">
      <w:pPr>
        <w:jc w:val="center"/>
      </w:pPr>
    </w:p>
    <w:p w14:paraId="2002A53A">
      <w:pPr>
        <w:jc w:val="center"/>
      </w:pPr>
    </w:p>
    <w:p w14:paraId="5C77BC5E">
      <w:pPr>
        <w:jc w:val="center"/>
      </w:pPr>
    </w:p>
    <w:p w14:paraId="77F0F5A7">
      <w:pPr>
        <w:jc w:val="center"/>
      </w:pPr>
    </w:p>
    <w:p w14:paraId="631206F5">
      <w:pPr>
        <w:jc w:val="center"/>
      </w:pPr>
    </w:p>
    <w:p w14:paraId="0D0D2BF1">
      <w:pPr>
        <w:jc w:val="center"/>
      </w:pPr>
    </w:p>
    <w:p w14:paraId="551AA0A6">
      <w:pPr>
        <w:jc w:val="center"/>
      </w:pPr>
    </w:p>
    <w:p w14:paraId="3DC3602D">
      <w:pPr>
        <w:jc w:val="center"/>
      </w:pPr>
    </w:p>
    <w:p w14:paraId="5008AF0C">
      <w:pPr>
        <w:jc w:val="center"/>
      </w:pPr>
    </w:p>
    <w:p w14:paraId="459872EE">
      <w:pPr>
        <w:jc w:val="center"/>
      </w:pPr>
    </w:p>
    <w:p w14:paraId="6B2F30BE">
      <w:pPr>
        <w:jc w:val="center"/>
      </w:pPr>
    </w:p>
    <w:p w14:paraId="5356E5AF">
      <w:pPr>
        <w:jc w:val="center"/>
      </w:pPr>
    </w:p>
    <w:p w14:paraId="44AD0897">
      <w:pPr>
        <w:jc w:val="center"/>
      </w:pPr>
    </w:p>
    <w:p w14:paraId="2EB4B4B2">
      <w:pPr>
        <w:jc w:val="center"/>
        <w:rPr>
          <w:rFonts w:ascii="迷你简小标宋" w:hAnsi="宋体" w:eastAsia="迷你简小标宋"/>
          <w:w w:val="90"/>
          <w:sz w:val="44"/>
          <w:szCs w:val="44"/>
        </w:rPr>
      </w:pPr>
      <w:r>
        <w:rPr>
          <w:rFonts w:hint="eastAsia" w:ascii="迷你简小标宋" w:hAnsi="宋体" w:eastAsia="迷你简小标宋"/>
          <w:w w:val="90"/>
          <w:sz w:val="44"/>
          <w:szCs w:val="44"/>
        </w:rPr>
        <w:t>《</w:t>
      </w:r>
      <w:r>
        <w:rPr>
          <w:rFonts w:hint="eastAsia" w:ascii="迷你简小标宋" w:hAnsi="宋体" w:eastAsia="迷你简小标宋"/>
          <w:w w:val="90"/>
          <w:sz w:val="44"/>
          <w:szCs w:val="44"/>
          <w:lang w:eastAsia="zh-CN"/>
        </w:rPr>
        <w:t>智慧零碳园区能碳一体化智能管理平台技术规范</w:t>
      </w:r>
      <w:r>
        <w:rPr>
          <w:rFonts w:hint="eastAsia" w:ascii="迷你简小标宋" w:hAnsi="宋体" w:eastAsia="迷你简小标宋"/>
          <w:w w:val="90"/>
          <w:sz w:val="44"/>
          <w:szCs w:val="44"/>
        </w:rPr>
        <w:t>》</w:t>
      </w:r>
    </w:p>
    <w:p w14:paraId="69EBE37C">
      <w:pPr>
        <w:jc w:val="center"/>
        <w:rPr>
          <w:rFonts w:ascii="迷你简小标宋" w:hAnsi="宋体" w:eastAsia="迷你简小标宋"/>
          <w:sz w:val="44"/>
          <w:szCs w:val="44"/>
        </w:rPr>
      </w:pPr>
    </w:p>
    <w:p w14:paraId="1C9D397D">
      <w:pPr>
        <w:jc w:val="center"/>
        <w:rPr>
          <w:rFonts w:ascii="迷你简小标宋" w:hAnsi="宋体" w:eastAsia="迷你简小标宋"/>
          <w:sz w:val="44"/>
          <w:szCs w:val="44"/>
        </w:rPr>
      </w:pPr>
      <w:r>
        <w:rPr>
          <w:rFonts w:hint="eastAsia" w:ascii="迷你简小标宋" w:hAnsi="宋体" w:eastAsia="迷你简小标宋"/>
          <w:sz w:val="44"/>
          <w:szCs w:val="44"/>
        </w:rPr>
        <w:t>编制说明</w:t>
      </w:r>
    </w:p>
    <w:p w14:paraId="736FEAF8">
      <w:pPr>
        <w:jc w:val="center"/>
      </w:pPr>
    </w:p>
    <w:p w14:paraId="01B6C3D2">
      <w:pPr>
        <w:jc w:val="center"/>
      </w:pPr>
    </w:p>
    <w:p w14:paraId="77D9F33B">
      <w:pPr>
        <w:jc w:val="center"/>
      </w:pPr>
    </w:p>
    <w:p w14:paraId="10226557">
      <w:pPr>
        <w:jc w:val="center"/>
      </w:pPr>
    </w:p>
    <w:p w14:paraId="1357C98A">
      <w:pPr>
        <w:jc w:val="center"/>
      </w:pPr>
    </w:p>
    <w:p w14:paraId="7D134B4F">
      <w:pPr>
        <w:jc w:val="center"/>
      </w:pPr>
    </w:p>
    <w:p w14:paraId="7BE8B5C7">
      <w:pPr>
        <w:jc w:val="center"/>
      </w:pPr>
    </w:p>
    <w:p w14:paraId="5480E5D6">
      <w:pPr>
        <w:jc w:val="center"/>
      </w:pPr>
    </w:p>
    <w:p w14:paraId="6E6068DB">
      <w:pPr>
        <w:jc w:val="center"/>
      </w:pPr>
    </w:p>
    <w:p w14:paraId="18D15AC8">
      <w:pPr>
        <w:jc w:val="center"/>
      </w:pPr>
    </w:p>
    <w:p w14:paraId="13F59ACE">
      <w:pPr>
        <w:jc w:val="center"/>
      </w:pPr>
    </w:p>
    <w:p w14:paraId="0EECF468">
      <w:pPr>
        <w:jc w:val="center"/>
      </w:pPr>
    </w:p>
    <w:p w14:paraId="0E694D72">
      <w:pPr>
        <w:jc w:val="center"/>
      </w:pPr>
    </w:p>
    <w:p w14:paraId="7E873F00">
      <w:pPr>
        <w:jc w:val="center"/>
      </w:pPr>
    </w:p>
    <w:p w14:paraId="78939DAC">
      <w:pPr>
        <w:jc w:val="center"/>
      </w:pPr>
    </w:p>
    <w:p w14:paraId="2D6F959F">
      <w:pPr>
        <w:jc w:val="center"/>
      </w:pPr>
    </w:p>
    <w:p w14:paraId="69FC2B43">
      <w:pPr>
        <w:jc w:val="center"/>
        <w:rPr>
          <w:rFonts w:ascii="宋体" w:hAnsi="宋体" w:eastAsia="宋体"/>
          <w:sz w:val="28"/>
          <w:szCs w:val="28"/>
        </w:rPr>
      </w:pPr>
      <w:r>
        <w:rPr>
          <w:rFonts w:hint="eastAsia" w:ascii="宋体" w:hAnsi="宋体" w:eastAsia="宋体"/>
          <w:sz w:val="28"/>
          <w:szCs w:val="28"/>
        </w:rPr>
        <w:t xml:space="preserve">团标制定工作组 </w:t>
      </w:r>
    </w:p>
    <w:p w14:paraId="515B7D5C">
      <w:pPr>
        <w:jc w:val="center"/>
        <w:rPr>
          <w:rFonts w:ascii="宋体" w:hAnsi="宋体" w:eastAsia="宋体"/>
          <w:sz w:val="28"/>
          <w:szCs w:val="28"/>
        </w:rPr>
      </w:pPr>
    </w:p>
    <w:p w14:paraId="7DA712DB">
      <w:pPr>
        <w:jc w:val="center"/>
        <w:rPr>
          <w:rFonts w:ascii="宋体" w:hAnsi="宋体" w:eastAsia="宋体"/>
          <w:sz w:val="28"/>
          <w:szCs w:val="28"/>
        </w:rPr>
      </w:pPr>
      <w:r>
        <w:rPr>
          <w:rFonts w:hint="eastAsia" w:ascii="宋体" w:hAnsi="宋体" w:eastAsia="宋体"/>
          <w:sz w:val="28"/>
          <w:szCs w:val="28"/>
        </w:rPr>
        <w:t>二零二五年</w:t>
      </w:r>
      <w:r>
        <w:rPr>
          <w:rFonts w:hint="eastAsia" w:ascii="宋体" w:hAnsi="宋体" w:eastAsia="宋体"/>
          <w:sz w:val="28"/>
          <w:szCs w:val="28"/>
          <w:lang w:val="en-US" w:eastAsia="zh-CN"/>
        </w:rPr>
        <w:t>十</w:t>
      </w:r>
      <w:r>
        <w:rPr>
          <w:rFonts w:hint="eastAsia" w:ascii="宋体" w:hAnsi="宋体" w:eastAsia="宋体"/>
          <w:sz w:val="28"/>
          <w:szCs w:val="28"/>
        </w:rPr>
        <w:t>月</w:t>
      </w:r>
    </w:p>
    <w:p w14:paraId="3721391A">
      <w:pPr>
        <w:jc w:val="center"/>
        <w:rPr>
          <w:rFonts w:ascii="宋体" w:hAnsi="宋体" w:eastAsia="宋体"/>
          <w:sz w:val="28"/>
          <w:szCs w:val="28"/>
        </w:rPr>
      </w:pPr>
    </w:p>
    <w:p w14:paraId="088E7812">
      <w:pPr>
        <w:jc w:val="center"/>
        <w:rPr>
          <w:rFonts w:ascii="宋体" w:hAnsi="宋体" w:eastAsia="宋体"/>
          <w:sz w:val="28"/>
          <w:szCs w:val="28"/>
        </w:rPr>
      </w:pPr>
    </w:p>
    <w:p w14:paraId="7C9C3E86">
      <w:pPr>
        <w:jc w:val="center"/>
        <w:rPr>
          <w:rFonts w:ascii="宋体" w:hAnsi="宋体" w:eastAsia="宋体"/>
          <w:sz w:val="28"/>
          <w:szCs w:val="28"/>
        </w:rPr>
      </w:pPr>
    </w:p>
    <w:p w14:paraId="7ADD62C4">
      <w:pPr>
        <w:jc w:val="center"/>
        <w:rPr>
          <w:rFonts w:ascii="宋体" w:hAnsi="宋体" w:eastAsia="宋体"/>
          <w:sz w:val="28"/>
          <w:szCs w:val="28"/>
        </w:rPr>
      </w:pPr>
    </w:p>
    <w:p w14:paraId="2AF905CC">
      <w:pPr>
        <w:jc w:val="center"/>
        <w:rPr>
          <w:rFonts w:ascii="宋体" w:hAnsi="宋体" w:eastAsia="宋体"/>
          <w:sz w:val="28"/>
          <w:szCs w:val="28"/>
        </w:rPr>
      </w:pPr>
    </w:p>
    <w:p w14:paraId="759A5049">
      <w:pPr>
        <w:jc w:val="center"/>
        <w:rPr>
          <w:rFonts w:ascii="宋体" w:hAnsi="宋体" w:eastAsia="宋体"/>
          <w:sz w:val="28"/>
          <w:szCs w:val="28"/>
        </w:rPr>
      </w:pPr>
    </w:p>
    <w:p w14:paraId="4C3BE433">
      <w:pPr>
        <w:spacing w:line="360" w:lineRule="auto"/>
        <w:jc w:val="left"/>
        <w:rPr>
          <w:rFonts w:ascii="宋体" w:hAnsi="宋体" w:eastAsia="宋体"/>
          <w:b/>
          <w:bCs/>
          <w:sz w:val="28"/>
          <w:szCs w:val="28"/>
        </w:rPr>
      </w:pPr>
      <w:r>
        <w:rPr>
          <w:rFonts w:hint="eastAsia" w:ascii="宋体" w:hAnsi="宋体" w:eastAsia="宋体"/>
          <w:b/>
          <w:bCs/>
          <w:sz w:val="28"/>
          <w:szCs w:val="28"/>
        </w:rPr>
        <w:t xml:space="preserve">一、工作简况 </w:t>
      </w:r>
    </w:p>
    <w:p w14:paraId="37E9C43E">
      <w:pPr>
        <w:spacing w:line="360" w:lineRule="auto"/>
        <w:jc w:val="left"/>
        <w:rPr>
          <w:rFonts w:ascii="宋体" w:hAnsi="宋体" w:eastAsia="宋体"/>
          <w:b/>
          <w:bCs/>
          <w:sz w:val="28"/>
          <w:szCs w:val="28"/>
        </w:rPr>
      </w:pPr>
      <w:r>
        <w:rPr>
          <w:rFonts w:hint="eastAsia" w:ascii="宋体" w:hAnsi="宋体" w:eastAsia="宋体"/>
          <w:b/>
          <w:bCs/>
          <w:sz w:val="28"/>
          <w:szCs w:val="28"/>
        </w:rPr>
        <w:t>（一）任务来源</w:t>
      </w:r>
    </w:p>
    <w:p w14:paraId="116DFE2C">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中国中小企业协会下达的</w:t>
      </w:r>
      <w:r>
        <w:rPr>
          <w:rFonts w:ascii="宋体" w:hAnsi="宋体" w:eastAsia="宋体"/>
          <w:sz w:val="28"/>
          <w:szCs w:val="28"/>
        </w:rPr>
        <w:t>202</w:t>
      </w:r>
      <w:r>
        <w:rPr>
          <w:rFonts w:hint="eastAsia" w:ascii="宋体" w:hAnsi="宋体" w:eastAsia="宋体"/>
          <w:sz w:val="28"/>
          <w:szCs w:val="28"/>
          <w:lang w:val="en-US" w:eastAsia="zh-CN"/>
        </w:rPr>
        <w:t>5</w:t>
      </w:r>
      <w:r>
        <w:rPr>
          <w:rFonts w:ascii="宋体" w:hAnsi="宋体" w:eastAsia="宋体"/>
          <w:sz w:val="28"/>
          <w:szCs w:val="28"/>
        </w:rPr>
        <w:t>年团体标准修订编制计划，将《</w:t>
      </w:r>
      <w:r>
        <w:rPr>
          <w:rFonts w:hint="eastAsia" w:ascii="宋体" w:hAnsi="宋体" w:eastAsia="宋体"/>
          <w:sz w:val="28"/>
          <w:szCs w:val="28"/>
          <w:lang w:eastAsia="zh-CN"/>
        </w:rPr>
        <w:t>智慧零碳园区能碳一体化智能管理平台技术规范</w:t>
      </w:r>
      <w:r>
        <w:rPr>
          <w:rFonts w:ascii="宋体" w:hAnsi="宋体" w:eastAsia="宋体"/>
          <w:sz w:val="28"/>
          <w:szCs w:val="28"/>
        </w:rPr>
        <w:t>》列为标准编制项目，并于202</w:t>
      </w:r>
      <w:r>
        <w:rPr>
          <w:rFonts w:hint="eastAsia" w:ascii="宋体" w:hAnsi="宋体" w:eastAsia="宋体"/>
          <w:sz w:val="28"/>
          <w:szCs w:val="28"/>
          <w:lang w:val="en-US" w:eastAsia="zh-CN"/>
        </w:rPr>
        <w:t>5</w:t>
      </w:r>
      <w:r>
        <w:rPr>
          <w:rFonts w:ascii="宋体" w:hAnsi="宋体" w:eastAsia="宋体"/>
          <w:sz w:val="28"/>
          <w:szCs w:val="28"/>
        </w:rPr>
        <w:t>年</w:t>
      </w:r>
      <w:r>
        <w:rPr>
          <w:rFonts w:hint="eastAsia" w:ascii="宋体" w:hAnsi="宋体" w:eastAsia="宋体"/>
          <w:sz w:val="28"/>
          <w:szCs w:val="28"/>
          <w:lang w:val="en-US" w:eastAsia="zh-CN"/>
        </w:rPr>
        <w:t>9</w:t>
      </w:r>
      <w:r>
        <w:rPr>
          <w:rFonts w:ascii="宋体" w:hAnsi="宋体" w:eastAsia="宋体"/>
          <w:sz w:val="28"/>
          <w:szCs w:val="28"/>
        </w:rPr>
        <w:t>月在全国团体标准信息平台上进行了立项公告。</w:t>
      </w:r>
    </w:p>
    <w:p w14:paraId="35C07B21">
      <w:pPr>
        <w:numPr>
          <w:ilvl w:val="0"/>
          <w:numId w:val="2"/>
        </w:numPr>
        <w:spacing w:line="360" w:lineRule="auto"/>
        <w:jc w:val="left"/>
        <w:rPr>
          <w:rFonts w:ascii="宋体" w:hAnsi="宋体" w:eastAsia="宋体"/>
          <w:b/>
          <w:bCs/>
          <w:sz w:val="28"/>
          <w:szCs w:val="28"/>
        </w:rPr>
      </w:pPr>
      <w:r>
        <w:rPr>
          <w:rFonts w:hint="eastAsia" w:ascii="宋体" w:hAnsi="宋体" w:eastAsia="宋体"/>
          <w:b/>
          <w:bCs/>
          <w:sz w:val="28"/>
          <w:szCs w:val="28"/>
        </w:rPr>
        <w:t>编制</w:t>
      </w:r>
      <w:r>
        <w:rPr>
          <w:rFonts w:ascii="宋体" w:hAnsi="宋体" w:eastAsia="宋体"/>
          <w:b/>
          <w:bCs/>
          <w:sz w:val="28"/>
          <w:szCs w:val="28"/>
        </w:rPr>
        <w:t xml:space="preserve">背景及目的 </w:t>
      </w:r>
    </w:p>
    <w:p w14:paraId="5BF1C153">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lang w:val="en-US" w:eastAsia="zh-CN"/>
        </w:rPr>
        <w:t>在</w:t>
      </w:r>
      <w:r>
        <w:rPr>
          <w:rFonts w:hint="eastAsia" w:ascii="宋体" w:hAnsi="宋体" w:eastAsia="宋体"/>
          <w:sz w:val="28"/>
          <w:szCs w:val="28"/>
        </w:rPr>
        <w:t>“双碳”目标推动下，智慧零碳园区作为产业集聚的核心单元</w:t>
      </w:r>
      <w:r>
        <w:rPr>
          <w:rFonts w:hint="eastAsia" w:ascii="宋体" w:hAnsi="宋体" w:eastAsia="宋体"/>
          <w:sz w:val="28"/>
          <w:szCs w:val="28"/>
          <w:lang w:eastAsia="zh-CN"/>
        </w:rPr>
        <w:t>，</w:t>
      </w:r>
      <w:r>
        <w:rPr>
          <w:rFonts w:hint="eastAsia" w:ascii="宋体" w:hAnsi="宋体" w:eastAsia="宋体"/>
          <w:sz w:val="28"/>
          <w:szCs w:val="28"/>
        </w:rPr>
        <w:t>成为城市低碳转型的核心载体</w:t>
      </w:r>
      <w:r>
        <w:rPr>
          <w:rFonts w:hint="eastAsia" w:ascii="宋体" w:hAnsi="宋体" w:eastAsia="宋体"/>
          <w:sz w:val="28"/>
          <w:szCs w:val="28"/>
          <w:lang w:eastAsia="zh-CN"/>
        </w:rPr>
        <w:t>。传统园区管理中，“能源管理”（如用电、用热、可再生能源消纳）与“碳管理”（如碳排放核算、减排目标追踪）多为独立模块，存在数据割裂、目标脱节等问题。例如仅关注能源节约，却未关联该行为对应的碳减排量，或仅核算碳排放却无法定位能源浪费导致的碳超排根源。</w:t>
      </w:r>
      <w:r>
        <w:rPr>
          <w:rFonts w:hint="eastAsia" w:ascii="宋体" w:hAnsi="宋体" w:eastAsia="宋体"/>
          <w:sz w:val="28"/>
          <w:szCs w:val="28"/>
        </w:rPr>
        <w:t>而“能碳一体化”管理是</w:t>
      </w:r>
      <w:r>
        <w:rPr>
          <w:rFonts w:hint="eastAsia" w:ascii="宋体" w:hAnsi="宋体" w:eastAsia="宋体"/>
          <w:sz w:val="28"/>
          <w:szCs w:val="28"/>
          <w:lang w:val="en-US" w:eastAsia="zh-CN"/>
        </w:rPr>
        <w:t>将传统独立的能源管理与新兴的碳管理需求深度融合，通过物联网、大数据、人工智能、数字孪生等新一代信息技术，实现“能碳协同”效应，让园区零碳目标从“宏观口号”转化为“可监测、可调控、可实现”的具体行动，是智慧零碳园区实现</w:t>
      </w:r>
      <w:r>
        <w:rPr>
          <w:rFonts w:hint="eastAsia" w:ascii="宋体" w:hAnsi="宋体" w:eastAsia="宋体"/>
          <w:sz w:val="28"/>
          <w:szCs w:val="28"/>
        </w:rPr>
        <w:t>零碳目标的关键路径。</w:t>
      </w:r>
    </w:p>
    <w:p w14:paraId="001EFFDC">
      <w:pPr>
        <w:spacing w:line="360" w:lineRule="auto"/>
        <w:ind w:firstLine="560" w:firstLineChars="200"/>
        <w:jc w:val="left"/>
        <w:rPr>
          <w:rFonts w:hint="eastAsia" w:ascii="宋体" w:hAnsi="宋体" w:eastAsia="宋体"/>
          <w:sz w:val="28"/>
          <w:szCs w:val="28"/>
          <w:lang w:val="en-US" w:eastAsia="zh-CN"/>
        </w:rPr>
      </w:pPr>
      <w:r>
        <w:rPr>
          <w:rFonts w:hint="eastAsia" w:ascii="宋体" w:hAnsi="宋体" w:eastAsia="宋体"/>
          <w:sz w:val="28"/>
          <w:szCs w:val="28"/>
        </w:rPr>
        <w:t>智慧零碳园区能碳一体化智能管理</w:t>
      </w:r>
      <w:r>
        <w:rPr>
          <w:rFonts w:hint="eastAsia" w:ascii="宋体" w:hAnsi="宋体" w:eastAsia="宋体"/>
          <w:sz w:val="28"/>
          <w:szCs w:val="28"/>
          <w:lang w:val="en-US" w:eastAsia="zh-CN"/>
        </w:rPr>
        <w:t>平台是打通“能源流-碳流-数据流”全链路，助力</w:t>
      </w:r>
      <w:r>
        <w:rPr>
          <w:rFonts w:hint="eastAsia" w:ascii="宋体" w:hAnsi="宋体" w:eastAsia="宋体"/>
          <w:sz w:val="28"/>
          <w:szCs w:val="28"/>
        </w:rPr>
        <w:t>智慧零碳园区</w:t>
      </w:r>
      <w:r>
        <w:rPr>
          <w:rFonts w:hint="eastAsia" w:ascii="宋体" w:hAnsi="宋体" w:eastAsia="宋体"/>
          <w:sz w:val="28"/>
          <w:szCs w:val="28"/>
          <w:lang w:val="en-US" w:eastAsia="zh-CN"/>
        </w:rPr>
        <w:t>实现</w:t>
      </w:r>
      <w:r>
        <w:rPr>
          <w:rFonts w:hint="eastAsia" w:ascii="宋体" w:hAnsi="宋体" w:eastAsia="宋体"/>
          <w:sz w:val="28"/>
          <w:szCs w:val="28"/>
        </w:rPr>
        <w:t>“能碳一体化”管理</w:t>
      </w:r>
      <w:r>
        <w:rPr>
          <w:rFonts w:hint="eastAsia" w:ascii="宋体" w:hAnsi="宋体" w:eastAsia="宋体"/>
          <w:sz w:val="28"/>
          <w:szCs w:val="28"/>
          <w:lang w:val="en-US" w:eastAsia="zh-CN"/>
        </w:rPr>
        <w:t>的智能化数字管理系统。但当前</w:t>
      </w:r>
      <w:r>
        <w:rPr>
          <w:rFonts w:hint="eastAsia" w:ascii="宋体" w:hAnsi="宋体" w:eastAsia="宋体"/>
          <w:sz w:val="28"/>
          <w:szCs w:val="28"/>
        </w:rPr>
        <w:t>智慧零碳园区建设存在明显的“碎片化”问题：不同园区、不同企业基于自身认知搭建管理平台，部分项目陷入“重概念、轻实效”“重硬件、轻协同”的误区，甚至出现“伪零碳</w:t>
      </w:r>
      <w:r>
        <w:rPr>
          <w:rFonts w:hint="eastAsia" w:ascii="宋体" w:hAnsi="宋体" w:eastAsia="宋体"/>
          <w:sz w:val="28"/>
          <w:szCs w:val="28"/>
          <w:lang w:eastAsia="zh-CN"/>
        </w:rPr>
        <w:t>”</w:t>
      </w:r>
      <w:r>
        <w:rPr>
          <w:rFonts w:hint="eastAsia" w:ascii="宋体" w:hAnsi="宋体" w:eastAsia="宋体"/>
          <w:sz w:val="28"/>
          <w:szCs w:val="28"/>
        </w:rPr>
        <w:t>“数据造假”等现象</w:t>
      </w:r>
      <w:r>
        <w:rPr>
          <w:rFonts w:hint="eastAsia" w:ascii="宋体" w:hAnsi="宋体" w:eastAsia="宋体"/>
          <w:sz w:val="28"/>
          <w:szCs w:val="28"/>
          <w:lang w:eastAsia="zh-CN"/>
        </w:rPr>
        <w:t>。</w:t>
      </w:r>
      <w:r>
        <w:rPr>
          <w:rFonts w:hint="eastAsia" w:ascii="宋体" w:hAnsi="宋体" w:eastAsia="宋体"/>
          <w:sz w:val="28"/>
          <w:szCs w:val="28"/>
          <w:lang w:val="en-US" w:eastAsia="zh-CN"/>
        </w:rPr>
        <w:t>因此，亟须制定标准对</w:t>
      </w:r>
      <w:r>
        <w:rPr>
          <w:rFonts w:hint="eastAsia" w:ascii="宋体" w:hAnsi="宋体" w:eastAsia="宋体"/>
          <w:sz w:val="28"/>
          <w:szCs w:val="28"/>
        </w:rPr>
        <w:t>智慧零碳园区能碳一体化智能管理</w:t>
      </w:r>
      <w:r>
        <w:rPr>
          <w:rFonts w:hint="eastAsia" w:ascii="宋体" w:hAnsi="宋体" w:eastAsia="宋体"/>
          <w:sz w:val="28"/>
          <w:szCs w:val="28"/>
          <w:lang w:val="en-US" w:eastAsia="zh-CN"/>
        </w:rPr>
        <w:t>平台的架构、功能、性能、接口等要求进行统一规定，</w:t>
      </w:r>
      <w:r>
        <w:rPr>
          <w:rFonts w:hint="eastAsia" w:ascii="宋体" w:hAnsi="宋体" w:eastAsia="宋体"/>
          <w:sz w:val="28"/>
          <w:szCs w:val="28"/>
        </w:rPr>
        <w:t>避免企业“各自为战”导致的资源浪费</w:t>
      </w:r>
      <w:r>
        <w:rPr>
          <w:rFonts w:hint="eastAsia" w:ascii="宋体" w:hAnsi="宋体" w:eastAsia="宋体"/>
          <w:sz w:val="28"/>
          <w:szCs w:val="28"/>
          <w:lang w:val="en-US" w:eastAsia="zh-CN"/>
        </w:rPr>
        <w:t>以及园区管理运行的效率低下。</w:t>
      </w:r>
    </w:p>
    <w:p w14:paraId="16906CB8">
      <w:pPr>
        <w:spacing w:line="360" w:lineRule="auto"/>
        <w:jc w:val="left"/>
        <w:rPr>
          <w:rFonts w:ascii="宋体" w:hAnsi="宋体" w:eastAsia="宋体"/>
          <w:sz w:val="28"/>
          <w:szCs w:val="28"/>
        </w:rPr>
      </w:pPr>
      <w:r>
        <w:rPr>
          <w:rFonts w:hint="eastAsia" w:ascii="宋体" w:hAnsi="宋体" w:eastAsia="宋体"/>
          <w:b/>
          <w:bCs/>
          <w:sz w:val="28"/>
          <w:szCs w:val="28"/>
        </w:rPr>
        <w:t>（三）</w:t>
      </w:r>
      <w:r>
        <w:rPr>
          <w:rFonts w:ascii="宋体" w:hAnsi="宋体" w:eastAsia="宋体"/>
          <w:b/>
          <w:bCs/>
          <w:sz w:val="28"/>
          <w:szCs w:val="28"/>
        </w:rPr>
        <w:t>编制过程</w:t>
      </w:r>
      <w:r>
        <w:rPr>
          <w:rFonts w:ascii="宋体" w:hAnsi="宋体" w:eastAsia="宋体"/>
          <w:sz w:val="28"/>
          <w:szCs w:val="28"/>
        </w:rPr>
        <w:t xml:space="preserve"> </w:t>
      </w:r>
    </w:p>
    <w:p w14:paraId="767ECE4D">
      <w:pPr>
        <w:spacing w:line="360" w:lineRule="auto"/>
        <w:jc w:val="left"/>
        <w:rPr>
          <w:rFonts w:ascii="宋体" w:hAnsi="宋体" w:eastAsia="宋体"/>
          <w:sz w:val="28"/>
          <w:szCs w:val="28"/>
        </w:rPr>
      </w:pPr>
      <w:r>
        <w:rPr>
          <w:rFonts w:hint="eastAsia" w:ascii="宋体" w:hAnsi="宋体" w:eastAsia="宋体"/>
          <w:sz w:val="28"/>
          <w:szCs w:val="28"/>
        </w:rPr>
        <w:t xml:space="preserve">    202</w:t>
      </w:r>
      <w:r>
        <w:rPr>
          <w:rFonts w:hint="eastAsia" w:ascii="宋体" w:hAnsi="宋体" w:eastAsia="宋体"/>
          <w:sz w:val="28"/>
          <w:szCs w:val="28"/>
          <w:lang w:val="en-US" w:eastAsia="zh-CN"/>
        </w:rPr>
        <w:t>5</w:t>
      </w:r>
      <w:r>
        <w:rPr>
          <w:rFonts w:hint="eastAsia" w:ascii="宋体" w:hAnsi="宋体" w:eastAsia="宋体"/>
          <w:sz w:val="28"/>
          <w:szCs w:val="28"/>
        </w:rPr>
        <w:t xml:space="preserve"> 年</w:t>
      </w:r>
      <w:r>
        <w:rPr>
          <w:rFonts w:hint="eastAsia" w:ascii="宋体" w:hAnsi="宋体" w:eastAsia="宋体"/>
          <w:sz w:val="28"/>
          <w:szCs w:val="28"/>
          <w:lang w:val="en-US" w:eastAsia="zh-CN"/>
        </w:rPr>
        <w:t>9</w:t>
      </w:r>
      <w:r>
        <w:rPr>
          <w:rFonts w:hint="eastAsia" w:ascii="宋体" w:hAnsi="宋体" w:eastAsia="宋体"/>
          <w:sz w:val="28"/>
          <w:szCs w:val="28"/>
        </w:rPr>
        <w:t>月，完成《</w:t>
      </w:r>
      <w:r>
        <w:rPr>
          <w:rFonts w:hint="eastAsia" w:ascii="宋体" w:hAnsi="宋体" w:eastAsia="宋体"/>
          <w:sz w:val="28"/>
          <w:szCs w:val="28"/>
          <w:lang w:eastAsia="zh-CN"/>
        </w:rPr>
        <w:t>智慧零碳园区能碳一体化智能管理平台技术规范</w:t>
      </w:r>
      <w:r>
        <w:rPr>
          <w:rFonts w:hint="eastAsia" w:ascii="宋体" w:hAnsi="宋体" w:eastAsia="宋体"/>
          <w:sz w:val="28"/>
          <w:szCs w:val="28"/>
        </w:rPr>
        <w:t>》的立项。标准立项计划下达后，根据相关文件的要求，明确小组成员工作任务并制定了详细的工作计划。</w:t>
      </w:r>
    </w:p>
    <w:p w14:paraId="0D27C4A0">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202</w:t>
      </w:r>
      <w:r>
        <w:rPr>
          <w:rFonts w:hint="eastAsia" w:ascii="宋体" w:hAnsi="宋体" w:eastAsia="宋体"/>
          <w:sz w:val="28"/>
          <w:szCs w:val="28"/>
          <w:lang w:val="en-US" w:eastAsia="zh-CN"/>
        </w:rPr>
        <w:t>5</w:t>
      </w:r>
      <w:r>
        <w:rPr>
          <w:rFonts w:hint="eastAsia" w:ascii="宋体" w:hAnsi="宋体" w:eastAsia="宋体"/>
          <w:sz w:val="28"/>
          <w:szCs w:val="28"/>
        </w:rPr>
        <w:t xml:space="preserve"> 年</w:t>
      </w:r>
      <w:r>
        <w:rPr>
          <w:rFonts w:hint="eastAsia" w:ascii="宋体" w:hAnsi="宋体" w:eastAsia="宋体"/>
          <w:sz w:val="28"/>
          <w:szCs w:val="28"/>
          <w:lang w:val="en-US" w:eastAsia="zh-CN"/>
        </w:rPr>
        <w:t>9</w:t>
      </w:r>
      <w:r>
        <w:rPr>
          <w:rFonts w:hint="eastAsia" w:ascii="宋体" w:hAnsi="宋体" w:eastAsia="宋体"/>
          <w:sz w:val="28"/>
          <w:szCs w:val="28"/>
        </w:rPr>
        <w:t>月-2025年</w:t>
      </w:r>
      <w:r>
        <w:rPr>
          <w:rFonts w:hint="eastAsia" w:ascii="宋体" w:hAnsi="宋体" w:eastAsia="宋体"/>
          <w:sz w:val="28"/>
          <w:szCs w:val="28"/>
          <w:lang w:val="en-US" w:eastAsia="zh-CN"/>
        </w:rPr>
        <w:t>10</w:t>
      </w:r>
      <w:r>
        <w:rPr>
          <w:rFonts w:hint="eastAsia" w:ascii="宋体" w:hAnsi="宋体" w:eastAsia="宋体"/>
          <w:sz w:val="28"/>
          <w:szCs w:val="28"/>
        </w:rPr>
        <w:t>月，标准编制组对国内外的相关行业、标准、科研成果、专著等开展广泛、深入的调研，在此基础上完成《</w:t>
      </w:r>
      <w:r>
        <w:rPr>
          <w:rFonts w:hint="eastAsia" w:ascii="宋体" w:hAnsi="宋体" w:eastAsia="宋体"/>
          <w:sz w:val="28"/>
          <w:szCs w:val="28"/>
          <w:lang w:eastAsia="zh-CN"/>
        </w:rPr>
        <w:t>智慧零碳园区能碳一体化智能管理平台技术规范</w:t>
      </w:r>
      <w:r>
        <w:rPr>
          <w:rFonts w:hint="eastAsia" w:ascii="宋体" w:hAnsi="宋体" w:eastAsia="宋体"/>
          <w:sz w:val="28"/>
          <w:szCs w:val="28"/>
        </w:rPr>
        <w:t>》的草案。随后标准制定小组与相关专家经多次研究、讨论对草案进行数次修改，于2025年</w:t>
      </w:r>
      <w:r>
        <w:rPr>
          <w:rFonts w:hint="eastAsia" w:ascii="宋体" w:hAnsi="宋体" w:eastAsia="宋体"/>
          <w:sz w:val="28"/>
          <w:szCs w:val="28"/>
          <w:lang w:val="en-US" w:eastAsia="zh-CN"/>
        </w:rPr>
        <w:t>7</w:t>
      </w:r>
      <w:r>
        <w:rPr>
          <w:rFonts w:hint="eastAsia" w:ascii="宋体" w:hAnsi="宋体" w:eastAsia="宋体"/>
          <w:sz w:val="28"/>
          <w:szCs w:val="28"/>
        </w:rPr>
        <w:t>月</w:t>
      </w:r>
      <w:r>
        <w:rPr>
          <w:rFonts w:hint="eastAsia" w:ascii="宋体" w:hAnsi="宋体" w:eastAsia="宋体"/>
          <w:sz w:val="28"/>
          <w:szCs w:val="28"/>
          <w:lang w:val="en-US" w:eastAsia="zh-CN"/>
        </w:rPr>
        <w:t>初</w:t>
      </w:r>
      <w:r>
        <w:rPr>
          <w:rFonts w:hint="eastAsia" w:ascii="宋体" w:hAnsi="宋体" w:eastAsia="宋体"/>
          <w:sz w:val="28"/>
          <w:szCs w:val="28"/>
        </w:rPr>
        <w:t>提交《</w:t>
      </w:r>
      <w:r>
        <w:rPr>
          <w:rFonts w:hint="eastAsia" w:ascii="宋体" w:hAnsi="宋体" w:eastAsia="宋体"/>
          <w:sz w:val="28"/>
          <w:szCs w:val="28"/>
          <w:lang w:eastAsia="zh-CN"/>
        </w:rPr>
        <w:t>智慧零碳园区能碳一体化智能管理平台技术规范</w:t>
      </w:r>
      <w:r>
        <w:rPr>
          <w:rFonts w:hint="eastAsia" w:ascii="宋体" w:hAnsi="宋体" w:eastAsia="宋体"/>
          <w:sz w:val="28"/>
          <w:szCs w:val="28"/>
        </w:rPr>
        <w:t>》标准征求意见稿及征求意见稿编制说明，拟定在网上公示征求意见稿，广泛征求各方意见和建议。</w:t>
      </w:r>
    </w:p>
    <w:p w14:paraId="3B05C202">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制定小组将根据各方意见和建议对标准进行修改后形成送审稿。</w:t>
      </w:r>
    </w:p>
    <w:p w14:paraId="68FE3008">
      <w:pPr>
        <w:spacing w:line="360" w:lineRule="auto"/>
        <w:ind w:firstLine="560" w:firstLineChars="200"/>
        <w:jc w:val="left"/>
        <w:rPr>
          <w:rFonts w:ascii="宋体" w:hAnsi="宋体" w:eastAsia="宋体"/>
          <w:sz w:val="28"/>
          <w:szCs w:val="28"/>
        </w:rPr>
      </w:pPr>
    </w:p>
    <w:p w14:paraId="6BBF4348">
      <w:pPr>
        <w:spacing w:line="360" w:lineRule="auto"/>
        <w:jc w:val="left"/>
        <w:rPr>
          <w:rFonts w:ascii="宋体" w:hAnsi="宋体" w:eastAsia="宋体"/>
          <w:sz w:val="28"/>
          <w:szCs w:val="28"/>
        </w:rPr>
      </w:pPr>
      <w:r>
        <w:rPr>
          <w:rFonts w:hint="eastAsia" w:ascii="宋体" w:hAnsi="宋体" w:eastAsia="宋体"/>
          <w:b/>
          <w:bCs/>
          <w:sz w:val="28"/>
          <w:szCs w:val="28"/>
        </w:rPr>
        <w:t>（四）主要起草单位及起草人所做的工作</w:t>
      </w:r>
      <w:r>
        <w:rPr>
          <w:rFonts w:ascii="宋体" w:hAnsi="宋体" w:eastAsia="宋体"/>
          <w:sz w:val="28"/>
          <w:szCs w:val="28"/>
        </w:rPr>
        <w:t xml:space="preserve">  </w:t>
      </w:r>
    </w:p>
    <w:p w14:paraId="6C3190CF">
      <w:pPr>
        <w:spacing w:line="360" w:lineRule="auto"/>
        <w:ind w:firstLine="560"/>
        <w:jc w:val="left"/>
        <w:rPr>
          <w:rFonts w:ascii="宋体" w:hAnsi="宋体" w:eastAsia="宋体"/>
          <w:sz w:val="28"/>
          <w:szCs w:val="28"/>
        </w:rPr>
      </w:pPr>
      <w:r>
        <w:rPr>
          <w:rFonts w:hint="eastAsia" w:ascii="宋体" w:hAnsi="宋体" w:eastAsia="宋体"/>
          <w:sz w:val="28"/>
          <w:szCs w:val="28"/>
        </w:rPr>
        <w:t>由江苏乾艺蓝图智能科技有限公司</w:t>
      </w:r>
      <w:r>
        <w:rPr>
          <w:rFonts w:hint="eastAsia" w:ascii="宋体" w:hAnsi="宋体" w:eastAsia="宋体"/>
          <w:sz w:val="28"/>
          <w:szCs w:val="28"/>
        </w:rPr>
        <w:t>牵头专家成立的标准制定小组，在广泛调研、查阅和研究国际、国内的现行标准，结合行业现行技术痛点和空白，组织、协调和策划了标准征求意见稿的草拟和修改过程。</w:t>
      </w:r>
    </w:p>
    <w:p w14:paraId="142E64E5">
      <w:pPr>
        <w:spacing w:line="360" w:lineRule="auto"/>
        <w:ind w:firstLine="560"/>
        <w:jc w:val="left"/>
        <w:rPr>
          <w:rFonts w:ascii="宋体" w:hAnsi="宋体" w:eastAsia="宋体"/>
          <w:sz w:val="28"/>
          <w:szCs w:val="28"/>
        </w:rPr>
      </w:pPr>
    </w:p>
    <w:p w14:paraId="1B77B246">
      <w:pPr>
        <w:spacing w:line="360" w:lineRule="auto"/>
        <w:jc w:val="left"/>
        <w:rPr>
          <w:rFonts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标准编制原则和主要内容</w:t>
      </w:r>
    </w:p>
    <w:p w14:paraId="459702C7">
      <w:pPr>
        <w:spacing w:line="360" w:lineRule="auto"/>
        <w:jc w:val="left"/>
        <w:rPr>
          <w:rFonts w:ascii="宋体" w:hAnsi="宋体" w:eastAsia="宋体"/>
          <w:b/>
          <w:bCs/>
          <w:sz w:val="28"/>
          <w:szCs w:val="28"/>
        </w:rPr>
      </w:pPr>
      <w:r>
        <w:rPr>
          <w:rFonts w:hint="eastAsia" w:ascii="宋体" w:hAnsi="宋体" w:eastAsia="宋体"/>
          <w:b/>
          <w:bCs/>
          <w:sz w:val="28"/>
          <w:szCs w:val="28"/>
        </w:rPr>
        <w:t>（一）</w:t>
      </w:r>
      <w:r>
        <w:rPr>
          <w:rFonts w:ascii="宋体" w:hAnsi="宋体" w:eastAsia="宋体"/>
          <w:b/>
          <w:bCs/>
          <w:sz w:val="28"/>
          <w:szCs w:val="28"/>
        </w:rPr>
        <w:t>标准制定原则</w:t>
      </w:r>
    </w:p>
    <w:p w14:paraId="4CD78269">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本标准依据相关行业标准，标准编制遵循“前瞻性、实用性、 统一性、规范性”的原则，注重标准的可操作性，严格按照 GB/T 1.1-2020《标准化工作导则第1部分：标准化文件的结构和起草规则》的要求进行编写。</w:t>
      </w:r>
    </w:p>
    <w:p w14:paraId="08878A1F">
      <w:pPr>
        <w:spacing w:line="360" w:lineRule="auto"/>
        <w:ind w:firstLine="560" w:firstLineChars="200"/>
        <w:jc w:val="left"/>
        <w:rPr>
          <w:rFonts w:ascii="宋体" w:hAnsi="宋体" w:eastAsia="宋体"/>
          <w:sz w:val="28"/>
          <w:szCs w:val="28"/>
        </w:rPr>
      </w:pPr>
    </w:p>
    <w:p w14:paraId="0F0CF7D4">
      <w:pPr>
        <w:spacing w:line="360" w:lineRule="auto"/>
        <w:jc w:val="left"/>
        <w:rPr>
          <w:rFonts w:ascii="宋体" w:hAnsi="宋体" w:eastAsia="宋体"/>
          <w:sz w:val="28"/>
          <w:szCs w:val="28"/>
        </w:rPr>
      </w:pPr>
      <w:r>
        <w:rPr>
          <w:rFonts w:hint="eastAsia" w:ascii="宋体" w:hAnsi="宋体" w:eastAsia="宋体"/>
          <w:b/>
          <w:bCs/>
          <w:sz w:val="28"/>
          <w:szCs w:val="28"/>
        </w:rPr>
        <w:t>（二）</w:t>
      </w:r>
      <w:r>
        <w:rPr>
          <w:rFonts w:ascii="宋体" w:hAnsi="宋体" w:eastAsia="宋体"/>
          <w:b/>
          <w:bCs/>
          <w:sz w:val="28"/>
          <w:szCs w:val="28"/>
        </w:rPr>
        <w:t xml:space="preserve"> 标准主要技术内容 </w:t>
      </w:r>
      <w:r>
        <w:rPr>
          <w:rFonts w:ascii="宋体" w:hAnsi="宋体" w:eastAsia="宋体"/>
          <w:sz w:val="28"/>
          <w:szCs w:val="28"/>
        </w:rPr>
        <w:t xml:space="preserve"> </w:t>
      </w:r>
    </w:p>
    <w:p w14:paraId="6DD974FD">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1、规范性引用文件：列出了本文件引用的其他规范性文件。</w:t>
      </w:r>
    </w:p>
    <w:p w14:paraId="78D897DD">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2、术语和定义：</w:t>
      </w:r>
      <w:r>
        <w:rPr>
          <w:rFonts w:hint="eastAsia" w:ascii="宋体" w:hAnsi="宋体" w:eastAsia="宋体"/>
          <w:sz w:val="28"/>
          <w:szCs w:val="28"/>
          <w:lang w:val="en-US" w:eastAsia="zh-CN"/>
        </w:rPr>
        <w:t>本文件没有需要界定的术语和定义</w:t>
      </w:r>
      <w:r>
        <w:rPr>
          <w:rFonts w:hint="eastAsia" w:ascii="宋体" w:hAnsi="宋体" w:eastAsia="宋体"/>
          <w:sz w:val="28"/>
          <w:szCs w:val="28"/>
        </w:rPr>
        <w:t>。</w:t>
      </w:r>
    </w:p>
    <w:p w14:paraId="15DAD2C8">
      <w:pPr>
        <w:spacing w:line="360" w:lineRule="auto"/>
        <w:ind w:firstLine="560" w:firstLineChars="200"/>
        <w:jc w:val="left"/>
        <w:rPr>
          <w:rFonts w:hint="default" w:ascii="宋体" w:hAnsi="宋体" w:eastAsia="宋体"/>
          <w:sz w:val="28"/>
          <w:szCs w:val="28"/>
          <w:lang w:val="en-US" w:eastAsia="zh-CN"/>
        </w:rPr>
      </w:pPr>
      <w:r>
        <w:rPr>
          <w:rFonts w:hint="eastAsia" w:ascii="宋体" w:hAnsi="宋体" w:eastAsia="宋体"/>
          <w:sz w:val="28"/>
          <w:szCs w:val="28"/>
        </w:rPr>
        <w:t>3、</w:t>
      </w:r>
      <w:r>
        <w:rPr>
          <w:rFonts w:hint="eastAsia" w:ascii="宋体" w:hAnsi="宋体" w:eastAsia="宋体"/>
          <w:sz w:val="28"/>
          <w:szCs w:val="28"/>
          <w:lang w:val="en-US" w:eastAsia="zh-CN"/>
        </w:rPr>
        <w:t>平台架构：对智慧零碳园区能碳一体化智能管理平台的架构进行描述。</w:t>
      </w:r>
    </w:p>
    <w:p w14:paraId="495909B3">
      <w:pPr>
        <w:spacing w:line="360" w:lineRule="auto"/>
        <w:ind w:firstLine="560" w:firstLineChars="200"/>
        <w:jc w:val="left"/>
        <w:rPr>
          <w:rFonts w:hint="eastAsia" w:ascii="宋体" w:hAnsi="宋体" w:eastAsia="宋体"/>
          <w:sz w:val="28"/>
          <w:szCs w:val="28"/>
          <w:lang w:val="en-US" w:eastAsia="zh-CN"/>
        </w:rPr>
      </w:pPr>
      <w:r>
        <w:rPr>
          <w:rFonts w:hint="eastAsia" w:ascii="宋体" w:hAnsi="宋体" w:eastAsia="宋体"/>
          <w:sz w:val="28"/>
          <w:szCs w:val="28"/>
          <w:lang w:val="en-US" w:eastAsia="zh-CN"/>
        </w:rPr>
        <w:t>4、功能要求</w:t>
      </w:r>
      <w:r>
        <w:rPr>
          <w:rFonts w:hint="eastAsia" w:ascii="宋体" w:hAnsi="宋体" w:eastAsia="宋体"/>
          <w:sz w:val="28"/>
          <w:szCs w:val="28"/>
        </w:rPr>
        <w:t>：对</w:t>
      </w:r>
      <w:r>
        <w:rPr>
          <w:rFonts w:hint="eastAsia" w:ascii="宋体" w:hAnsi="宋体" w:eastAsia="宋体"/>
          <w:sz w:val="28"/>
          <w:szCs w:val="28"/>
          <w:lang w:val="en-US" w:eastAsia="zh-CN"/>
        </w:rPr>
        <w:t>智慧零碳园区能碳一体化智能管理平台的功能进行规定。</w:t>
      </w:r>
    </w:p>
    <w:p w14:paraId="36B6F797">
      <w:pPr>
        <w:spacing w:line="360" w:lineRule="auto"/>
        <w:ind w:firstLine="560" w:firstLineChars="200"/>
        <w:jc w:val="left"/>
        <w:rPr>
          <w:rFonts w:hint="eastAsia" w:ascii="宋体" w:hAnsi="宋体" w:eastAsia="宋体"/>
          <w:sz w:val="28"/>
          <w:szCs w:val="28"/>
          <w:lang w:val="en-US" w:eastAsia="zh-CN"/>
        </w:rPr>
      </w:pPr>
      <w:r>
        <w:rPr>
          <w:rFonts w:hint="eastAsia" w:ascii="宋体" w:hAnsi="宋体" w:eastAsia="宋体"/>
          <w:sz w:val="28"/>
          <w:szCs w:val="28"/>
          <w:lang w:val="en-US" w:eastAsia="zh-CN"/>
        </w:rPr>
        <w:t>5、</w:t>
      </w:r>
      <w:r>
        <w:rPr>
          <w:rFonts w:hint="eastAsia" w:ascii="宋体" w:hAnsi="宋体" w:eastAsia="宋体"/>
          <w:sz w:val="28"/>
          <w:szCs w:val="28"/>
          <w:lang w:val="en-US" w:eastAsia="zh-CN"/>
        </w:rPr>
        <w:t>性能要求：对智慧零碳园区能碳一体化智能管理平台的性能</w:t>
      </w:r>
      <w:r>
        <w:rPr>
          <w:rFonts w:hint="eastAsia" w:ascii="宋体" w:hAnsi="宋体" w:eastAsia="宋体"/>
          <w:sz w:val="28"/>
          <w:szCs w:val="28"/>
          <w:lang w:val="en-US" w:eastAsia="zh-CN"/>
        </w:rPr>
        <w:t>进行规定。</w:t>
      </w:r>
    </w:p>
    <w:p w14:paraId="3B577DCF">
      <w:pPr>
        <w:spacing w:line="360" w:lineRule="auto"/>
        <w:ind w:firstLine="560" w:firstLineChars="200"/>
        <w:jc w:val="left"/>
        <w:rPr>
          <w:rFonts w:hint="eastAsia" w:ascii="宋体" w:hAnsi="宋体" w:eastAsia="宋体"/>
          <w:sz w:val="28"/>
          <w:szCs w:val="28"/>
          <w:lang w:val="en-US" w:eastAsia="zh-CN"/>
        </w:rPr>
      </w:pPr>
      <w:r>
        <w:rPr>
          <w:rFonts w:hint="eastAsia" w:ascii="宋体" w:hAnsi="宋体" w:eastAsia="宋体"/>
          <w:sz w:val="28"/>
          <w:szCs w:val="28"/>
          <w:lang w:val="en-US" w:eastAsia="zh-CN"/>
        </w:rPr>
        <w:t>6、安全要求：对智慧零碳园区能碳一体化智能管理平台的操作系统、网络安全和数据安全进行规定。</w:t>
      </w:r>
    </w:p>
    <w:p w14:paraId="1CDA2444">
      <w:pPr>
        <w:spacing w:line="360" w:lineRule="auto"/>
        <w:ind w:firstLine="560" w:firstLineChars="200"/>
        <w:jc w:val="left"/>
        <w:rPr>
          <w:rFonts w:hint="default" w:ascii="宋体" w:hAnsi="宋体" w:eastAsia="宋体"/>
          <w:sz w:val="28"/>
          <w:szCs w:val="28"/>
          <w:lang w:val="en-US" w:eastAsia="zh-CN"/>
        </w:rPr>
      </w:pPr>
      <w:r>
        <w:rPr>
          <w:rFonts w:hint="eastAsia" w:ascii="宋体" w:hAnsi="宋体" w:eastAsia="宋体"/>
          <w:sz w:val="28"/>
          <w:szCs w:val="28"/>
          <w:lang w:val="en-US" w:eastAsia="zh-CN"/>
        </w:rPr>
        <w:t>7、运营与维护：对智慧零碳园区能碳一体化智能管理平台的运营与维护要求进行规定。</w:t>
      </w:r>
    </w:p>
    <w:p w14:paraId="2F70E138">
      <w:pPr>
        <w:spacing w:line="360" w:lineRule="auto"/>
        <w:ind w:firstLine="560" w:firstLineChars="200"/>
        <w:jc w:val="left"/>
        <w:rPr>
          <w:rFonts w:hint="eastAsia" w:ascii="宋体" w:hAnsi="宋体" w:eastAsia="宋体"/>
          <w:sz w:val="28"/>
          <w:szCs w:val="28"/>
        </w:rPr>
      </w:pPr>
    </w:p>
    <w:p w14:paraId="30A6E9FA">
      <w:pPr>
        <w:spacing w:line="360" w:lineRule="auto"/>
        <w:jc w:val="left"/>
        <w:rPr>
          <w:rFonts w:ascii="宋体" w:hAnsi="宋体" w:eastAsia="宋体"/>
          <w:sz w:val="28"/>
          <w:szCs w:val="28"/>
        </w:rPr>
      </w:pPr>
      <w:r>
        <w:rPr>
          <w:rFonts w:hint="eastAsia" w:ascii="宋体" w:hAnsi="宋体" w:eastAsia="宋体"/>
          <w:b/>
          <w:bCs/>
          <w:sz w:val="28"/>
          <w:szCs w:val="28"/>
        </w:rPr>
        <w:t>（三）主要试验（或验证）情况分析</w:t>
      </w:r>
      <w:r>
        <w:rPr>
          <w:rFonts w:ascii="宋体" w:hAnsi="宋体" w:eastAsia="宋体"/>
          <w:b/>
          <w:bCs/>
          <w:sz w:val="28"/>
          <w:szCs w:val="28"/>
        </w:rPr>
        <w:t xml:space="preserve"> </w:t>
      </w:r>
      <w:r>
        <w:rPr>
          <w:rFonts w:ascii="宋体" w:hAnsi="宋体" w:eastAsia="宋体"/>
          <w:sz w:val="28"/>
          <w:szCs w:val="28"/>
        </w:rPr>
        <w:t xml:space="preserve"> </w:t>
      </w:r>
    </w:p>
    <w:p w14:paraId="5118E0F0">
      <w:pPr>
        <w:spacing w:line="360" w:lineRule="auto"/>
        <w:jc w:val="left"/>
        <w:rPr>
          <w:rFonts w:ascii="宋体" w:hAnsi="宋体" w:eastAsia="宋体"/>
          <w:sz w:val="28"/>
          <w:szCs w:val="28"/>
        </w:rPr>
      </w:pPr>
      <w:r>
        <w:rPr>
          <w:rFonts w:hint="eastAsia" w:ascii="宋体" w:hAnsi="宋体" w:eastAsia="宋体"/>
          <w:sz w:val="28"/>
          <w:szCs w:val="28"/>
        </w:rPr>
        <w:t xml:space="preserve">     结合国内外行业情况及公司的实践进行验证。</w:t>
      </w:r>
    </w:p>
    <w:p w14:paraId="1BD703DB">
      <w:pPr>
        <w:spacing w:line="360" w:lineRule="auto"/>
        <w:jc w:val="left"/>
        <w:rPr>
          <w:rFonts w:ascii="宋体" w:hAnsi="宋体" w:eastAsia="宋体"/>
          <w:sz w:val="28"/>
          <w:szCs w:val="28"/>
        </w:rPr>
      </w:pPr>
    </w:p>
    <w:p w14:paraId="775993DA">
      <w:pPr>
        <w:spacing w:line="360" w:lineRule="auto"/>
        <w:jc w:val="left"/>
        <w:rPr>
          <w:rFonts w:ascii="宋体" w:hAnsi="宋体" w:eastAsia="宋体"/>
          <w:sz w:val="28"/>
          <w:szCs w:val="28"/>
        </w:rPr>
      </w:pPr>
      <w:r>
        <w:rPr>
          <w:rFonts w:hint="eastAsia" w:ascii="宋体" w:hAnsi="宋体" w:eastAsia="宋体"/>
          <w:b/>
          <w:bCs/>
          <w:sz w:val="28"/>
          <w:szCs w:val="28"/>
        </w:rPr>
        <w:t>（四）标准中涉及专利的情况</w:t>
      </w:r>
      <w:r>
        <w:rPr>
          <w:rFonts w:ascii="宋体" w:hAnsi="宋体" w:eastAsia="宋体"/>
          <w:b/>
          <w:bCs/>
          <w:sz w:val="28"/>
          <w:szCs w:val="28"/>
        </w:rPr>
        <w:t xml:space="preserve"> </w:t>
      </w:r>
      <w:r>
        <w:rPr>
          <w:rFonts w:ascii="宋体" w:hAnsi="宋体" w:eastAsia="宋体"/>
          <w:sz w:val="28"/>
          <w:szCs w:val="28"/>
        </w:rPr>
        <w:t xml:space="preserve"> </w:t>
      </w:r>
    </w:p>
    <w:p w14:paraId="5A31B0DB">
      <w:pPr>
        <w:spacing w:line="360" w:lineRule="auto"/>
        <w:ind w:firstLine="570"/>
        <w:jc w:val="left"/>
        <w:rPr>
          <w:rFonts w:hint="eastAsia" w:hAnsi="宋体" w:eastAsia="宋体" w:cstheme="minorBidi"/>
          <w:kern w:val="2"/>
          <w:sz w:val="28"/>
          <w:szCs w:val="28"/>
          <w:lang w:val="en-US" w:eastAsia="zh-CN"/>
        </w:rPr>
      </w:pPr>
      <w:r>
        <w:rPr>
          <w:rFonts w:hint="eastAsia" w:hAnsi="宋体" w:eastAsia="宋体" w:cstheme="minorBidi"/>
          <w:kern w:val="2"/>
          <w:sz w:val="28"/>
          <w:szCs w:val="28"/>
          <w:lang w:val="en-US" w:eastAsia="zh-CN"/>
        </w:rPr>
        <w:t>无。</w:t>
      </w:r>
    </w:p>
    <w:p w14:paraId="5075FA5B">
      <w:pPr>
        <w:spacing w:line="360" w:lineRule="auto"/>
        <w:ind w:firstLine="570"/>
        <w:jc w:val="left"/>
        <w:rPr>
          <w:rFonts w:hint="eastAsia" w:hAnsi="宋体" w:eastAsia="宋体" w:cstheme="minorBidi"/>
          <w:kern w:val="2"/>
          <w:sz w:val="28"/>
          <w:szCs w:val="28"/>
          <w:lang w:val="en-US" w:eastAsia="zh-CN"/>
        </w:rPr>
      </w:pPr>
    </w:p>
    <w:p w14:paraId="3FF8C3E4">
      <w:pPr>
        <w:spacing w:line="360" w:lineRule="auto"/>
        <w:jc w:val="left"/>
        <w:rPr>
          <w:rFonts w:ascii="宋体" w:hAnsi="宋体" w:eastAsia="宋体"/>
          <w:sz w:val="28"/>
          <w:szCs w:val="28"/>
        </w:rPr>
      </w:pPr>
      <w:r>
        <w:rPr>
          <w:rFonts w:hint="eastAsia" w:ascii="宋体" w:hAnsi="宋体" w:eastAsia="宋体"/>
          <w:b/>
          <w:bCs/>
          <w:sz w:val="28"/>
          <w:szCs w:val="28"/>
        </w:rPr>
        <w:t>（五）预期达到的效益（经济、效益、生态等），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14:paraId="6FCEB6C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我国 “双碳”目标需通过“国家-省-市-园区”层层分解落实，园区作为城市能源消费与碳排放的关键单元，通过统一能碳一体化平台的技术要求，将国家“双碳”政策转化为园区可执行、可考核的具体指标，提升碳监管的精准性与公信力；智慧零碳园区运营方是标准的直接使用者，标准的制定可实现“能碳联动优化”，能源成本显著优化，规避“碳成本”风险，且能源数据的统计、能耗异常排查等都可通过平台“自动化采集、智能化分析、可视化呈现”，管理效率提升，减少人力与运维成本，规范的能碳管理也可以提升园区招商吸引力与品牌价值； 标准的制定可以为相关产业链企业（如物联网设备商、软件服务商、能源服务商）提供 “技术方向指引”，破解行业“无序竞争、产品不兼容”问题，推动产业高质量发展。</w:t>
      </w:r>
    </w:p>
    <w:p w14:paraId="753F7940">
      <w:pPr>
        <w:spacing w:line="360" w:lineRule="auto"/>
        <w:jc w:val="left"/>
        <w:rPr>
          <w:rFonts w:hint="eastAsia" w:ascii="宋体" w:hAnsi="宋体" w:eastAsia="宋体"/>
          <w:sz w:val="28"/>
          <w:szCs w:val="28"/>
        </w:rPr>
      </w:pPr>
    </w:p>
    <w:p w14:paraId="4E147EA0">
      <w:pPr>
        <w:spacing w:line="360" w:lineRule="auto"/>
        <w:jc w:val="left"/>
        <w:rPr>
          <w:rFonts w:ascii="宋体" w:hAnsi="宋体" w:eastAsia="宋体"/>
          <w:b/>
          <w:bCs/>
          <w:sz w:val="28"/>
          <w:szCs w:val="28"/>
        </w:rPr>
      </w:pPr>
      <w:r>
        <w:rPr>
          <w:rFonts w:hint="eastAsia" w:ascii="宋体" w:hAnsi="宋体" w:eastAsia="宋体"/>
          <w:b/>
          <w:bCs/>
          <w:sz w:val="28"/>
          <w:szCs w:val="28"/>
        </w:rPr>
        <w:t>（六）在标准体系中的位置，与现行相关法律、法规、规章及相关标准，特别是强制性标准的协调性</w:t>
      </w:r>
    </w:p>
    <w:p w14:paraId="1610A41E">
      <w:pPr>
        <w:spacing w:line="360" w:lineRule="auto"/>
        <w:ind w:firstLine="562"/>
        <w:jc w:val="left"/>
        <w:rPr>
          <w:rFonts w:ascii="宋体" w:hAnsi="宋体" w:eastAsia="宋体"/>
          <w:sz w:val="28"/>
          <w:szCs w:val="28"/>
        </w:rPr>
      </w:pPr>
      <w:r>
        <w:rPr>
          <w:rFonts w:hint="eastAsia" w:ascii="宋体" w:hAnsi="宋体" w:eastAsia="宋体"/>
          <w:sz w:val="28"/>
          <w:szCs w:val="28"/>
        </w:rPr>
        <w:t>符合现行相关法律、法规、规章及相关标准，与强制性标准协调一致。</w:t>
      </w:r>
    </w:p>
    <w:p w14:paraId="76F339B1">
      <w:pPr>
        <w:spacing w:line="360" w:lineRule="auto"/>
        <w:ind w:firstLine="562"/>
        <w:jc w:val="left"/>
        <w:rPr>
          <w:rFonts w:ascii="宋体" w:hAnsi="宋体" w:eastAsia="宋体"/>
          <w:sz w:val="28"/>
          <w:szCs w:val="28"/>
        </w:rPr>
      </w:pPr>
    </w:p>
    <w:p w14:paraId="21F7A68E">
      <w:pPr>
        <w:spacing w:line="360" w:lineRule="auto"/>
        <w:jc w:val="left"/>
        <w:rPr>
          <w:rFonts w:ascii="宋体" w:hAnsi="宋体" w:eastAsia="宋体"/>
          <w:b/>
          <w:bCs/>
          <w:sz w:val="28"/>
          <w:szCs w:val="28"/>
        </w:rPr>
      </w:pPr>
      <w:r>
        <w:rPr>
          <w:rFonts w:hint="eastAsia" w:ascii="宋体" w:hAnsi="宋体" w:eastAsia="宋体"/>
          <w:b/>
          <w:bCs/>
          <w:sz w:val="28"/>
          <w:szCs w:val="28"/>
        </w:rPr>
        <w:t>（七）重大分歧意见的处理经过和依据</w:t>
      </w:r>
    </w:p>
    <w:p w14:paraId="7B645CDA">
      <w:pPr>
        <w:spacing w:line="360" w:lineRule="auto"/>
        <w:ind w:firstLine="560"/>
        <w:jc w:val="left"/>
        <w:rPr>
          <w:rFonts w:ascii="宋体" w:hAnsi="宋体" w:eastAsia="宋体"/>
          <w:sz w:val="28"/>
          <w:szCs w:val="28"/>
        </w:rPr>
      </w:pPr>
      <w:r>
        <w:rPr>
          <w:rFonts w:hint="eastAsia" w:ascii="宋体" w:hAnsi="宋体" w:eastAsia="宋体"/>
          <w:sz w:val="28"/>
          <w:szCs w:val="28"/>
        </w:rPr>
        <w:t>无。</w:t>
      </w:r>
    </w:p>
    <w:p w14:paraId="29EDBF85">
      <w:pPr>
        <w:spacing w:line="360" w:lineRule="auto"/>
        <w:ind w:firstLine="560"/>
        <w:jc w:val="left"/>
        <w:rPr>
          <w:rFonts w:ascii="宋体" w:hAnsi="宋体" w:eastAsia="宋体"/>
          <w:sz w:val="28"/>
          <w:szCs w:val="28"/>
        </w:rPr>
      </w:pPr>
    </w:p>
    <w:p w14:paraId="3002F632">
      <w:pPr>
        <w:spacing w:line="360" w:lineRule="auto"/>
        <w:jc w:val="left"/>
        <w:rPr>
          <w:rFonts w:ascii="宋体" w:hAnsi="宋体" w:eastAsia="宋体"/>
          <w:b/>
          <w:bCs/>
          <w:sz w:val="28"/>
          <w:szCs w:val="28"/>
        </w:rPr>
      </w:pPr>
      <w:r>
        <w:rPr>
          <w:rFonts w:hint="eastAsia" w:ascii="宋体" w:hAnsi="宋体" w:eastAsia="宋体"/>
          <w:b/>
          <w:bCs/>
          <w:sz w:val="28"/>
          <w:szCs w:val="28"/>
        </w:rPr>
        <w:t>（八）标准性质的建议说明</w:t>
      </w:r>
    </w:p>
    <w:p w14:paraId="04975762">
      <w:pPr>
        <w:spacing w:line="360" w:lineRule="auto"/>
        <w:ind w:firstLine="562"/>
        <w:jc w:val="left"/>
        <w:rPr>
          <w:rFonts w:ascii="宋体" w:hAnsi="宋体" w:eastAsia="宋体"/>
          <w:sz w:val="28"/>
          <w:szCs w:val="28"/>
        </w:rPr>
      </w:pPr>
      <w:r>
        <w:rPr>
          <w:rFonts w:hint="eastAsia" w:ascii="宋体" w:hAnsi="宋体" w:eastAsia="宋体"/>
          <w:sz w:val="28"/>
          <w:szCs w:val="28"/>
        </w:rPr>
        <w:t>本标准为团体标准，供社会各界自愿使用。</w:t>
      </w:r>
    </w:p>
    <w:p w14:paraId="30AD1C6C">
      <w:pPr>
        <w:spacing w:line="360" w:lineRule="auto"/>
        <w:ind w:firstLine="562"/>
        <w:jc w:val="left"/>
        <w:rPr>
          <w:rFonts w:ascii="宋体" w:hAnsi="宋体" w:eastAsia="宋体"/>
          <w:sz w:val="28"/>
          <w:szCs w:val="28"/>
        </w:rPr>
      </w:pPr>
    </w:p>
    <w:p w14:paraId="75480D91">
      <w:pPr>
        <w:spacing w:line="360" w:lineRule="auto"/>
        <w:jc w:val="left"/>
        <w:rPr>
          <w:rFonts w:ascii="宋体" w:hAnsi="宋体" w:eastAsia="宋体"/>
          <w:b/>
          <w:bCs/>
          <w:sz w:val="28"/>
          <w:szCs w:val="28"/>
        </w:rPr>
      </w:pPr>
      <w:r>
        <w:rPr>
          <w:rFonts w:hint="eastAsia" w:ascii="宋体" w:hAnsi="宋体" w:eastAsia="宋体"/>
          <w:b/>
          <w:bCs/>
          <w:sz w:val="28"/>
          <w:szCs w:val="28"/>
        </w:rPr>
        <w:t>（九）贯彻标准的要求和措施建议</w:t>
      </w:r>
    </w:p>
    <w:p w14:paraId="6329E70A">
      <w:pPr>
        <w:spacing w:line="360" w:lineRule="auto"/>
        <w:ind w:firstLine="562"/>
        <w:jc w:val="left"/>
        <w:rPr>
          <w:rFonts w:ascii="宋体" w:hAnsi="宋体" w:eastAsia="宋体"/>
          <w:sz w:val="28"/>
          <w:szCs w:val="28"/>
        </w:rPr>
      </w:pPr>
      <w:r>
        <w:rPr>
          <w:rFonts w:hint="eastAsia" w:ascii="宋体" w:hAnsi="宋体" w:eastAsia="宋体"/>
          <w:sz w:val="28"/>
          <w:szCs w:val="28"/>
        </w:rPr>
        <w:t>1、组织线下宣传活动、线上渠道推广，进行标准的内容宣传。</w:t>
      </w:r>
    </w:p>
    <w:p w14:paraId="478E1010">
      <w:pPr>
        <w:spacing w:line="360" w:lineRule="auto"/>
        <w:ind w:firstLine="562"/>
        <w:jc w:val="left"/>
        <w:rPr>
          <w:rFonts w:ascii="宋体" w:hAnsi="宋体" w:eastAsia="宋体"/>
          <w:sz w:val="28"/>
          <w:szCs w:val="28"/>
        </w:rPr>
      </w:pPr>
      <w:r>
        <w:rPr>
          <w:rFonts w:hint="eastAsia" w:ascii="宋体" w:hAnsi="宋体" w:eastAsia="宋体"/>
          <w:sz w:val="28"/>
          <w:szCs w:val="28"/>
        </w:rPr>
        <w:t>2、组织相关专家进行培训和讲座，介绍本标准并进行答疑。</w:t>
      </w:r>
    </w:p>
    <w:p w14:paraId="51845B80">
      <w:pPr>
        <w:spacing w:line="360" w:lineRule="auto"/>
        <w:ind w:firstLine="562"/>
        <w:jc w:val="left"/>
        <w:rPr>
          <w:rFonts w:ascii="宋体" w:hAnsi="宋体" w:eastAsia="宋体"/>
          <w:sz w:val="28"/>
          <w:szCs w:val="28"/>
        </w:rPr>
      </w:pPr>
      <w:r>
        <w:rPr>
          <w:rFonts w:hint="eastAsia" w:ascii="宋体" w:hAnsi="宋体" w:eastAsia="宋体"/>
          <w:sz w:val="28"/>
          <w:szCs w:val="28"/>
        </w:rPr>
        <w:t>3、与相关协会、机构、企业等合作伙伴共通普及和推广。</w:t>
      </w:r>
    </w:p>
    <w:p w14:paraId="2458A998">
      <w:pPr>
        <w:spacing w:line="360" w:lineRule="auto"/>
        <w:ind w:firstLine="562"/>
        <w:jc w:val="left"/>
        <w:rPr>
          <w:rFonts w:ascii="宋体" w:hAnsi="宋体" w:eastAsia="宋体"/>
          <w:b/>
          <w:bCs/>
          <w:sz w:val="28"/>
          <w:szCs w:val="28"/>
        </w:rPr>
      </w:pPr>
    </w:p>
    <w:p w14:paraId="63592F95">
      <w:pPr>
        <w:spacing w:line="360" w:lineRule="auto"/>
        <w:jc w:val="left"/>
        <w:rPr>
          <w:rFonts w:ascii="宋体" w:hAnsi="宋体" w:eastAsia="宋体"/>
          <w:b/>
          <w:bCs/>
          <w:sz w:val="28"/>
          <w:szCs w:val="28"/>
        </w:rPr>
      </w:pPr>
      <w:r>
        <w:rPr>
          <w:rFonts w:hint="eastAsia" w:ascii="宋体" w:hAnsi="宋体" w:eastAsia="宋体"/>
          <w:b/>
          <w:bCs/>
          <w:sz w:val="28"/>
          <w:szCs w:val="28"/>
        </w:rPr>
        <w:t>（十）废止现行相关标准的建议</w:t>
      </w:r>
    </w:p>
    <w:p w14:paraId="18712B33">
      <w:pPr>
        <w:spacing w:line="360" w:lineRule="auto"/>
        <w:ind w:firstLine="562"/>
        <w:jc w:val="left"/>
        <w:rPr>
          <w:rFonts w:ascii="宋体" w:hAnsi="宋体" w:eastAsia="宋体"/>
          <w:sz w:val="28"/>
          <w:szCs w:val="28"/>
        </w:rPr>
      </w:pPr>
      <w:r>
        <w:rPr>
          <w:rFonts w:hint="eastAsia" w:ascii="宋体" w:hAnsi="宋体" w:eastAsia="宋体"/>
          <w:sz w:val="28"/>
          <w:szCs w:val="28"/>
        </w:rPr>
        <w:t>无。</w:t>
      </w:r>
    </w:p>
    <w:p w14:paraId="6832436F">
      <w:pPr>
        <w:spacing w:line="360" w:lineRule="auto"/>
        <w:ind w:firstLine="562"/>
        <w:jc w:val="left"/>
        <w:rPr>
          <w:rFonts w:ascii="宋体" w:hAnsi="宋体" w:eastAsia="宋体"/>
          <w:b/>
          <w:bCs/>
          <w:sz w:val="28"/>
          <w:szCs w:val="28"/>
        </w:rPr>
      </w:pPr>
    </w:p>
    <w:p w14:paraId="640F38C3">
      <w:pPr>
        <w:spacing w:line="360" w:lineRule="auto"/>
        <w:jc w:val="left"/>
        <w:rPr>
          <w:rFonts w:ascii="宋体" w:hAnsi="宋体" w:eastAsia="宋体"/>
          <w:sz w:val="28"/>
          <w:szCs w:val="28"/>
        </w:rPr>
      </w:pPr>
      <w:r>
        <w:rPr>
          <w:rFonts w:hint="eastAsia" w:ascii="宋体" w:hAnsi="宋体" w:eastAsia="宋体"/>
          <w:b/>
          <w:bCs/>
          <w:sz w:val="28"/>
          <w:szCs w:val="28"/>
        </w:rPr>
        <w:t>（十一）其他应予说明的事项</w:t>
      </w:r>
    </w:p>
    <w:p w14:paraId="10440C4E">
      <w:pPr>
        <w:spacing w:line="360" w:lineRule="auto"/>
        <w:ind w:firstLine="562"/>
        <w:jc w:val="left"/>
        <w:rPr>
          <w:rFonts w:ascii="宋体" w:hAnsi="宋体" w:eastAsia="宋体"/>
          <w:sz w:val="28"/>
          <w:szCs w:val="28"/>
        </w:rPr>
      </w:pPr>
      <w:r>
        <w:rPr>
          <w:rFonts w:hint="eastAsia" w:ascii="宋体" w:hAnsi="宋体" w:eastAsia="宋体"/>
          <w:sz w:val="28"/>
          <w:szCs w:val="28"/>
        </w:rPr>
        <w:t>无。</w:t>
      </w:r>
      <w:r>
        <w:rPr>
          <w:rFonts w:ascii="宋体" w:hAnsi="宋体" w:eastAsia="宋体"/>
          <w:sz w:val="28"/>
          <w:szCs w:val="28"/>
        </w:rPr>
        <w:t xml:space="preserve">  </w:t>
      </w:r>
    </w:p>
    <w:p w14:paraId="1826CA3E">
      <w:pPr>
        <w:topLinePunct/>
        <w:spacing w:line="360" w:lineRule="auto"/>
        <w:ind w:firstLine="560" w:firstLineChars="200"/>
        <w:jc w:val="right"/>
        <w:rPr>
          <w:rFonts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lang w:eastAsia="zh-CN"/>
        </w:rPr>
        <w:t>智慧零碳园区能碳一体化智能管理平台技术规范</w:t>
      </w:r>
      <w:r>
        <w:rPr>
          <w:rFonts w:hint="eastAsia" w:ascii="宋体" w:hAnsi="宋体" w:eastAsia="宋体"/>
          <w:sz w:val="28"/>
          <w:szCs w:val="28"/>
        </w:rPr>
        <w:t>》起草组</w:t>
      </w:r>
      <w:r>
        <w:rPr>
          <w:rFonts w:ascii="宋体" w:hAnsi="宋体" w:eastAsia="宋体"/>
          <w:sz w:val="28"/>
          <w:szCs w:val="28"/>
        </w:rPr>
        <w:t xml:space="preserve"> </w:t>
      </w:r>
    </w:p>
    <w:p w14:paraId="78684C11">
      <w:pPr>
        <w:topLinePunct/>
        <w:spacing w:line="360" w:lineRule="auto"/>
        <w:ind w:firstLine="560" w:firstLineChars="200"/>
        <w:jc w:val="right"/>
        <w:rPr>
          <w:rFonts w:ascii="宋体" w:hAnsi="宋体" w:eastAsia="宋体"/>
          <w:sz w:val="28"/>
          <w:szCs w:val="28"/>
        </w:rPr>
      </w:pPr>
      <w:r>
        <w:rPr>
          <w:rFonts w:hint="eastAsia" w:ascii="宋体" w:hAnsi="宋体" w:eastAsia="宋体"/>
          <w:sz w:val="28"/>
          <w:szCs w:val="28"/>
        </w:rPr>
        <w:t>2025</w:t>
      </w:r>
      <w:r>
        <w:rPr>
          <w:rFonts w:ascii="宋体" w:hAnsi="宋体" w:eastAsia="宋体"/>
          <w:sz w:val="28"/>
          <w:szCs w:val="28"/>
        </w:rPr>
        <w:t>年</w:t>
      </w:r>
      <w:r>
        <w:rPr>
          <w:rFonts w:hint="eastAsia" w:ascii="宋体" w:hAnsi="宋体" w:eastAsia="宋体"/>
          <w:sz w:val="28"/>
          <w:szCs w:val="28"/>
          <w:lang w:val="en-US" w:eastAsia="zh-CN"/>
        </w:rPr>
        <w:t>10</w:t>
      </w:r>
      <w:r>
        <w:rPr>
          <w:rFonts w:ascii="宋体" w:hAnsi="宋体" w:eastAsia="宋体"/>
          <w:sz w:val="28"/>
          <w:szCs w:val="28"/>
        </w:rPr>
        <w:t>月</w:t>
      </w:r>
      <w:r>
        <w:rPr>
          <w:rFonts w:hint="eastAsia" w:ascii="宋体" w:hAnsi="宋体" w:eastAsia="宋体"/>
          <w:sz w:val="28"/>
          <w:szCs w:val="28"/>
          <w:lang w:val="en-US" w:eastAsia="zh-CN"/>
        </w:rPr>
        <w:t>20</w:t>
      </w:r>
      <w:bookmarkStart w:id="0" w:name="_GoBack"/>
      <w:bookmarkEnd w:id="0"/>
      <w:r>
        <w:rPr>
          <w:rFonts w:ascii="宋体" w:hAnsi="宋体" w:eastAsia="宋体"/>
          <w:sz w:val="28"/>
          <w:szCs w:val="28"/>
        </w:rPr>
        <w:t>日</w:t>
      </w:r>
    </w:p>
    <w:sectPr>
      <w:type w:val="continuous"/>
      <w:pgSz w:w="11906" w:h="16841"/>
      <w:pgMar w:top="1440" w:right="1800" w:bottom="1440" w:left="1800" w:header="720" w:footer="72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迷你简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宋体">
    <w:panose1 w:val="02010600030101010101"/>
    <w:charset w:val="86"/>
    <w:family w:val="auto"/>
    <w:pitch w:val="variable"/>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189B79"/>
    <w:multiLevelType w:val="singleLevel"/>
    <w:tmpl w:val="F6189B79"/>
    <w:lvl w:ilvl="0" w:tentative="0">
      <w:start w:val="2"/>
      <w:numFmt w:val="chineseCounting"/>
      <w:suff w:val="nothing"/>
      <w:lvlText w:val="（%1）"/>
      <w:lvlJc w:val="left"/>
      <w:rPr>
        <w:rFonts w:hint="eastAsia"/>
      </w:rPr>
    </w:lvl>
  </w:abstractNum>
  <w:abstractNum w:abstractNumId="1">
    <w:nsid w:val="2C5917C3"/>
    <w:multiLevelType w:val="multilevel"/>
    <w:tmpl w:val="2C5917C3"/>
    <w:lvl w:ilvl="0" w:tentative="0">
      <w:start w:val="1"/>
      <w:numFmt w:val="none"/>
      <w:pStyle w:val="16"/>
      <w:lvlText w:val="%1——"/>
      <w:lvlJc w:val="left"/>
      <w:pPr>
        <w:tabs>
          <w:tab w:val="left" w:pos="851"/>
        </w:tabs>
        <w:ind w:left="851" w:hanging="426"/>
      </w:pPr>
      <w:rPr>
        <w:rFonts w:hint="eastAsia" w:ascii="宋体" w:hAnsi="Times New Roman" w:eastAsia="宋体" w:cs="Times New Roman"/>
        <w:b w:val="0"/>
        <w:i w:val="0"/>
        <w:sz w:val="21"/>
      </w:rPr>
    </w:lvl>
    <w:lvl w:ilvl="1" w:tentative="0">
      <w:start w:val="1"/>
      <w:numFmt w:val="none"/>
      <w:pStyle w:val="19"/>
      <w:lvlText w:val=""/>
      <w:lvlJc w:val="left"/>
      <w:pPr>
        <w:ind w:left="851" w:hanging="431"/>
      </w:pPr>
      <w:rPr>
        <w:rFonts w:hint="default" w:ascii="Symbol" w:hAnsi="Symbol" w:cs="Times New Roman"/>
        <w:sz w:val="21"/>
      </w:rPr>
    </w:lvl>
    <w:lvl w:ilvl="2" w:tentative="0">
      <w:start w:val="1"/>
      <w:numFmt w:val="bullet"/>
      <w:pStyle w:val="17"/>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cs="Times New Roman"/>
      </w:rPr>
    </w:lvl>
    <w:lvl w:ilvl="4" w:tentative="0">
      <w:start w:val="1"/>
      <w:numFmt w:val="lowerLetter"/>
      <w:lvlText w:val="%5)"/>
      <w:lvlJc w:val="left"/>
      <w:pPr>
        <w:tabs>
          <w:tab w:val="left" w:pos="2383"/>
        </w:tabs>
        <w:ind w:left="2196" w:hanging="528"/>
      </w:pPr>
      <w:rPr>
        <w:rFonts w:hint="eastAsia" w:cs="Times New Roman"/>
      </w:rPr>
    </w:lvl>
    <w:lvl w:ilvl="5" w:tentative="0">
      <w:start w:val="1"/>
      <w:numFmt w:val="lowerRoman"/>
      <w:lvlText w:val="%6."/>
      <w:lvlJc w:val="right"/>
      <w:pPr>
        <w:tabs>
          <w:tab w:val="left" w:pos="2695"/>
        </w:tabs>
        <w:ind w:left="2508" w:hanging="528"/>
      </w:pPr>
      <w:rPr>
        <w:rFonts w:hint="eastAsia" w:cs="Times New Roman"/>
      </w:rPr>
    </w:lvl>
    <w:lvl w:ilvl="6" w:tentative="0">
      <w:start w:val="1"/>
      <w:numFmt w:val="decimal"/>
      <w:lvlText w:val="%7."/>
      <w:lvlJc w:val="left"/>
      <w:pPr>
        <w:tabs>
          <w:tab w:val="left" w:pos="3007"/>
        </w:tabs>
        <w:ind w:left="2820" w:hanging="528"/>
      </w:pPr>
      <w:rPr>
        <w:rFonts w:hint="eastAsia" w:cs="Times New Roman"/>
      </w:rPr>
    </w:lvl>
    <w:lvl w:ilvl="7" w:tentative="0">
      <w:start w:val="1"/>
      <w:numFmt w:val="lowerLetter"/>
      <w:lvlText w:val="%8)"/>
      <w:lvlJc w:val="left"/>
      <w:pPr>
        <w:tabs>
          <w:tab w:val="left" w:pos="3319"/>
        </w:tabs>
        <w:ind w:left="3132" w:hanging="528"/>
      </w:pPr>
      <w:rPr>
        <w:rFonts w:hint="eastAsia" w:cs="Times New Roman"/>
      </w:rPr>
    </w:lvl>
    <w:lvl w:ilvl="8" w:tentative="0">
      <w:start w:val="1"/>
      <w:numFmt w:val="lowerRoman"/>
      <w:lvlText w:val="%9."/>
      <w:lvlJc w:val="right"/>
      <w:pPr>
        <w:tabs>
          <w:tab w:val="left" w:pos="3631"/>
        </w:tabs>
        <w:ind w:left="3444" w:hanging="528"/>
      </w:pPr>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110"/>
  <w:drawingGridVerticalSpacing w:val="29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jFkYmM4NmFlNTE3OTBhMTQwMGMzYWFiZjdiOGEifQ=="/>
  </w:docVars>
  <w:rsids>
    <w:rsidRoot w:val="00080FCE"/>
    <w:rsid w:val="00004E32"/>
    <w:rsid w:val="00013CD7"/>
    <w:rsid w:val="00021E0D"/>
    <w:rsid w:val="00031415"/>
    <w:rsid w:val="000711D3"/>
    <w:rsid w:val="00076E6A"/>
    <w:rsid w:val="0007729C"/>
    <w:rsid w:val="00080FCE"/>
    <w:rsid w:val="000841BD"/>
    <w:rsid w:val="0008492B"/>
    <w:rsid w:val="00086D78"/>
    <w:rsid w:val="00096631"/>
    <w:rsid w:val="000C7648"/>
    <w:rsid w:val="000D7E80"/>
    <w:rsid w:val="00100F6C"/>
    <w:rsid w:val="00100FA1"/>
    <w:rsid w:val="0010711D"/>
    <w:rsid w:val="001171FC"/>
    <w:rsid w:val="00122E25"/>
    <w:rsid w:val="00124E74"/>
    <w:rsid w:val="00147751"/>
    <w:rsid w:val="001552ED"/>
    <w:rsid w:val="00172D1B"/>
    <w:rsid w:val="00184316"/>
    <w:rsid w:val="001A1C3A"/>
    <w:rsid w:val="001A3971"/>
    <w:rsid w:val="001A7B8A"/>
    <w:rsid w:val="001C17B8"/>
    <w:rsid w:val="001E5452"/>
    <w:rsid w:val="001E59E1"/>
    <w:rsid w:val="001F643D"/>
    <w:rsid w:val="00200A33"/>
    <w:rsid w:val="002212B2"/>
    <w:rsid w:val="00223390"/>
    <w:rsid w:val="00227D9E"/>
    <w:rsid w:val="00233775"/>
    <w:rsid w:val="00237A71"/>
    <w:rsid w:val="00253FA1"/>
    <w:rsid w:val="00276C1B"/>
    <w:rsid w:val="0029410D"/>
    <w:rsid w:val="002A116B"/>
    <w:rsid w:val="002A16BD"/>
    <w:rsid w:val="002C7C84"/>
    <w:rsid w:val="002E34E6"/>
    <w:rsid w:val="002F3F4D"/>
    <w:rsid w:val="00301337"/>
    <w:rsid w:val="003073A8"/>
    <w:rsid w:val="00374298"/>
    <w:rsid w:val="003824F8"/>
    <w:rsid w:val="003C4C2B"/>
    <w:rsid w:val="003F6507"/>
    <w:rsid w:val="00400730"/>
    <w:rsid w:val="004357F5"/>
    <w:rsid w:val="00462A1E"/>
    <w:rsid w:val="00467311"/>
    <w:rsid w:val="00486151"/>
    <w:rsid w:val="00495229"/>
    <w:rsid w:val="004A0525"/>
    <w:rsid w:val="004A5E54"/>
    <w:rsid w:val="004A6E9D"/>
    <w:rsid w:val="004B116E"/>
    <w:rsid w:val="004D46D1"/>
    <w:rsid w:val="004D5495"/>
    <w:rsid w:val="004E5DAF"/>
    <w:rsid w:val="004F32FF"/>
    <w:rsid w:val="00514855"/>
    <w:rsid w:val="0052542A"/>
    <w:rsid w:val="005333C6"/>
    <w:rsid w:val="00536B27"/>
    <w:rsid w:val="00543CA9"/>
    <w:rsid w:val="00544CD0"/>
    <w:rsid w:val="00555D75"/>
    <w:rsid w:val="00560FA5"/>
    <w:rsid w:val="00566FEC"/>
    <w:rsid w:val="00576B39"/>
    <w:rsid w:val="00587745"/>
    <w:rsid w:val="005C7B43"/>
    <w:rsid w:val="00612447"/>
    <w:rsid w:val="006379F1"/>
    <w:rsid w:val="00647F5C"/>
    <w:rsid w:val="006770FA"/>
    <w:rsid w:val="006771DA"/>
    <w:rsid w:val="0068107B"/>
    <w:rsid w:val="00683BC8"/>
    <w:rsid w:val="00693278"/>
    <w:rsid w:val="00696DC6"/>
    <w:rsid w:val="006A2989"/>
    <w:rsid w:val="006A7619"/>
    <w:rsid w:val="006F2F2D"/>
    <w:rsid w:val="00712175"/>
    <w:rsid w:val="007236F7"/>
    <w:rsid w:val="00780878"/>
    <w:rsid w:val="00793EA3"/>
    <w:rsid w:val="007A285E"/>
    <w:rsid w:val="007B647A"/>
    <w:rsid w:val="007D143A"/>
    <w:rsid w:val="007D4ACF"/>
    <w:rsid w:val="007E71D6"/>
    <w:rsid w:val="007E765D"/>
    <w:rsid w:val="007F46FC"/>
    <w:rsid w:val="007F487B"/>
    <w:rsid w:val="007F784F"/>
    <w:rsid w:val="00802198"/>
    <w:rsid w:val="00820BE7"/>
    <w:rsid w:val="00830DF8"/>
    <w:rsid w:val="00831C13"/>
    <w:rsid w:val="008374F8"/>
    <w:rsid w:val="00850CF3"/>
    <w:rsid w:val="00855EF3"/>
    <w:rsid w:val="008639DD"/>
    <w:rsid w:val="00873DB6"/>
    <w:rsid w:val="00895E54"/>
    <w:rsid w:val="008C53F7"/>
    <w:rsid w:val="008F2746"/>
    <w:rsid w:val="008F7FFC"/>
    <w:rsid w:val="00901136"/>
    <w:rsid w:val="00902454"/>
    <w:rsid w:val="00905D53"/>
    <w:rsid w:val="00921AEC"/>
    <w:rsid w:val="00925E06"/>
    <w:rsid w:val="009349E7"/>
    <w:rsid w:val="009411A8"/>
    <w:rsid w:val="009468CF"/>
    <w:rsid w:val="00954D9A"/>
    <w:rsid w:val="009603D3"/>
    <w:rsid w:val="00963FCF"/>
    <w:rsid w:val="00975BD6"/>
    <w:rsid w:val="009D3675"/>
    <w:rsid w:val="009D498C"/>
    <w:rsid w:val="009D532B"/>
    <w:rsid w:val="009D796E"/>
    <w:rsid w:val="00A32DBC"/>
    <w:rsid w:val="00A3749C"/>
    <w:rsid w:val="00A76277"/>
    <w:rsid w:val="00A824EF"/>
    <w:rsid w:val="00A866B0"/>
    <w:rsid w:val="00A869F3"/>
    <w:rsid w:val="00A86B89"/>
    <w:rsid w:val="00B36263"/>
    <w:rsid w:val="00B379B8"/>
    <w:rsid w:val="00B5633A"/>
    <w:rsid w:val="00B779CD"/>
    <w:rsid w:val="00B77F39"/>
    <w:rsid w:val="00B82572"/>
    <w:rsid w:val="00B83264"/>
    <w:rsid w:val="00BA05BC"/>
    <w:rsid w:val="00BB60E1"/>
    <w:rsid w:val="00BE3B0F"/>
    <w:rsid w:val="00BF54BF"/>
    <w:rsid w:val="00C12B64"/>
    <w:rsid w:val="00C21702"/>
    <w:rsid w:val="00C21C0E"/>
    <w:rsid w:val="00C27EC1"/>
    <w:rsid w:val="00C312CC"/>
    <w:rsid w:val="00C3266C"/>
    <w:rsid w:val="00C336CE"/>
    <w:rsid w:val="00C352B8"/>
    <w:rsid w:val="00C3573B"/>
    <w:rsid w:val="00C44BF8"/>
    <w:rsid w:val="00C504BA"/>
    <w:rsid w:val="00C53848"/>
    <w:rsid w:val="00C71078"/>
    <w:rsid w:val="00C72DAC"/>
    <w:rsid w:val="00C76401"/>
    <w:rsid w:val="00CA3F74"/>
    <w:rsid w:val="00CE3183"/>
    <w:rsid w:val="00CF7082"/>
    <w:rsid w:val="00D06A12"/>
    <w:rsid w:val="00D24B3F"/>
    <w:rsid w:val="00D2603E"/>
    <w:rsid w:val="00D47D49"/>
    <w:rsid w:val="00D56B4C"/>
    <w:rsid w:val="00D66359"/>
    <w:rsid w:val="00D83C32"/>
    <w:rsid w:val="00DA0D2A"/>
    <w:rsid w:val="00DA74DA"/>
    <w:rsid w:val="00DB002D"/>
    <w:rsid w:val="00DC22FD"/>
    <w:rsid w:val="00DC5CD1"/>
    <w:rsid w:val="00DE0621"/>
    <w:rsid w:val="00DE4309"/>
    <w:rsid w:val="00DF638A"/>
    <w:rsid w:val="00DF7390"/>
    <w:rsid w:val="00E00D3E"/>
    <w:rsid w:val="00E01BCF"/>
    <w:rsid w:val="00E12A88"/>
    <w:rsid w:val="00E345D3"/>
    <w:rsid w:val="00E46304"/>
    <w:rsid w:val="00E50746"/>
    <w:rsid w:val="00E650FA"/>
    <w:rsid w:val="00E7235B"/>
    <w:rsid w:val="00EA1735"/>
    <w:rsid w:val="00EC3FE9"/>
    <w:rsid w:val="00ED4E5B"/>
    <w:rsid w:val="00EE7BE4"/>
    <w:rsid w:val="00F30933"/>
    <w:rsid w:val="00F31F16"/>
    <w:rsid w:val="00F7230A"/>
    <w:rsid w:val="00F724A6"/>
    <w:rsid w:val="00F829FC"/>
    <w:rsid w:val="00F92024"/>
    <w:rsid w:val="00FA1182"/>
    <w:rsid w:val="00FC34D9"/>
    <w:rsid w:val="00FE27EF"/>
    <w:rsid w:val="00FF28A7"/>
    <w:rsid w:val="00FF2BFC"/>
    <w:rsid w:val="00FF55C1"/>
    <w:rsid w:val="0475325E"/>
    <w:rsid w:val="077633E2"/>
    <w:rsid w:val="0D9633F1"/>
    <w:rsid w:val="0F913D0D"/>
    <w:rsid w:val="14BE27C4"/>
    <w:rsid w:val="1BF34DB3"/>
    <w:rsid w:val="1D9236E6"/>
    <w:rsid w:val="1E822B3F"/>
    <w:rsid w:val="1E8E65A3"/>
    <w:rsid w:val="208337BA"/>
    <w:rsid w:val="20A57BD4"/>
    <w:rsid w:val="21CE2995"/>
    <w:rsid w:val="233E073A"/>
    <w:rsid w:val="24101808"/>
    <w:rsid w:val="29177872"/>
    <w:rsid w:val="292F6A67"/>
    <w:rsid w:val="35E6686D"/>
    <w:rsid w:val="39096AFA"/>
    <w:rsid w:val="3A43320A"/>
    <w:rsid w:val="459A64D3"/>
    <w:rsid w:val="46160DF3"/>
    <w:rsid w:val="46EA14CF"/>
    <w:rsid w:val="4C070C02"/>
    <w:rsid w:val="4C324162"/>
    <w:rsid w:val="4E0A599B"/>
    <w:rsid w:val="505A2BAF"/>
    <w:rsid w:val="5200731B"/>
    <w:rsid w:val="525E7A5F"/>
    <w:rsid w:val="52833022"/>
    <w:rsid w:val="53334A48"/>
    <w:rsid w:val="53AF7E46"/>
    <w:rsid w:val="5AE40D1D"/>
    <w:rsid w:val="5CA72002"/>
    <w:rsid w:val="5F27742B"/>
    <w:rsid w:val="5F994A9B"/>
    <w:rsid w:val="68AE1786"/>
    <w:rsid w:val="68EA193E"/>
    <w:rsid w:val="6A6D6639"/>
    <w:rsid w:val="7CD84F9B"/>
    <w:rsid w:val="7FFD59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日期 Char"/>
    <w:basedOn w:val="7"/>
    <w:link w:val="2"/>
    <w:semiHidden/>
    <w:qFormat/>
    <w:uiPriority w:val="99"/>
  </w:style>
  <w:style w:type="character" w:customStyle="1" w:styleId="10">
    <w:name w:val="未处理的提及1"/>
    <w:basedOn w:val="7"/>
    <w:semiHidden/>
    <w:unhideWhenUsed/>
    <w:qFormat/>
    <w:uiPriority w:val="99"/>
    <w:rPr>
      <w:color w:val="605E5C"/>
      <w:shd w:val="clear" w:color="auto" w:fill="E1DFDD"/>
    </w:rPr>
  </w:style>
  <w:style w:type="character" w:customStyle="1" w:styleId="11">
    <w:name w:val="页眉 Char"/>
    <w:basedOn w:val="7"/>
    <w:link w:val="5"/>
    <w:qFormat/>
    <w:uiPriority w:val="99"/>
    <w:rPr>
      <w:sz w:val="18"/>
      <w:szCs w:val="18"/>
    </w:rPr>
  </w:style>
  <w:style w:type="character" w:customStyle="1" w:styleId="12">
    <w:name w:val="页脚 Char"/>
    <w:basedOn w:val="7"/>
    <w:link w:val="4"/>
    <w:qFormat/>
    <w:uiPriority w:val="99"/>
    <w:rPr>
      <w:sz w:val="18"/>
      <w:szCs w:val="18"/>
    </w:rPr>
  </w:style>
  <w:style w:type="character" w:customStyle="1" w:styleId="13">
    <w:name w:val="批注框文本 Char"/>
    <w:basedOn w:val="7"/>
    <w:link w:val="3"/>
    <w:semiHidden/>
    <w:qFormat/>
    <w:uiPriority w:val="99"/>
    <w:rPr>
      <w:sz w:val="18"/>
      <w:szCs w:val="18"/>
    </w:rPr>
  </w:style>
  <w:style w:type="paragraph" w:styleId="14">
    <w:name w:val="List Paragraph"/>
    <w:basedOn w:val="1"/>
    <w:unhideWhenUsed/>
    <w:qFormat/>
    <w:uiPriority w:val="99"/>
    <w:pPr>
      <w:ind w:firstLine="420" w:firstLineChars="200"/>
    </w:pPr>
  </w:style>
  <w:style w:type="paragraph" w:customStyle="1" w:styleId="15">
    <w:name w:val="标准文件_段"/>
    <w:link w:val="1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
    <w:name w:val="标准文件_一级项"/>
    <w:qFormat/>
    <w:uiPriority w:val="0"/>
    <w:pPr>
      <w:numPr>
        <w:ilvl w:val="0"/>
        <w:numId w:val="1"/>
      </w:numPr>
    </w:pPr>
    <w:rPr>
      <w:rFonts w:ascii="宋体" w:hAnsi="Times New Roman" w:eastAsia="宋体" w:cs="Times New Roman"/>
      <w:sz w:val="21"/>
      <w:lang w:val="en-US" w:eastAsia="zh-CN" w:bidi="ar-SA"/>
    </w:rPr>
  </w:style>
  <w:style w:type="paragraph" w:customStyle="1" w:styleId="17">
    <w:name w:val="标准文件_三级项"/>
    <w:basedOn w:val="1"/>
    <w:qFormat/>
    <w:uiPriority w:val="0"/>
    <w:pPr>
      <w:numPr>
        <w:ilvl w:val="2"/>
        <w:numId w:val="1"/>
      </w:numPr>
      <w:adjustRightInd w:val="0"/>
      <w:spacing w:line="536870612" w:lineRule="auto"/>
    </w:pPr>
    <w:rPr>
      <w:rFonts w:ascii="Times New Roman" w:hAnsi="Times New Roman" w:eastAsia="宋体" w:cs="Times New Roman"/>
      <w:szCs w:val="21"/>
    </w:rPr>
  </w:style>
  <w:style w:type="character" w:customStyle="1" w:styleId="18">
    <w:name w:val="标准文件_段 Char"/>
    <w:link w:val="15"/>
    <w:qFormat/>
    <w:locked/>
    <w:uiPriority w:val="0"/>
    <w:rPr>
      <w:rFonts w:ascii="宋体" w:hAnsi="Times New Roman" w:eastAsia="宋体" w:cs="Times New Roman"/>
      <w:sz w:val="21"/>
    </w:rPr>
  </w:style>
  <w:style w:type="paragraph" w:customStyle="1" w:styleId="19">
    <w:name w:val="标准文件_二级项2"/>
    <w:basedOn w:val="15"/>
    <w:qFormat/>
    <w:uiPriority w:val="0"/>
    <w:pPr>
      <w:numPr>
        <w:ilvl w:val="1"/>
        <w:numId w:val="1"/>
      </w:numPr>
      <w:tabs>
        <w:tab w:val="left" w:pos="1440"/>
      </w:tabs>
      <w:ind w:left="1440" w:firstLine="0" w:firstLineChars="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6F3DF-5F7E-496C-BA9E-6A6984910FB1}">
  <ds:schemaRefs/>
</ds:datastoreItem>
</file>

<file path=docProps/app.xml><?xml version="1.0" encoding="utf-8"?>
<Properties xmlns="http://schemas.openxmlformats.org/officeDocument/2006/extended-properties" xmlns:vt="http://schemas.openxmlformats.org/officeDocument/2006/docPropsVTypes">
  <Template>Normal</Template>
  <Company>Windsoft</Company>
  <Pages>6</Pages>
  <Words>1858</Words>
  <Characters>1920</Characters>
  <Lines>15</Lines>
  <Paragraphs>4</Paragraphs>
  <TotalTime>0</TotalTime>
  <ScaleCrop>false</ScaleCrop>
  <LinksUpToDate>false</LinksUpToDate>
  <CharactersWithSpaces>1960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2022-04-21T01:39:00Z</dcterms:created>
  <dc:creator>高 福云</dc:creator>
  <cp:lastModifiedBy>鲍</cp:lastModifiedBy>
  <cp:lastPrinted>2022-05-11T05:51:00Z</cp:lastPrinted>
  <dcterms:modified xsi:type="dcterms:W3CDTF">2025-10-20T01:10:26Z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363D128E8E8C4C2EBD8506CCEEF208AF_12</vt:lpwstr>
  </property>
  <property fmtid="{D5CDD505-2E9C-101B-9397-08002B2CF9AE}" pid="4" name="KSOTemplateDocerSaveRecord">
    <vt:lpwstr>eyJoZGlkIjoiYzQ4MjFkYmM4NmFlNTE3OTBhMTQwMGMzYWFiZjdiOGEiLCJ1c2VySWQiOiI5NjMyOTE2MjUifQ==</vt:lpwstr>
  </property>
</Properties>
</file>