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44DE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B1A6CB7">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FC99B0B">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67.040"/>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67.040</w:t>
            </w:r>
            <w:r>
              <w:rPr>
                <w:rFonts w:hint="eastAsia" w:ascii="黑体" w:hAnsi="黑体" w:eastAsia="黑体"/>
                <w:sz w:val="21"/>
                <w:szCs w:val="21"/>
              </w:rPr>
              <w:fldChar w:fldCharType="end"/>
            </w:r>
            <w:bookmarkEnd w:id="0"/>
          </w:p>
        </w:tc>
      </w:tr>
      <w:tr w14:paraId="54C42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C37C91F">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76F0B8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32B83E0">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1A19399E">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C 53"/>
                  </w:textInput>
                </w:ffData>
              </w:fldChar>
            </w:r>
            <w:bookmarkStart w:id="2" w:name="CSDN"/>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C 53</w:t>
            </w:r>
            <w:r>
              <w:rPr>
                <w:rFonts w:hint="eastAsia" w:ascii="黑体" w:hAnsi="黑体" w:eastAsia="黑体"/>
                <w:sz w:val="21"/>
                <w:szCs w:val="21"/>
              </w:rPr>
              <w:fldChar w:fldCharType="end"/>
            </w:r>
            <w:bookmarkEnd w:id="2"/>
          </w:p>
        </w:tc>
      </w:tr>
    </w:tbl>
    <w:p w14:paraId="055F17D2">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2C21905B">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119"/>
            </w:textInput>
          </w:ffData>
        </w:fldChar>
      </w:r>
      <w:bookmarkStart w:id="6" w:name="NSTD_CODE_F"/>
      <w:r>
        <w:instrText xml:space="preserve"> FORMTEXT </w:instrText>
      </w:r>
      <w:r>
        <w:fldChar w:fldCharType="separate"/>
      </w:r>
      <w:r>
        <w:t>0119</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1EABCE53">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401702C5">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4DD21762">
      <w:pPr>
        <w:pStyle w:val="50"/>
        <w:framePr w:w="9639" w:h="6976" w:hRule="exact" w:hSpace="0" w:vSpace="0" w:wrap="around" w:hAnchor="page" w:y="6408"/>
        <w:jc w:val="center"/>
        <w:rPr>
          <w:rFonts w:ascii="黑体" w:hAnsi="黑体" w:eastAsia="黑体"/>
          <w:b w:val="0"/>
          <w:bCs w:val="0"/>
          <w:w w:val="100"/>
        </w:rPr>
      </w:pPr>
    </w:p>
    <w:p w14:paraId="22DC8881">
      <w:pPr>
        <w:pStyle w:val="197"/>
        <w:framePr w:h="6974" w:hRule="exact" w:wrap="around" w:x="1419" w:anchorLock="1"/>
      </w:pPr>
      <w:r>
        <w:rPr>
          <w:rFonts w:hint="eastAsia"/>
        </w:rPr>
        <w:fldChar w:fldCharType="begin">
          <w:ffData>
            <w:name w:val="CSTD_NAME"/>
            <w:enabled/>
            <w:calcOnExit w:val="0"/>
            <w:textInput>
              <w:default w:val="食品功能成分高效分离与检测联用技术应用指南"/>
            </w:textInput>
          </w:ffData>
        </w:fldChar>
      </w:r>
      <w:bookmarkStart w:id="9" w:name="CSTD_NAME"/>
      <w:r>
        <w:rPr>
          <w:rFonts w:hint="eastAsia"/>
        </w:rPr>
        <w:instrText xml:space="preserve"> </w:instrText>
      </w:r>
      <w:r>
        <w:instrText xml:space="preserve">FORMTEXT</w:instrText>
      </w:r>
      <w:r>
        <w:rPr>
          <w:rFonts w:hint="eastAsia"/>
        </w:rPr>
        <w:instrText xml:space="preserve"> </w:instrText>
      </w:r>
      <w:r>
        <w:rPr>
          <w:rFonts w:hint="eastAsia"/>
        </w:rPr>
        <w:fldChar w:fldCharType="separate"/>
      </w:r>
      <w:r>
        <w:rPr>
          <w:rFonts w:hint="eastAsia"/>
        </w:rPr>
        <w:t>食品功能成分高效分离与检测联用技术</w:t>
      </w:r>
    </w:p>
    <w:p w14:paraId="0FD7DFF3">
      <w:pPr>
        <w:pStyle w:val="197"/>
        <w:framePr w:h="6974" w:hRule="exact" w:wrap="around" w:x="1419" w:anchorLock="1"/>
      </w:pPr>
      <w:r>
        <w:rPr>
          <w:rFonts w:hint="eastAsia"/>
        </w:rPr>
        <w:t>应用指南</w:t>
      </w:r>
      <w:r>
        <w:rPr>
          <w:rFonts w:hint="eastAsia"/>
        </w:rPr>
        <w:fldChar w:fldCharType="end"/>
      </w:r>
      <w:bookmarkEnd w:id="9"/>
    </w:p>
    <w:p w14:paraId="67B71C7B">
      <w:pPr>
        <w:framePr w:w="9639" w:h="6974" w:hRule="exact" w:wrap="around" w:vAnchor="page" w:hAnchor="page" w:x="1419" w:y="6408" w:anchorLock="1"/>
        <w:ind w:left="-1418"/>
      </w:pPr>
    </w:p>
    <w:p w14:paraId="76CC8527">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Guideline for application of efficient separation and combined detection technology of functional components in food"/>
            </w:textInput>
          </w:ffData>
        </w:fldChar>
      </w:r>
      <w:bookmarkStart w:id="10" w:name="ESTD_NAME"/>
      <w:r>
        <w:rPr>
          <w:rFonts w:hint="eastAsia" w:ascii="黑体" w:hAnsi="黑体" w:eastAsia="黑体"/>
          <w:szCs w:val="28"/>
        </w:rPr>
        <w:instrText xml:space="preserve"> </w:instrText>
      </w:r>
      <w:r>
        <w:rPr>
          <w:rFonts w:ascii="黑体" w:hAnsi="黑体" w:eastAsia="黑体"/>
          <w:szCs w:val="28"/>
        </w:rPr>
        <w:instrText xml:space="preserve">FORMTEXT</w:instrText>
      </w:r>
      <w:r>
        <w:rPr>
          <w:rFonts w:hint="eastAsia" w:ascii="黑体" w:hAnsi="黑体" w:eastAsia="黑体"/>
          <w:szCs w:val="28"/>
        </w:rPr>
        <w:instrText xml:space="preserve"> </w:instrText>
      </w:r>
      <w:r>
        <w:rPr>
          <w:rFonts w:hint="eastAsia" w:ascii="黑体" w:hAnsi="黑体" w:eastAsia="黑体"/>
          <w:szCs w:val="28"/>
        </w:rPr>
        <w:fldChar w:fldCharType="separate"/>
      </w:r>
      <w:r>
        <w:rPr>
          <w:rFonts w:hint="eastAsia" w:ascii="黑体" w:hAnsi="黑体" w:eastAsia="黑体"/>
          <w:szCs w:val="28"/>
        </w:rPr>
        <w:t>Guideline for application of efficient separation and combined detection technology of functional components in food</w:t>
      </w:r>
      <w:r>
        <w:rPr>
          <w:rFonts w:hint="eastAsia" w:ascii="黑体" w:hAnsi="黑体" w:eastAsia="黑体"/>
          <w:szCs w:val="28"/>
        </w:rPr>
        <w:fldChar w:fldCharType="end"/>
      </w:r>
      <w:bookmarkEnd w:id="10"/>
    </w:p>
    <w:p w14:paraId="1F1D2DA5">
      <w:pPr>
        <w:framePr w:w="9639" w:h="6974" w:hRule="exact" w:wrap="around" w:vAnchor="page" w:hAnchor="page" w:x="1419" w:y="6408" w:anchorLock="1"/>
        <w:spacing w:line="760" w:lineRule="exact"/>
        <w:ind w:left="-1418"/>
      </w:pPr>
    </w:p>
    <w:p w14:paraId="3D6CCBD0">
      <w:pPr>
        <w:pStyle w:val="125"/>
        <w:framePr w:w="9639" w:h="6974" w:hRule="exact" w:wrap="around" w:vAnchor="page" w:hAnchor="page" w:x="1419" w:y="6408" w:anchorLock="1"/>
        <w:textAlignment w:val="bottom"/>
        <w:rPr>
          <w:rFonts w:eastAsia="黑体"/>
          <w:szCs w:val="28"/>
        </w:rPr>
      </w:pPr>
    </w:p>
    <w:p w14:paraId="11D3BF3C">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5C1E04">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7FF84249">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213EB9E">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1430B68">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041943C4">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58496568">
      <w:pPr>
        <w:rPr>
          <w:rFonts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0991A7BF">
      <w:pPr>
        <w:pStyle w:val="91"/>
        <w:spacing w:after="360"/>
        <w:rPr>
          <w:rFonts w:hint="eastAsia"/>
        </w:rPr>
      </w:pPr>
      <w:bookmarkStart w:id="21" w:name="BookMark1"/>
      <w:bookmarkStart w:id="22" w:name="_Toc209887193"/>
      <w:r>
        <w:rPr>
          <w:rFonts w:hint="eastAsia"/>
          <w:spacing w:val="320"/>
        </w:rPr>
        <w:t>目</w:t>
      </w:r>
      <w:r>
        <w:rPr>
          <w:rFonts w:hint="eastAsia"/>
        </w:rPr>
        <w:t>次</w:t>
      </w:r>
    </w:p>
    <w:p w14:paraId="7568CDB1">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"_Toc209949363" </w:instrText>
      </w:r>
      <w:r>
        <w:fldChar w:fldCharType="separate"/>
      </w:r>
      <w:r>
        <w:rPr>
          <w:rStyle w:val="32"/>
        </w:rPr>
        <w:t>前言</w:t>
      </w:r>
      <w:r>
        <w:tab/>
      </w:r>
      <w:r>
        <w:fldChar w:fldCharType="begin"/>
      </w:r>
      <w:r>
        <w:instrText xml:space="preserve"> PAGEREF _Toc209949363 \h </w:instrText>
      </w:r>
      <w:r>
        <w:fldChar w:fldCharType="separate"/>
      </w:r>
      <w:r>
        <w:t>III</w:t>
      </w:r>
      <w:r>
        <w:fldChar w:fldCharType="end"/>
      </w:r>
      <w:r>
        <w:fldChar w:fldCharType="end"/>
      </w:r>
    </w:p>
    <w:p w14:paraId="50A7E487">
      <w:pPr>
        <w:pStyle w:val="19"/>
        <w:tabs>
          <w:tab w:val="right" w:leader="dot" w:pos="9344"/>
        </w:tabs>
        <w:rPr>
          <w:rFonts w:asciiTheme="minorHAnsi" w:hAnsiTheme="minorHAnsi" w:eastAsiaTheme="minorEastAsia" w:cstheme="minorBidi"/>
          <w:szCs w:val="22"/>
        </w:rPr>
      </w:pPr>
      <w:r>
        <w:fldChar w:fldCharType="begin"/>
      </w:r>
      <w:r>
        <w:instrText xml:space="preserve"> HYPERLINK \l "_Toc209949364" </w:instrText>
      </w:r>
      <w:r>
        <w:fldChar w:fldCharType="separate"/>
      </w:r>
      <w:r>
        <w:rPr>
          <w:rStyle w:val="32"/>
        </w:rPr>
        <w:t>引言</w:t>
      </w:r>
      <w:r>
        <w:tab/>
      </w:r>
      <w:r>
        <w:fldChar w:fldCharType="begin"/>
      </w:r>
      <w:r>
        <w:instrText xml:space="preserve"> PAGEREF _Toc209949364 \h </w:instrText>
      </w:r>
      <w:r>
        <w:fldChar w:fldCharType="separate"/>
      </w:r>
      <w:r>
        <w:t>V</w:t>
      </w:r>
      <w:r>
        <w:fldChar w:fldCharType="end"/>
      </w:r>
      <w:r>
        <w:fldChar w:fldCharType="end"/>
      </w:r>
    </w:p>
    <w:p w14:paraId="53F6F82B">
      <w:pPr>
        <w:pStyle w:val="19"/>
        <w:tabs>
          <w:tab w:val="right" w:leader="dot" w:pos="9344"/>
        </w:tabs>
        <w:rPr>
          <w:rFonts w:asciiTheme="minorHAnsi" w:hAnsiTheme="minorHAnsi" w:eastAsiaTheme="minorEastAsia" w:cstheme="minorBidi"/>
          <w:szCs w:val="22"/>
        </w:rPr>
      </w:pPr>
      <w:r>
        <w:fldChar w:fldCharType="begin"/>
      </w:r>
      <w:r>
        <w:instrText xml:space="preserve"> HYPERLINK \l "_Toc209949365" </w:instrText>
      </w:r>
      <w:r>
        <w:fldChar w:fldCharType="separate"/>
      </w:r>
      <w:r>
        <w:rPr>
          <w:rStyle w:val="32"/>
        </w:rPr>
        <w:t>1  范围</w:t>
      </w:r>
      <w:r>
        <w:tab/>
      </w:r>
      <w:r>
        <w:fldChar w:fldCharType="begin"/>
      </w:r>
      <w:r>
        <w:instrText xml:space="preserve"> PAGEREF _Toc209949365 \h </w:instrText>
      </w:r>
      <w:r>
        <w:fldChar w:fldCharType="separate"/>
      </w:r>
      <w:r>
        <w:t>1</w:t>
      </w:r>
      <w:r>
        <w:fldChar w:fldCharType="end"/>
      </w:r>
      <w:r>
        <w:fldChar w:fldCharType="end"/>
      </w:r>
    </w:p>
    <w:p w14:paraId="449B5D64">
      <w:pPr>
        <w:pStyle w:val="19"/>
        <w:tabs>
          <w:tab w:val="right" w:leader="dot" w:pos="9344"/>
        </w:tabs>
        <w:rPr>
          <w:rFonts w:asciiTheme="minorHAnsi" w:hAnsiTheme="minorHAnsi" w:eastAsiaTheme="minorEastAsia" w:cstheme="minorBidi"/>
          <w:szCs w:val="22"/>
        </w:rPr>
      </w:pPr>
      <w:r>
        <w:fldChar w:fldCharType="begin"/>
      </w:r>
      <w:r>
        <w:instrText xml:space="preserve"> HYPERLINK \l "_Toc209949366" </w:instrText>
      </w:r>
      <w:r>
        <w:fldChar w:fldCharType="separate"/>
      </w:r>
      <w:r>
        <w:rPr>
          <w:rStyle w:val="32"/>
        </w:rPr>
        <w:t>2  规范性引用文件</w:t>
      </w:r>
      <w:r>
        <w:tab/>
      </w:r>
      <w:r>
        <w:fldChar w:fldCharType="begin"/>
      </w:r>
      <w:r>
        <w:instrText xml:space="preserve"> PAGEREF _Toc209949366 \h </w:instrText>
      </w:r>
      <w:r>
        <w:fldChar w:fldCharType="separate"/>
      </w:r>
      <w:r>
        <w:t>1</w:t>
      </w:r>
      <w:r>
        <w:fldChar w:fldCharType="end"/>
      </w:r>
      <w:r>
        <w:fldChar w:fldCharType="end"/>
      </w:r>
    </w:p>
    <w:p w14:paraId="175AA204">
      <w:pPr>
        <w:pStyle w:val="19"/>
        <w:tabs>
          <w:tab w:val="right" w:leader="dot" w:pos="9344"/>
        </w:tabs>
        <w:rPr>
          <w:rFonts w:asciiTheme="minorHAnsi" w:hAnsiTheme="minorHAnsi" w:eastAsiaTheme="minorEastAsia" w:cstheme="minorBidi"/>
          <w:szCs w:val="22"/>
        </w:rPr>
      </w:pPr>
      <w:r>
        <w:fldChar w:fldCharType="begin"/>
      </w:r>
      <w:r>
        <w:instrText xml:space="preserve"> HYPERLINK \l "_Toc209949367" </w:instrText>
      </w:r>
      <w:r>
        <w:fldChar w:fldCharType="separate"/>
      </w:r>
      <w:r>
        <w:rPr>
          <w:rStyle w:val="32"/>
        </w:rPr>
        <w:t>3  术语和定义</w:t>
      </w:r>
      <w:r>
        <w:tab/>
      </w:r>
      <w:r>
        <w:fldChar w:fldCharType="begin"/>
      </w:r>
      <w:r>
        <w:instrText xml:space="preserve"> PAGEREF _Toc209949367 \h </w:instrText>
      </w:r>
      <w:r>
        <w:fldChar w:fldCharType="separate"/>
      </w:r>
      <w:r>
        <w:t>1</w:t>
      </w:r>
      <w:r>
        <w:fldChar w:fldCharType="end"/>
      </w:r>
      <w:r>
        <w:fldChar w:fldCharType="end"/>
      </w:r>
    </w:p>
    <w:p w14:paraId="0B064162">
      <w:pPr>
        <w:pStyle w:val="19"/>
        <w:tabs>
          <w:tab w:val="right" w:leader="dot" w:pos="9344"/>
        </w:tabs>
        <w:rPr>
          <w:rFonts w:asciiTheme="minorHAnsi" w:hAnsiTheme="minorHAnsi" w:eastAsiaTheme="minorEastAsia" w:cstheme="minorBidi"/>
          <w:szCs w:val="22"/>
        </w:rPr>
      </w:pPr>
      <w:r>
        <w:fldChar w:fldCharType="begin"/>
      </w:r>
      <w:r>
        <w:instrText xml:space="preserve"> HYPERLINK \l "_Toc209949368" </w:instrText>
      </w:r>
      <w:r>
        <w:fldChar w:fldCharType="separate"/>
      </w:r>
      <w:r>
        <w:rPr>
          <w:rStyle w:val="32"/>
        </w:rPr>
        <w:t>4  总体要求</w:t>
      </w:r>
      <w:r>
        <w:tab/>
      </w:r>
      <w:r>
        <w:fldChar w:fldCharType="begin"/>
      </w:r>
      <w:r>
        <w:instrText xml:space="preserve"> PAGEREF _Toc209949368 \h </w:instrText>
      </w:r>
      <w:r>
        <w:fldChar w:fldCharType="separate"/>
      </w:r>
      <w:r>
        <w:t>2</w:t>
      </w:r>
      <w:r>
        <w:fldChar w:fldCharType="end"/>
      </w:r>
      <w:r>
        <w:fldChar w:fldCharType="end"/>
      </w:r>
    </w:p>
    <w:p w14:paraId="0A06FC7C">
      <w:pPr>
        <w:pStyle w:val="19"/>
        <w:tabs>
          <w:tab w:val="right" w:leader="dot" w:pos="9344"/>
        </w:tabs>
        <w:rPr>
          <w:rFonts w:asciiTheme="minorHAnsi" w:hAnsiTheme="minorHAnsi" w:eastAsiaTheme="minorEastAsia" w:cstheme="minorBidi"/>
          <w:szCs w:val="22"/>
        </w:rPr>
      </w:pPr>
      <w:r>
        <w:fldChar w:fldCharType="begin"/>
      </w:r>
      <w:r>
        <w:instrText xml:space="preserve"> HYPERLINK \l "_Toc209949369" </w:instrText>
      </w:r>
      <w:r>
        <w:fldChar w:fldCharType="separate"/>
      </w:r>
      <w:r>
        <w:rPr>
          <w:rStyle w:val="32"/>
        </w:rPr>
        <w:t>5  技术分类</w:t>
      </w:r>
      <w:r>
        <w:tab/>
      </w:r>
      <w:r>
        <w:fldChar w:fldCharType="begin"/>
      </w:r>
      <w:r>
        <w:instrText xml:space="preserve"> PAGEREF _Toc209949369 \h </w:instrText>
      </w:r>
      <w:r>
        <w:fldChar w:fldCharType="separate"/>
      </w:r>
      <w:r>
        <w:t>3</w:t>
      </w:r>
      <w:r>
        <w:fldChar w:fldCharType="end"/>
      </w:r>
      <w:r>
        <w:fldChar w:fldCharType="end"/>
      </w:r>
    </w:p>
    <w:p w14:paraId="4910D725">
      <w:pPr>
        <w:pStyle w:val="19"/>
        <w:tabs>
          <w:tab w:val="right" w:leader="dot" w:pos="9344"/>
        </w:tabs>
        <w:rPr>
          <w:rFonts w:asciiTheme="minorHAnsi" w:hAnsiTheme="minorHAnsi" w:eastAsiaTheme="minorEastAsia" w:cstheme="minorBidi"/>
          <w:szCs w:val="22"/>
        </w:rPr>
      </w:pPr>
      <w:r>
        <w:fldChar w:fldCharType="begin"/>
      </w:r>
      <w:r>
        <w:instrText xml:space="preserve"> HYPERLINK \l "_Toc209949370" </w:instrText>
      </w:r>
      <w:r>
        <w:fldChar w:fldCharType="separate"/>
      </w:r>
      <w:r>
        <w:rPr>
          <w:rStyle w:val="32"/>
        </w:rPr>
        <w:t>6  高效分离技术应用</w:t>
      </w:r>
      <w:r>
        <w:tab/>
      </w:r>
      <w:r>
        <w:fldChar w:fldCharType="begin"/>
      </w:r>
      <w:r>
        <w:instrText xml:space="preserve"> PAGEREF _Toc209949370 \h </w:instrText>
      </w:r>
      <w:r>
        <w:fldChar w:fldCharType="separate"/>
      </w:r>
      <w:r>
        <w:t>3</w:t>
      </w:r>
      <w:r>
        <w:fldChar w:fldCharType="end"/>
      </w:r>
      <w:r>
        <w:fldChar w:fldCharType="end"/>
      </w:r>
    </w:p>
    <w:p w14:paraId="261A85D4">
      <w:pPr>
        <w:pStyle w:val="19"/>
        <w:tabs>
          <w:tab w:val="right" w:leader="dot" w:pos="9344"/>
        </w:tabs>
        <w:rPr>
          <w:rFonts w:asciiTheme="minorHAnsi" w:hAnsiTheme="minorHAnsi" w:eastAsiaTheme="minorEastAsia" w:cstheme="minorBidi"/>
          <w:szCs w:val="22"/>
        </w:rPr>
      </w:pPr>
      <w:r>
        <w:fldChar w:fldCharType="begin"/>
      </w:r>
      <w:r>
        <w:instrText xml:space="preserve"> HYPERLINK \l "_Toc209949371" </w:instrText>
      </w:r>
      <w:r>
        <w:fldChar w:fldCharType="separate"/>
      </w:r>
      <w:r>
        <w:rPr>
          <w:rStyle w:val="32"/>
        </w:rPr>
        <w:t>7  检测联用技术应用</w:t>
      </w:r>
      <w:r>
        <w:tab/>
      </w:r>
      <w:r>
        <w:fldChar w:fldCharType="begin"/>
      </w:r>
      <w:r>
        <w:instrText xml:space="preserve"> PAGEREF _Toc209949371 \h </w:instrText>
      </w:r>
      <w:r>
        <w:fldChar w:fldCharType="separate"/>
      </w:r>
      <w:r>
        <w:t>4</w:t>
      </w:r>
      <w:r>
        <w:fldChar w:fldCharType="end"/>
      </w:r>
      <w:r>
        <w:fldChar w:fldCharType="end"/>
      </w:r>
    </w:p>
    <w:p w14:paraId="628CD242">
      <w:pPr>
        <w:pStyle w:val="19"/>
        <w:tabs>
          <w:tab w:val="right" w:leader="dot" w:pos="9344"/>
        </w:tabs>
        <w:rPr>
          <w:rFonts w:asciiTheme="minorHAnsi" w:hAnsiTheme="minorHAnsi" w:eastAsiaTheme="minorEastAsia" w:cstheme="minorBidi"/>
          <w:szCs w:val="22"/>
        </w:rPr>
      </w:pPr>
      <w:r>
        <w:fldChar w:fldCharType="begin"/>
      </w:r>
      <w:r>
        <w:instrText xml:space="preserve"> HYPERLINK \l "_Toc209949372" </w:instrText>
      </w:r>
      <w:r>
        <w:fldChar w:fldCharType="separate"/>
      </w:r>
      <w:r>
        <w:rPr>
          <w:rStyle w:val="32"/>
        </w:rPr>
        <w:t>8  数据处理与结果评价</w:t>
      </w:r>
      <w:r>
        <w:tab/>
      </w:r>
      <w:r>
        <w:fldChar w:fldCharType="begin"/>
      </w:r>
      <w:r>
        <w:instrText xml:space="preserve"> PAGEREF _Toc209949372 \h </w:instrText>
      </w:r>
      <w:r>
        <w:fldChar w:fldCharType="separate"/>
      </w:r>
      <w:r>
        <w:t>5</w:t>
      </w:r>
      <w:r>
        <w:fldChar w:fldCharType="end"/>
      </w:r>
      <w:r>
        <w:fldChar w:fldCharType="end"/>
      </w:r>
    </w:p>
    <w:p w14:paraId="4F6B0950">
      <w:pPr>
        <w:pStyle w:val="19"/>
        <w:tabs>
          <w:tab w:val="right" w:leader="dot" w:pos="9344"/>
        </w:tabs>
        <w:rPr>
          <w:rFonts w:asciiTheme="minorHAnsi" w:hAnsiTheme="minorHAnsi" w:eastAsiaTheme="minorEastAsia" w:cstheme="minorBidi"/>
          <w:szCs w:val="22"/>
        </w:rPr>
      </w:pPr>
      <w:r>
        <w:fldChar w:fldCharType="begin"/>
      </w:r>
      <w:r>
        <w:instrText xml:space="preserve"> HYPERLINK \l "_Toc209949373" </w:instrText>
      </w:r>
      <w:r>
        <w:fldChar w:fldCharType="separate"/>
      </w:r>
      <w:r>
        <w:rPr>
          <w:rStyle w:val="32"/>
        </w:rPr>
        <w:t>9  案例分析</w:t>
      </w:r>
      <w:r>
        <w:tab/>
      </w:r>
      <w:r>
        <w:fldChar w:fldCharType="begin"/>
      </w:r>
      <w:r>
        <w:instrText xml:space="preserve"> PAGEREF _Toc209949373 \h </w:instrText>
      </w:r>
      <w:r>
        <w:fldChar w:fldCharType="separate"/>
      </w:r>
      <w:r>
        <w:t>6</w:t>
      </w:r>
      <w:r>
        <w:fldChar w:fldCharType="end"/>
      </w:r>
      <w:r>
        <w:fldChar w:fldCharType="end"/>
      </w:r>
    </w:p>
    <w:p w14:paraId="58512C03">
      <w:pPr>
        <w:pStyle w:val="19"/>
        <w:tabs>
          <w:tab w:val="right" w:leader="dot" w:pos="9344"/>
        </w:tabs>
        <w:rPr>
          <w:rFonts w:asciiTheme="minorHAnsi" w:hAnsiTheme="minorHAnsi" w:eastAsiaTheme="minorEastAsia" w:cstheme="minorBidi"/>
          <w:szCs w:val="22"/>
        </w:rPr>
      </w:pPr>
      <w:r>
        <w:fldChar w:fldCharType="begin"/>
      </w:r>
      <w:r>
        <w:instrText xml:space="preserve"> HYPERLINK \l "_Toc209949374" </w:instrText>
      </w:r>
      <w:r>
        <w:fldChar w:fldCharType="separate"/>
      </w:r>
      <w:r>
        <w:rPr>
          <w:rStyle w:val="32"/>
        </w:rPr>
        <w:t>10  信息化与智能化</w:t>
      </w:r>
      <w:r>
        <w:tab/>
      </w:r>
      <w:r>
        <w:fldChar w:fldCharType="begin"/>
      </w:r>
      <w:r>
        <w:instrText xml:space="preserve"> PAGEREF _Toc209949374 \h </w:instrText>
      </w:r>
      <w:r>
        <w:fldChar w:fldCharType="separate"/>
      </w:r>
      <w:r>
        <w:t>6</w:t>
      </w:r>
      <w:r>
        <w:fldChar w:fldCharType="end"/>
      </w:r>
      <w:r>
        <w:fldChar w:fldCharType="end"/>
      </w:r>
    </w:p>
    <w:p w14:paraId="3D1242C9">
      <w:pPr>
        <w:pStyle w:val="19"/>
        <w:tabs>
          <w:tab w:val="right" w:leader="dot" w:pos="9344"/>
        </w:tabs>
        <w:rPr>
          <w:rFonts w:asciiTheme="minorHAnsi" w:hAnsiTheme="minorHAnsi" w:eastAsiaTheme="minorEastAsia" w:cstheme="minorBidi"/>
          <w:szCs w:val="22"/>
        </w:rPr>
      </w:pPr>
      <w:r>
        <w:fldChar w:fldCharType="begin"/>
      </w:r>
      <w:r>
        <w:instrText xml:space="preserve"> HYPERLINK \l "_Toc209949375" </w:instrText>
      </w:r>
      <w:r>
        <w:fldChar w:fldCharType="separate"/>
      </w:r>
      <w:r>
        <w:rPr>
          <w:rStyle w:val="32"/>
        </w:rPr>
        <w:t>11  质量控制与安全管理</w:t>
      </w:r>
      <w:r>
        <w:tab/>
      </w:r>
      <w:r>
        <w:fldChar w:fldCharType="begin"/>
      </w:r>
      <w:r>
        <w:instrText xml:space="preserve"> PAGEREF _Toc209949375 \h </w:instrText>
      </w:r>
      <w:r>
        <w:fldChar w:fldCharType="separate"/>
      </w:r>
      <w:r>
        <w:t>7</w:t>
      </w:r>
      <w:r>
        <w:fldChar w:fldCharType="end"/>
      </w:r>
      <w:r>
        <w:fldChar w:fldCharType="end"/>
      </w:r>
    </w:p>
    <w:p w14:paraId="0098EEBE">
      <w:pPr>
        <w:pStyle w:val="19"/>
        <w:tabs>
          <w:tab w:val="right" w:leader="dot" w:pos="9344"/>
        </w:tabs>
        <w:rPr>
          <w:rFonts w:asciiTheme="minorHAnsi" w:hAnsiTheme="minorHAnsi" w:eastAsiaTheme="minorEastAsia" w:cstheme="minorBidi"/>
          <w:szCs w:val="22"/>
        </w:rPr>
      </w:pPr>
      <w:r>
        <w:fldChar w:fldCharType="begin"/>
      </w:r>
      <w:r>
        <w:instrText xml:space="preserve"> HYPERLINK \l "_Toc209949376" </w:instrText>
      </w:r>
      <w:r>
        <w:fldChar w:fldCharType="separate"/>
      </w:r>
      <w:r>
        <w:rPr>
          <w:rStyle w:val="32"/>
        </w:rPr>
        <w:t>12  监督改进</w:t>
      </w:r>
      <w:r>
        <w:tab/>
      </w:r>
      <w:r>
        <w:fldChar w:fldCharType="begin"/>
      </w:r>
      <w:r>
        <w:instrText xml:space="preserve"> PAGEREF _Toc209949376 \h </w:instrText>
      </w:r>
      <w:r>
        <w:fldChar w:fldCharType="separate"/>
      </w:r>
      <w:r>
        <w:t>8</w:t>
      </w:r>
      <w:r>
        <w:fldChar w:fldCharType="end"/>
      </w:r>
      <w:r>
        <w:fldChar w:fldCharType="end"/>
      </w:r>
    </w:p>
    <w:p w14:paraId="060B9AB6">
      <w:pPr>
        <w:pStyle w:val="19"/>
        <w:tabs>
          <w:tab w:val="right" w:leader="dot" w:pos="9344"/>
        </w:tabs>
        <w:rPr>
          <w:rFonts w:asciiTheme="minorHAnsi" w:hAnsiTheme="minorHAnsi" w:eastAsiaTheme="minorEastAsia" w:cstheme="minorBidi"/>
          <w:szCs w:val="22"/>
        </w:rPr>
      </w:pPr>
      <w:r>
        <w:fldChar w:fldCharType="begin"/>
      </w:r>
      <w:r>
        <w:instrText xml:space="preserve"> HYPERLINK \l "_Toc209949377" </w:instrText>
      </w:r>
      <w:r>
        <w:fldChar w:fldCharType="separate"/>
      </w:r>
      <w:r>
        <w:rPr>
          <w:rStyle w:val="32"/>
        </w:rPr>
        <w:t>参考文献</w:t>
      </w:r>
      <w:r>
        <w:tab/>
      </w:r>
      <w:r>
        <w:fldChar w:fldCharType="begin"/>
      </w:r>
      <w:r>
        <w:instrText xml:space="preserve"> PAGEREF _Toc209949377 \h </w:instrText>
      </w:r>
      <w:r>
        <w:fldChar w:fldCharType="separate"/>
      </w:r>
      <w:r>
        <w:t>9</w:t>
      </w:r>
      <w:r>
        <w:fldChar w:fldCharType="end"/>
      </w:r>
      <w:r>
        <w:fldChar w:fldCharType="end"/>
      </w:r>
    </w:p>
    <w:p w14:paraId="72DFF388">
      <w:pPr>
        <w:pStyle w:val="91"/>
        <w:spacing w:after="360"/>
        <w:sectPr>
          <w:headerReference r:id="rId10" w:type="default"/>
          <w:footerReference r:id="rId12" w:type="default"/>
          <w:headerReference r:id="rId11" w:type="even"/>
          <w:footerReference r:id="rId13"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355CEC1D">
      <w:pPr>
        <w:pStyle w:val="89"/>
        <w:spacing w:before="900" w:after="360"/>
      </w:pPr>
      <w:bookmarkStart w:id="23" w:name="_Toc209949363"/>
      <w:bookmarkStart w:id="24" w:name="BookMark2"/>
      <w:r>
        <w:rPr>
          <w:spacing w:val="320"/>
        </w:rPr>
        <w:t>前</w:t>
      </w:r>
      <w:r>
        <w:t>言</w:t>
      </w:r>
      <w:bookmarkEnd w:id="22"/>
      <w:bookmarkEnd w:id="23"/>
    </w:p>
    <w:p w14:paraId="35AC2FAA">
      <w:pPr>
        <w:pStyle w:val="56"/>
        <w:spacing w:line="360" w:lineRule="auto"/>
        <w:ind w:firstLine="420"/>
      </w:pPr>
      <w:r>
        <w:rPr>
          <w:rFonts w:hint="eastAsia"/>
        </w:rPr>
        <w:t>本文件按照GB/T 1.1—2020《标准化工作导则  第1部分：标准化文件的结构和起草规则》的规定起草。</w:t>
      </w:r>
    </w:p>
    <w:p w14:paraId="6BB17D8D">
      <w:pPr>
        <w:pStyle w:val="56"/>
        <w:spacing w:line="360" w:lineRule="auto"/>
        <w:ind w:firstLine="420"/>
      </w:pPr>
      <w:r>
        <w:rPr>
          <w:rFonts w:hint="eastAsia"/>
        </w:rPr>
        <w:t>请注意本文件的某些内容可能涉及专利。本文件的发布机构不承担识别专利的责任。</w:t>
      </w:r>
    </w:p>
    <w:p w14:paraId="79EFE827">
      <w:pPr>
        <w:pStyle w:val="56"/>
        <w:spacing w:line="360" w:lineRule="auto"/>
        <w:ind w:firstLine="420"/>
      </w:pPr>
      <w:r>
        <w:rPr>
          <w:rFonts w:hint="eastAsia"/>
        </w:rPr>
        <w:t>本文件由西安市计量标准检测认证协会提出并归口。</w:t>
      </w:r>
    </w:p>
    <w:p w14:paraId="7718CD44">
      <w:pPr>
        <w:pStyle w:val="56"/>
        <w:spacing w:line="360" w:lineRule="auto"/>
        <w:ind w:firstLine="420"/>
      </w:pPr>
      <w:r>
        <w:rPr>
          <w:rFonts w:hint="eastAsia"/>
        </w:rPr>
        <w:t>本文件起草单位：重庆市计量质量检测研究院。</w:t>
      </w:r>
    </w:p>
    <w:p w14:paraId="42BC1C2C">
      <w:pPr>
        <w:pStyle w:val="56"/>
        <w:spacing w:line="360" w:lineRule="auto"/>
        <w:ind w:firstLine="420"/>
      </w:pPr>
      <w:r>
        <w:rPr>
          <w:rFonts w:hint="eastAsia"/>
        </w:rPr>
        <w:t>本文件主要起草人：邹志威。</w:t>
      </w:r>
    </w:p>
    <w:p w14:paraId="4F59AFA1">
      <w:pPr>
        <w:pStyle w:val="56"/>
        <w:ind w:firstLine="420"/>
      </w:pPr>
    </w:p>
    <w:p w14:paraId="43B1A6EE">
      <w:pPr>
        <w:pStyle w:val="56"/>
        <w:ind w:firstLine="420"/>
        <w:sectPr>
          <w:headerReference r:id="rId14" w:type="default"/>
          <w:footerReference r:id="rId16" w:type="default"/>
          <w:headerReference r:id="rId15" w:type="even"/>
          <w:footerReference r:id="rId17" w:type="even"/>
          <w:pgSz w:w="11906" w:h="16838"/>
          <w:pgMar w:top="1928" w:right="1134" w:bottom="1134" w:left="1134" w:header="1418" w:footer="1134" w:gutter="284"/>
          <w:pgNumType w:fmt="upperRoman" w:start="3"/>
          <w:cols w:space="425" w:num="1"/>
          <w:formProt w:val="0"/>
          <w:docGrid w:linePitch="312" w:charSpace="0"/>
        </w:sectPr>
      </w:pPr>
      <w:bookmarkStart w:id="77" w:name="_GoBack"/>
      <w:bookmarkEnd w:id="77"/>
    </w:p>
    <w:bookmarkEnd w:id="24"/>
    <w:p w14:paraId="4104DD8B">
      <w:pPr>
        <w:pStyle w:val="89"/>
        <w:spacing w:after="360"/>
      </w:pPr>
      <w:bookmarkStart w:id="25" w:name="_Toc209887194"/>
      <w:bookmarkStart w:id="26" w:name="_Toc209949364"/>
      <w:bookmarkStart w:id="27" w:name="BookMark3"/>
      <w:r>
        <w:rPr>
          <w:spacing w:val="320"/>
        </w:rPr>
        <w:t>引</w:t>
      </w:r>
      <w:r>
        <w:t>言</w:t>
      </w:r>
      <w:bookmarkEnd w:id="25"/>
      <w:bookmarkEnd w:id="26"/>
    </w:p>
    <w:p w14:paraId="1983FD7E">
      <w:pPr>
        <w:pStyle w:val="56"/>
        <w:spacing w:line="360" w:lineRule="auto"/>
        <w:ind w:firstLine="420"/>
      </w:pPr>
      <w:r>
        <w:rPr>
          <w:rFonts w:hint="eastAsia"/>
        </w:rPr>
        <w:t>随着社会经济的发展和消费水平的提高，人们对食品不仅要求满足基本营养需求，更加关注其中具有特定健康功能的成分。食品功能成分，如多酚、黄酮、甾醇、膳食纤维、活性肽及多糖等，因其在抗氧化、降血脂、免疫调节和慢性病预防等方面的潜在作用，受到学术界和产业界的广泛重视。对这些成分进行高效、准确的分离与检测，是食品科学研究和产业应用的重要基础。</w:t>
      </w:r>
    </w:p>
    <w:p w14:paraId="664B6A10">
      <w:pPr>
        <w:pStyle w:val="56"/>
        <w:spacing w:line="360" w:lineRule="auto"/>
        <w:ind w:firstLine="420"/>
      </w:pPr>
      <w:r>
        <w:rPr>
          <w:rFonts w:hint="eastAsia"/>
        </w:rPr>
        <w:t>目前，国内外已经形成了多种食品功能成分的分离与检测技术体系。高效分离技术主要包括高效液相色谱、气相色谱、毛细管电泳和超临界流体萃取等；常见的检测联用技术有质谱、核磁共振、紫外-可见光谱、红外光谱和荧光检测等。这些技术在实际应用中表现出较强的互补性和协同性，通过分离与检测的联用，可以显著提高分析的灵敏度、选择性和准确性。</w:t>
      </w:r>
    </w:p>
    <w:p w14:paraId="49A9DC82">
      <w:pPr>
        <w:pStyle w:val="56"/>
        <w:spacing w:line="360" w:lineRule="auto"/>
        <w:ind w:firstLine="420"/>
      </w:pPr>
      <w:r>
        <w:rPr>
          <w:rFonts w:hint="eastAsia"/>
        </w:rPr>
        <w:t>然而，食品基质复杂、成分多样、含量差异大，导致功能成分检测仍面临样品前处理复杂、分析方法选择困难、检测结果可比性不足等问题。不同实验室、不同设备和不同分析方法之间的差异，容易造成数据不一致，影响结果的科学性和行业应用的可推广性。</w:t>
      </w:r>
    </w:p>
    <w:p w14:paraId="50D9A392">
      <w:pPr>
        <w:pStyle w:val="56"/>
        <w:spacing w:line="360" w:lineRule="auto"/>
        <w:ind w:firstLine="420"/>
      </w:pPr>
      <w:r>
        <w:rPr>
          <w:rFonts w:hint="eastAsia"/>
        </w:rPr>
        <w:t>在此背景下，制定本文件旨在统一操作要求和技术规范，提升检测过程的科学性、可重复性和可比性。本文件将明确分离与检测联用的总体原则、方法选择、应用要求及数据处理方式，并通过应用案例展示其在食品研发、质量控制和功能评价中的作用。该指南不仅有助于推</w:t>
      </w:r>
    </w:p>
    <w:p w14:paraId="1F60BA12">
      <w:pPr>
        <w:pStyle w:val="56"/>
        <w:ind w:firstLine="420"/>
        <w:sectPr>
          <w:headerReference r:id="rId18" w:type="default"/>
          <w:footerReference r:id="rId20" w:type="default"/>
          <w:headerReference r:id="rId19" w:type="even"/>
          <w:footerReference r:id="rId21" w:type="even"/>
          <w:pgSz w:w="11906" w:h="16838"/>
          <w:pgMar w:top="1928" w:right="1134" w:bottom="1134" w:left="1134" w:header="1418" w:footer="1134" w:gutter="284"/>
          <w:pgNumType w:fmt="upperRoman" w:start="5"/>
          <w:cols w:space="425" w:num="1"/>
          <w:formProt w:val="0"/>
          <w:docGrid w:linePitch="312" w:charSpace="0"/>
        </w:sectPr>
      </w:pPr>
    </w:p>
    <w:bookmarkEnd w:id="27"/>
    <w:p w14:paraId="12C43CC1">
      <w:pPr>
        <w:spacing w:line="20" w:lineRule="exact"/>
        <w:jc w:val="center"/>
        <w:rPr>
          <w:rFonts w:ascii="黑体" w:hAnsi="黑体" w:eastAsia="黑体"/>
          <w:sz w:val="32"/>
          <w:szCs w:val="32"/>
        </w:rPr>
      </w:pPr>
      <w:bookmarkStart w:id="28" w:name="BookMark4"/>
    </w:p>
    <w:p w14:paraId="0D5B76E8">
      <w:pPr>
        <w:spacing w:line="20" w:lineRule="exact"/>
        <w:jc w:val="center"/>
        <w:rPr>
          <w:rFonts w:ascii="黑体" w:hAnsi="黑体" w:eastAsia="黑体"/>
          <w:sz w:val="32"/>
          <w:szCs w:val="32"/>
        </w:rPr>
      </w:pPr>
    </w:p>
    <w:sdt>
      <w:sdtPr>
        <w:tag w:val="NEW_STAND_NAME"/>
        <w:id w:val="595910757"/>
        <w:lock w:val="sdtLocked"/>
        <w:placeholder>
          <w:docPart w:val="428A614B804142AE8BDBB50A8A79792D"/>
        </w:placeholder>
      </w:sdtPr>
      <w:sdtContent>
        <w:p w14:paraId="75D2DCAF">
          <w:pPr>
            <w:pStyle w:val="177"/>
            <w:spacing w:after="0"/>
          </w:pPr>
          <w:bookmarkStart w:id="29" w:name="NEW_STAND_NAME"/>
          <w:r>
            <w:rPr>
              <w:rFonts w:hint="eastAsia"/>
            </w:rPr>
            <w:t>食品功能成分高效分离与检测联用技术</w:t>
          </w:r>
        </w:p>
        <w:p w14:paraId="08ED5E01">
          <w:pPr>
            <w:pStyle w:val="177"/>
            <w:spacing w:before="0"/>
          </w:pPr>
          <w:r>
            <w:rPr>
              <w:rFonts w:hint="eastAsia"/>
            </w:rPr>
            <w:t>应用指南</w:t>
          </w:r>
        </w:p>
      </w:sdtContent>
    </w:sdt>
    <w:bookmarkEnd w:id="29"/>
    <w:p w14:paraId="153BF6ED">
      <w:pPr>
        <w:pStyle w:val="104"/>
        <w:spacing w:before="240" w:after="240" w:line="360" w:lineRule="auto"/>
      </w:pPr>
      <w:bookmarkStart w:id="30" w:name="_Toc26718930"/>
      <w:bookmarkStart w:id="31" w:name="_Toc24884218"/>
      <w:bookmarkStart w:id="32" w:name="_Toc26648465"/>
      <w:bookmarkStart w:id="33" w:name="_Toc26986530"/>
      <w:bookmarkStart w:id="34" w:name="_Toc17233325"/>
      <w:bookmarkStart w:id="35" w:name="_Toc97192964"/>
      <w:bookmarkStart w:id="36" w:name="_Toc209887195"/>
      <w:bookmarkStart w:id="37" w:name="_Toc209949365"/>
      <w:bookmarkStart w:id="38" w:name="_Toc26986771"/>
      <w:bookmarkStart w:id="39" w:name="_Toc17233333"/>
      <w:bookmarkStart w:id="40" w:name="_Toc24884211"/>
      <w:r>
        <w:rPr>
          <w:rFonts w:hint="eastAsia"/>
        </w:rPr>
        <w:t>范围</w:t>
      </w:r>
      <w:bookmarkEnd w:id="30"/>
      <w:bookmarkEnd w:id="31"/>
      <w:bookmarkEnd w:id="32"/>
      <w:bookmarkEnd w:id="33"/>
      <w:bookmarkEnd w:id="34"/>
      <w:bookmarkEnd w:id="35"/>
      <w:bookmarkEnd w:id="36"/>
      <w:bookmarkEnd w:id="37"/>
      <w:bookmarkEnd w:id="38"/>
      <w:bookmarkEnd w:id="39"/>
      <w:bookmarkEnd w:id="40"/>
    </w:p>
    <w:p w14:paraId="11CA6BF6">
      <w:pPr>
        <w:pStyle w:val="56"/>
        <w:spacing w:line="360" w:lineRule="auto"/>
        <w:ind w:firstLine="420"/>
      </w:pPr>
      <w:bookmarkStart w:id="41" w:name="_Toc17233326"/>
      <w:bookmarkStart w:id="42" w:name="_Toc26648466"/>
      <w:bookmarkStart w:id="43" w:name="_Toc24884219"/>
      <w:bookmarkStart w:id="44" w:name="_Toc24884212"/>
      <w:bookmarkStart w:id="45" w:name="_Toc17233334"/>
      <w:r>
        <w:rPr>
          <w:rFonts w:hint="eastAsia"/>
        </w:rPr>
        <w:t>本文件规定了食品功能成分高效分离与检测联用技术的总体要求、技术分类、高效分离技术应用、检测联用技术应用、数据处理与结果评价、案例分析、信息化与智能化、质量控制与安全管理及监督改进的相关内容与要求。</w:t>
      </w:r>
    </w:p>
    <w:p w14:paraId="16982D58">
      <w:pPr>
        <w:pStyle w:val="56"/>
        <w:spacing w:line="360" w:lineRule="auto"/>
        <w:ind w:firstLine="420"/>
      </w:pPr>
      <w:r>
        <w:rPr>
          <w:rFonts w:hint="eastAsia"/>
        </w:rPr>
        <w:t>本文件适用于食品功能成分在研发、检测、质量评价和产业应用中的分离与检测工作，涵盖实验室研究、企业质量控制和行业监管等不同应用场景。</w:t>
      </w:r>
    </w:p>
    <w:p w14:paraId="1F7FEEB2">
      <w:pPr>
        <w:pStyle w:val="104"/>
        <w:spacing w:before="240" w:after="240" w:line="360" w:lineRule="auto"/>
      </w:pPr>
      <w:bookmarkStart w:id="46" w:name="_Toc209887196"/>
      <w:bookmarkStart w:id="47" w:name="_Toc26718931"/>
      <w:bookmarkStart w:id="48" w:name="_Toc97192965"/>
      <w:bookmarkStart w:id="49" w:name="_Toc26986531"/>
      <w:bookmarkStart w:id="50" w:name="_Toc26986772"/>
      <w:bookmarkStart w:id="51" w:name="_Toc209949366"/>
      <w:r>
        <w:rPr>
          <w:rFonts w:hint="eastAsia"/>
        </w:rPr>
        <w:t>规范性引用文件</w:t>
      </w:r>
      <w:bookmarkEnd w:id="41"/>
      <w:bookmarkEnd w:id="42"/>
      <w:bookmarkEnd w:id="43"/>
      <w:bookmarkEnd w:id="44"/>
      <w:bookmarkEnd w:id="45"/>
      <w:bookmarkEnd w:id="46"/>
      <w:bookmarkEnd w:id="47"/>
      <w:bookmarkEnd w:id="48"/>
      <w:bookmarkEnd w:id="49"/>
      <w:bookmarkEnd w:id="50"/>
      <w:bookmarkEnd w:id="51"/>
    </w:p>
    <w:sdt>
      <w:sdtPr>
        <w:rPr>
          <w:rFonts w:hint="eastAsia"/>
        </w:rPr>
        <w:id w:val="715848253"/>
        <w:placeholder>
          <w:docPart w:val="E937BECAD2B34860A158A768CA921C5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9F4EAAC">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8DE40A8">
      <w:pPr>
        <w:pStyle w:val="56"/>
        <w:spacing w:line="360" w:lineRule="auto"/>
        <w:ind w:firstLine="420"/>
      </w:pPr>
      <w:r>
        <w:rPr>
          <w:rFonts w:hint="eastAsia"/>
        </w:rPr>
        <w:t>GB/T 1.1—2020 标准化工作导则  第1部分:标准化文件的结构和起草规则</w:t>
      </w:r>
    </w:p>
    <w:p w14:paraId="6F250C83">
      <w:pPr>
        <w:pStyle w:val="56"/>
        <w:spacing w:line="360" w:lineRule="auto"/>
        <w:ind w:firstLine="420"/>
      </w:pPr>
      <w:r>
        <w:t>GB 4789.45</w:t>
      </w:r>
      <w:r>
        <w:rPr>
          <w:rFonts w:hint="eastAsia"/>
        </w:rPr>
        <w:t>—</w:t>
      </w:r>
      <w:r>
        <w:t>2023</w:t>
      </w:r>
      <w:r>
        <w:rPr>
          <w:rFonts w:hint="eastAsia"/>
        </w:rPr>
        <w:t xml:space="preserve"> 食品安全国家标准 </w:t>
      </w:r>
      <w:r>
        <w:t xml:space="preserve"> </w:t>
      </w:r>
      <w:r>
        <w:rPr>
          <w:rFonts w:hint="eastAsia"/>
        </w:rPr>
        <w:t>微生物检验方法验证通则</w:t>
      </w:r>
    </w:p>
    <w:p w14:paraId="6C474488">
      <w:pPr>
        <w:pStyle w:val="56"/>
        <w:spacing w:line="360" w:lineRule="auto"/>
        <w:ind w:firstLine="420"/>
      </w:pPr>
      <w:r>
        <w:t>GB 4806.1</w:t>
      </w:r>
      <w:r>
        <w:rPr>
          <w:rFonts w:hint="eastAsia"/>
        </w:rPr>
        <w:t>—</w:t>
      </w:r>
      <w:r>
        <w:t>2016</w:t>
      </w:r>
      <w:r>
        <w:rPr>
          <w:rFonts w:hint="eastAsia"/>
        </w:rPr>
        <w:t xml:space="preserve"> 食品安全国家标准  食品接触材料及制品通用安全要求</w:t>
      </w:r>
    </w:p>
    <w:p w14:paraId="6962992E">
      <w:pPr>
        <w:pStyle w:val="104"/>
        <w:spacing w:before="240" w:after="240" w:line="360" w:lineRule="auto"/>
      </w:pPr>
      <w:bookmarkStart w:id="52" w:name="_Toc209949367"/>
      <w:bookmarkStart w:id="53" w:name="_Toc209887197"/>
      <w:bookmarkStart w:id="54" w:name="_Toc97192966"/>
      <w:r>
        <w:rPr>
          <w:rFonts w:hint="eastAsia"/>
          <w:szCs w:val="21"/>
        </w:rPr>
        <w:t>术语和定义</w:t>
      </w:r>
      <w:bookmarkEnd w:id="52"/>
      <w:bookmarkEnd w:id="53"/>
      <w:bookmarkEnd w:id="54"/>
    </w:p>
    <w:sdt>
      <w:sdtPr>
        <w:id w:val="-1909835108"/>
        <w:placeholder>
          <w:docPart w:val="7D0407537AFA4EBFB7447D8BB1E4BCD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69B61DD">
          <w:pPr>
            <w:pStyle w:val="56"/>
            <w:spacing w:line="360" w:lineRule="auto"/>
            <w:ind w:firstLine="420"/>
          </w:pPr>
          <w:bookmarkStart w:id="55" w:name="_Toc26986532"/>
          <w:bookmarkEnd w:id="55"/>
          <w:r>
            <w:t>下列术语和定义适用于本文件。</w:t>
          </w:r>
        </w:p>
      </w:sdtContent>
    </w:sdt>
    <w:p w14:paraId="74E8914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食品功能成分 </w:t>
      </w:r>
      <w:r>
        <w:rPr>
          <w:rFonts w:ascii="黑体" w:hAnsi="黑体" w:eastAsia="黑体"/>
        </w:rPr>
        <w:t>food functional component</w:t>
      </w:r>
    </w:p>
    <w:p w14:paraId="191B7FB5">
      <w:pPr>
        <w:pStyle w:val="56"/>
        <w:spacing w:line="360" w:lineRule="auto"/>
        <w:ind w:firstLine="420"/>
      </w:pPr>
      <w:r>
        <w:rPr>
          <w:rFonts w:hint="eastAsia"/>
        </w:rPr>
        <w:t>指存在于食品中的、对人体具有特定生理调节功能的成分，如多酚、黄酮、甾醇、膳食纤维、活性肽和多糖等。</w:t>
      </w:r>
    </w:p>
    <w:p w14:paraId="13BD25A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高效分离技术 </w:t>
      </w:r>
      <w:r>
        <w:rPr>
          <w:rFonts w:ascii="黑体" w:hAnsi="黑体" w:eastAsia="黑体"/>
        </w:rPr>
        <w:t>high efficiency separation technology</w:t>
      </w:r>
    </w:p>
    <w:p w14:paraId="5A5A22D3">
      <w:pPr>
        <w:pStyle w:val="56"/>
        <w:spacing w:line="360" w:lineRule="auto"/>
        <w:ind w:firstLine="420"/>
      </w:pPr>
      <w:r>
        <w:rPr>
          <w:rFonts w:hint="eastAsia"/>
        </w:rPr>
        <w:t>指利用物理、化学或物理化学方法，将食品中复杂混合物中的目标功能成分从干扰物质中分离出来的技术，如高效液相色谱、气相色谱和毛细管电泳。</w:t>
      </w:r>
    </w:p>
    <w:p w14:paraId="690D34D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检测联用技术 </w:t>
      </w:r>
      <w:r>
        <w:rPr>
          <w:rFonts w:ascii="黑体" w:hAnsi="黑体" w:eastAsia="黑体"/>
        </w:rPr>
        <w:t>detection coupled technology</w:t>
      </w:r>
    </w:p>
    <w:p w14:paraId="3AB00906">
      <w:pPr>
        <w:pStyle w:val="56"/>
        <w:spacing w:line="360" w:lineRule="auto"/>
        <w:ind w:firstLine="420"/>
      </w:pPr>
      <w:r>
        <w:rPr>
          <w:rFonts w:hint="eastAsia"/>
        </w:rPr>
        <w:t>指将分离技术与检测技术相结合，以实现目标成分的准确定性和定量分析的技术体系，例如色谱-质谱联用（lc-ms）、气相色谱-质谱联用（gc-ms）。</w:t>
      </w:r>
    </w:p>
    <w:p w14:paraId="0DA6782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样品前处理 </w:t>
      </w:r>
      <w:r>
        <w:rPr>
          <w:rFonts w:ascii="黑体" w:hAnsi="黑体" w:eastAsia="黑体"/>
        </w:rPr>
        <w:t>sample pretreatment</w:t>
      </w:r>
    </w:p>
    <w:p w14:paraId="465D5281">
      <w:pPr>
        <w:pStyle w:val="56"/>
        <w:spacing w:line="360" w:lineRule="auto"/>
        <w:ind w:firstLine="420"/>
      </w:pPr>
      <w:r>
        <w:rPr>
          <w:rFonts w:hint="eastAsia"/>
        </w:rPr>
        <w:t>指在功能成分分离与检测前，为减少基质干扰、提高检测灵敏度和准确性，对样品进行的提取、纯化、浓缩或衍生化等操作过程。</w:t>
      </w:r>
    </w:p>
    <w:p w14:paraId="61BC296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灵敏度 </w:t>
      </w:r>
      <w:r>
        <w:rPr>
          <w:rFonts w:ascii="黑体" w:hAnsi="黑体" w:eastAsia="黑体"/>
        </w:rPr>
        <w:t>sensitivity</w:t>
      </w:r>
    </w:p>
    <w:p w14:paraId="0A8D44E4">
      <w:pPr>
        <w:pStyle w:val="56"/>
        <w:spacing w:line="360" w:lineRule="auto"/>
        <w:ind w:firstLine="420"/>
      </w:pPr>
      <w:r>
        <w:rPr>
          <w:rFonts w:hint="eastAsia"/>
        </w:rPr>
        <w:t>检测方法对低浓度目标成分的响应能力，通常以最低检出限或最低定量限来衡量。</w:t>
      </w:r>
    </w:p>
    <w:p w14:paraId="76929F6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准确性 </w:t>
      </w:r>
      <w:r>
        <w:rPr>
          <w:rFonts w:ascii="黑体" w:hAnsi="黑体" w:eastAsia="黑体"/>
        </w:rPr>
        <w:t>accuracy</w:t>
      </w:r>
    </w:p>
    <w:p w14:paraId="71FB3CD6">
      <w:pPr>
        <w:pStyle w:val="56"/>
        <w:spacing w:line="360" w:lineRule="auto"/>
        <w:ind w:firstLine="420"/>
      </w:pPr>
      <w:r>
        <w:rPr>
          <w:rFonts w:hint="eastAsia"/>
        </w:rPr>
        <w:t>检测结果与目标成分真实含量的一致程度，通常通过回收率或标准物质比对来评价。</w:t>
      </w:r>
    </w:p>
    <w:p w14:paraId="43628394">
      <w:pPr>
        <w:pStyle w:val="104"/>
        <w:spacing w:before="240" w:after="240" w:line="360" w:lineRule="auto"/>
      </w:pPr>
      <w:bookmarkStart w:id="56" w:name="_Toc209887198"/>
      <w:bookmarkStart w:id="57" w:name="_Toc209949368"/>
      <w:r>
        <w:rPr>
          <w:rFonts w:hint="eastAsia"/>
        </w:rPr>
        <w:t>总体要求</w:t>
      </w:r>
      <w:bookmarkEnd w:id="56"/>
      <w:bookmarkEnd w:id="57"/>
    </w:p>
    <w:p w14:paraId="2F827A6F">
      <w:pPr>
        <w:pStyle w:val="105"/>
        <w:spacing w:before="120" w:after="120" w:line="360" w:lineRule="auto"/>
      </w:pPr>
      <w:r>
        <w:rPr>
          <w:rFonts w:hint="eastAsia"/>
        </w:rPr>
        <w:t>科学性</w:t>
      </w:r>
    </w:p>
    <w:p w14:paraId="3B9FD37C">
      <w:pPr>
        <w:pStyle w:val="56"/>
        <w:spacing w:line="360" w:lineRule="auto"/>
        <w:ind w:firstLine="420"/>
      </w:pPr>
      <w:r>
        <w:rPr>
          <w:rFonts w:hint="eastAsia"/>
        </w:rPr>
        <w:t>分离与检测方法应基于科学原理，符合功能成分的理化特性，保证数据能够客观反映样品的真实情况。</w:t>
      </w:r>
    </w:p>
    <w:p w14:paraId="5A5FCC16">
      <w:pPr>
        <w:pStyle w:val="105"/>
        <w:spacing w:before="120" w:after="120" w:line="360" w:lineRule="auto"/>
      </w:pPr>
      <w:r>
        <w:rPr>
          <w:rFonts w:hint="eastAsia"/>
        </w:rPr>
        <w:t>系统性</w:t>
      </w:r>
    </w:p>
    <w:p w14:paraId="282550D2">
      <w:pPr>
        <w:pStyle w:val="56"/>
        <w:spacing w:line="360" w:lineRule="auto"/>
        <w:ind w:firstLine="420"/>
      </w:pPr>
      <w:r>
        <w:rPr>
          <w:rFonts w:hint="eastAsia"/>
        </w:rPr>
        <w:t>检测过程应覆盖样品前处理、分离、检测、数据处理和结果评价等完整环节，避免遗漏关键步骤。</w:t>
      </w:r>
    </w:p>
    <w:p w14:paraId="4A9D383F">
      <w:pPr>
        <w:pStyle w:val="105"/>
        <w:spacing w:before="120" w:after="120" w:line="360" w:lineRule="auto"/>
      </w:pPr>
      <w:r>
        <w:rPr>
          <w:rFonts w:hint="eastAsia"/>
        </w:rPr>
        <w:t>标准化</w:t>
      </w:r>
    </w:p>
    <w:p w14:paraId="0C839551">
      <w:pPr>
        <w:pStyle w:val="56"/>
        <w:spacing w:line="360" w:lineRule="auto"/>
        <w:ind w:firstLine="420"/>
      </w:pPr>
      <w:r>
        <w:rPr>
          <w:rFonts w:hint="eastAsia"/>
        </w:rPr>
        <w:t>实验操作、设备参数和数据记录应符合国家、行业和国际相关标准，减少因实验条件差异造成的结果偏差。</w:t>
      </w:r>
    </w:p>
    <w:p w14:paraId="47DC987C">
      <w:pPr>
        <w:pStyle w:val="105"/>
        <w:spacing w:before="120" w:after="120" w:line="360" w:lineRule="auto"/>
      </w:pPr>
      <w:r>
        <w:rPr>
          <w:rFonts w:hint="eastAsia"/>
        </w:rPr>
        <w:t>灵敏性与准确性</w:t>
      </w:r>
    </w:p>
    <w:p w14:paraId="74D2A4EF">
      <w:pPr>
        <w:pStyle w:val="56"/>
        <w:spacing w:line="360" w:lineRule="auto"/>
        <w:ind w:firstLine="420"/>
      </w:pPr>
      <w:r>
        <w:rPr>
          <w:rFonts w:hint="eastAsia"/>
        </w:rPr>
        <w:t>方法应具备足够的灵敏度和准确性，能够满足功能成分含量较低、基质复杂情况下的检测需求。</w:t>
      </w:r>
    </w:p>
    <w:p w14:paraId="53A56AF2">
      <w:pPr>
        <w:pStyle w:val="105"/>
        <w:spacing w:before="120" w:after="120" w:line="360" w:lineRule="auto"/>
      </w:pPr>
      <w:r>
        <w:rPr>
          <w:rFonts w:hint="eastAsia"/>
        </w:rPr>
        <w:t>可比性</w:t>
      </w:r>
    </w:p>
    <w:p w14:paraId="0C04B0C4">
      <w:pPr>
        <w:pStyle w:val="56"/>
        <w:spacing w:line="360" w:lineRule="auto"/>
        <w:ind w:firstLine="420"/>
      </w:pPr>
      <w:r>
        <w:rPr>
          <w:rFonts w:hint="eastAsia"/>
        </w:rPr>
        <w:t>不同实验室、不同检测平台或不同时间的检测结果应具备可比性，必要时应通过标准物质和统一操作规程进行校正。</w:t>
      </w:r>
    </w:p>
    <w:p w14:paraId="6DD65D96">
      <w:pPr>
        <w:pStyle w:val="105"/>
        <w:spacing w:before="120" w:after="120" w:line="360" w:lineRule="auto"/>
      </w:pPr>
      <w:r>
        <w:rPr>
          <w:rFonts w:hint="eastAsia"/>
        </w:rPr>
        <w:t>安全性</w:t>
      </w:r>
    </w:p>
    <w:p w14:paraId="53D14066">
      <w:pPr>
        <w:pStyle w:val="56"/>
        <w:spacing w:line="360" w:lineRule="auto"/>
        <w:ind w:firstLine="420"/>
      </w:pPr>
      <w:r>
        <w:rPr>
          <w:rFonts w:hint="eastAsia"/>
        </w:rPr>
        <w:t>在分离与检测过程中，应采取必要的实验室安全措施，防止有毒溶剂、气体和高能量仪器带来的风险，确保人员和环境安全。</w:t>
      </w:r>
    </w:p>
    <w:p w14:paraId="2BD3CA51">
      <w:pPr>
        <w:pStyle w:val="105"/>
        <w:spacing w:before="120" w:after="120" w:line="360" w:lineRule="auto"/>
      </w:pPr>
      <w:r>
        <w:rPr>
          <w:rFonts w:hint="eastAsia"/>
        </w:rPr>
        <w:t>可追溯性</w:t>
      </w:r>
    </w:p>
    <w:p w14:paraId="311204EC">
      <w:pPr>
        <w:pStyle w:val="56"/>
        <w:spacing w:line="360" w:lineRule="auto"/>
        <w:ind w:firstLine="420"/>
      </w:pPr>
      <w:r>
        <w:rPr>
          <w:rFonts w:hint="eastAsia"/>
        </w:rPr>
        <w:t>所有实验步骤、参数设置和数据处理过程应形成完整记录，并保存相应的原始数据，以保证结果可追溯和可验证。</w:t>
      </w:r>
    </w:p>
    <w:p w14:paraId="398C6021">
      <w:pPr>
        <w:pStyle w:val="104"/>
        <w:spacing w:before="240" w:after="240" w:line="360" w:lineRule="auto"/>
      </w:pPr>
      <w:bookmarkStart w:id="58" w:name="_Toc209887199"/>
      <w:bookmarkStart w:id="59" w:name="_Toc209949369"/>
      <w:r>
        <w:rPr>
          <w:rFonts w:hint="eastAsia"/>
        </w:rPr>
        <w:t>技术分类</w:t>
      </w:r>
      <w:bookmarkEnd w:id="58"/>
      <w:bookmarkEnd w:id="59"/>
    </w:p>
    <w:p w14:paraId="05D28C9B">
      <w:pPr>
        <w:pStyle w:val="105"/>
        <w:spacing w:before="120" w:after="120" w:line="360" w:lineRule="auto"/>
      </w:pPr>
      <w:r>
        <w:rPr>
          <w:rFonts w:hint="eastAsia"/>
        </w:rPr>
        <w:t>高效分离技术</w:t>
      </w:r>
    </w:p>
    <w:p w14:paraId="7968D253">
      <w:pPr>
        <w:pStyle w:val="56"/>
        <w:spacing w:line="360" w:lineRule="auto"/>
        <w:ind w:firstLine="420"/>
      </w:pPr>
      <w:r>
        <w:rPr>
          <w:rFonts w:hint="eastAsia"/>
        </w:rPr>
        <w:t>高效分离技术主要包括高效液相色谱、气相色谱、毛细管电泳、超临界流体萃取和固相萃取等。这些方法能够有效分离食品中的多酚、黄酮、多糖等成分，减少复杂基质对检测结果的影响。</w:t>
      </w:r>
    </w:p>
    <w:p w14:paraId="1B66883A">
      <w:pPr>
        <w:pStyle w:val="105"/>
        <w:spacing w:before="120" w:after="120" w:line="360" w:lineRule="auto"/>
      </w:pPr>
      <w:r>
        <w:rPr>
          <w:rFonts w:hint="eastAsia"/>
        </w:rPr>
        <w:t>检测联用技术</w:t>
      </w:r>
    </w:p>
    <w:p w14:paraId="4784EBA4">
      <w:pPr>
        <w:pStyle w:val="56"/>
        <w:spacing w:line="360" w:lineRule="auto"/>
        <w:ind w:firstLine="420"/>
      </w:pPr>
      <w:r>
        <w:rPr>
          <w:rFonts w:hint="eastAsia"/>
        </w:rPr>
        <w:t>检测联用技术是将分离设备与检测设备相结合，实现对复杂样品中目标成分的高效分析。常见的联用方式包括液相色谱-质谱（lc-ms）、气相色谱-质谱（gc-ms）、液相色谱-核磁共振（lc-nmr）以及液相色谱-紫外检测（lc-uv）等。这类方法能够同时提供分子结构信息和含量数据。</w:t>
      </w:r>
    </w:p>
    <w:p w14:paraId="24B62B6C">
      <w:pPr>
        <w:pStyle w:val="105"/>
        <w:spacing w:before="120" w:after="120" w:line="360" w:lineRule="auto"/>
      </w:pPr>
      <w:r>
        <w:rPr>
          <w:rFonts w:hint="eastAsia"/>
        </w:rPr>
        <w:t>复合与新兴技术</w:t>
      </w:r>
    </w:p>
    <w:p w14:paraId="7BAC9E7B">
      <w:pPr>
        <w:pStyle w:val="56"/>
        <w:spacing w:line="360" w:lineRule="auto"/>
        <w:ind w:firstLine="420"/>
      </w:pPr>
      <w:r>
        <w:rPr>
          <w:rFonts w:hint="eastAsia"/>
        </w:rPr>
        <w:t>随着技术发展，一些新兴方法逐渐应用于食品功能成分分析，如超高效液相色谱（uplc）、多维色谱（2d-lc）、电喷雾电离质谱（esi-ms）和串联质谱（ms/ms），它们在分离效率和检测灵敏度上更具优势。</w:t>
      </w:r>
    </w:p>
    <w:p w14:paraId="531CEF0D">
      <w:pPr>
        <w:pStyle w:val="56"/>
        <w:spacing w:line="360" w:lineRule="auto"/>
        <w:ind w:firstLine="420"/>
      </w:pPr>
      <w:r>
        <w:rPr>
          <w:rFonts w:hint="eastAsia"/>
        </w:rPr>
        <w:t>常见食品功能成分与分离检测技术对应见表1。</w:t>
      </w:r>
    </w:p>
    <w:p w14:paraId="2AFA5972">
      <w:pPr>
        <w:pStyle w:val="112"/>
        <w:spacing w:before="120" w:after="120" w:line="360" w:lineRule="auto"/>
      </w:pPr>
      <w:r>
        <w:rPr>
          <w:rFonts w:hint="eastAsia"/>
        </w:rPr>
        <w:t>常见食品功能成分与分离检测技术对应</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117"/>
        <w:gridCol w:w="4252"/>
        <w:gridCol w:w="2965"/>
      </w:tblGrid>
      <w:tr w14:paraId="62DC0C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117" w:type="dxa"/>
            <w:tcBorders>
              <w:top w:val="single" w:color="auto" w:sz="8" w:space="0"/>
              <w:bottom w:val="single" w:color="auto" w:sz="8" w:space="0"/>
            </w:tcBorders>
          </w:tcPr>
          <w:p w14:paraId="4EF932AB">
            <w:pPr>
              <w:pStyle w:val="178"/>
            </w:pPr>
            <w:r>
              <w:rPr>
                <w:rFonts w:hint="eastAsia"/>
              </w:rPr>
              <w:t>功能成分</w:t>
            </w:r>
          </w:p>
        </w:tc>
        <w:tc>
          <w:tcPr>
            <w:tcW w:w="4252" w:type="dxa"/>
            <w:tcBorders>
              <w:top w:val="single" w:color="auto" w:sz="8" w:space="0"/>
              <w:bottom w:val="single" w:color="auto" w:sz="8" w:space="0"/>
            </w:tcBorders>
          </w:tcPr>
          <w:p w14:paraId="4919B0D9">
            <w:pPr>
              <w:pStyle w:val="178"/>
            </w:pPr>
            <w:r>
              <w:rPr>
                <w:rFonts w:hint="eastAsia"/>
              </w:rPr>
              <w:t>常用分离技术</w:t>
            </w:r>
          </w:p>
        </w:tc>
        <w:tc>
          <w:tcPr>
            <w:tcW w:w="2965" w:type="dxa"/>
            <w:tcBorders>
              <w:top w:val="single" w:color="auto" w:sz="8" w:space="0"/>
              <w:bottom w:val="single" w:color="auto" w:sz="8" w:space="0"/>
            </w:tcBorders>
          </w:tcPr>
          <w:p w14:paraId="79A24FCB">
            <w:pPr>
              <w:pStyle w:val="178"/>
            </w:pPr>
            <w:r>
              <w:rPr>
                <w:rFonts w:hint="eastAsia"/>
              </w:rPr>
              <w:t>常用检测联用技术</w:t>
            </w:r>
          </w:p>
        </w:tc>
      </w:tr>
      <w:tr w14:paraId="109756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Borders>
              <w:top w:val="single" w:color="auto" w:sz="8" w:space="0"/>
            </w:tcBorders>
          </w:tcPr>
          <w:p w14:paraId="2ECD825B">
            <w:pPr>
              <w:pStyle w:val="178"/>
            </w:pPr>
            <w:r>
              <w:rPr>
                <w:rFonts w:hint="eastAsia"/>
              </w:rPr>
              <w:t>多酚类</w:t>
            </w:r>
          </w:p>
        </w:tc>
        <w:tc>
          <w:tcPr>
            <w:tcW w:w="4252" w:type="dxa"/>
            <w:tcBorders>
              <w:top w:val="single" w:color="auto" w:sz="8" w:space="0"/>
            </w:tcBorders>
          </w:tcPr>
          <w:p w14:paraId="1D0EB7E0">
            <w:pPr>
              <w:pStyle w:val="178"/>
            </w:pPr>
            <w:r>
              <w:rPr>
                <w:rFonts w:hint="eastAsia"/>
              </w:rPr>
              <w:t>高效液相色谱、固相萃取</w:t>
            </w:r>
          </w:p>
        </w:tc>
        <w:tc>
          <w:tcPr>
            <w:tcW w:w="2965" w:type="dxa"/>
            <w:tcBorders>
              <w:top w:val="single" w:color="auto" w:sz="8" w:space="0"/>
            </w:tcBorders>
          </w:tcPr>
          <w:p w14:paraId="58B0C58B">
            <w:pPr>
              <w:pStyle w:val="178"/>
            </w:pPr>
            <w:r>
              <w:rPr>
                <w:rFonts w:hint="eastAsia"/>
              </w:rPr>
              <w:t>lc-ms、lc-uv</w:t>
            </w:r>
          </w:p>
        </w:tc>
      </w:tr>
      <w:tr w14:paraId="046986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Pr>
          <w:p w14:paraId="18CC90BB">
            <w:pPr>
              <w:pStyle w:val="178"/>
            </w:pPr>
            <w:r>
              <w:rPr>
                <w:rFonts w:hint="eastAsia"/>
              </w:rPr>
              <w:t>黄酮类</w:t>
            </w:r>
          </w:p>
        </w:tc>
        <w:tc>
          <w:tcPr>
            <w:tcW w:w="4252" w:type="dxa"/>
          </w:tcPr>
          <w:p w14:paraId="7AD91A44">
            <w:pPr>
              <w:pStyle w:val="178"/>
            </w:pPr>
            <w:r>
              <w:rPr>
                <w:rFonts w:hint="eastAsia"/>
              </w:rPr>
              <w:t>高效液相色谱、毛细管电泳</w:t>
            </w:r>
          </w:p>
        </w:tc>
        <w:tc>
          <w:tcPr>
            <w:tcW w:w="2965" w:type="dxa"/>
          </w:tcPr>
          <w:p w14:paraId="75D195B7">
            <w:pPr>
              <w:pStyle w:val="178"/>
            </w:pPr>
            <w:r>
              <w:rPr>
                <w:rFonts w:hint="eastAsia"/>
              </w:rPr>
              <w:t>lc-ms/ms、lc-nmr</w:t>
            </w:r>
          </w:p>
        </w:tc>
      </w:tr>
      <w:tr w14:paraId="49614D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Pr>
          <w:p w14:paraId="5F64D038">
            <w:pPr>
              <w:pStyle w:val="178"/>
            </w:pPr>
            <w:r>
              <w:rPr>
                <w:rFonts w:hint="eastAsia"/>
              </w:rPr>
              <w:t>多糖类</w:t>
            </w:r>
          </w:p>
        </w:tc>
        <w:tc>
          <w:tcPr>
            <w:tcW w:w="4252" w:type="dxa"/>
          </w:tcPr>
          <w:p w14:paraId="3994D035">
            <w:pPr>
              <w:pStyle w:val="178"/>
            </w:pPr>
            <w:r>
              <w:rPr>
                <w:rFonts w:hint="eastAsia"/>
              </w:rPr>
              <w:t>超临界流体萃取、凝胶色谱</w:t>
            </w:r>
          </w:p>
        </w:tc>
        <w:tc>
          <w:tcPr>
            <w:tcW w:w="2965" w:type="dxa"/>
          </w:tcPr>
          <w:p w14:paraId="1D044F42">
            <w:pPr>
              <w:pStyle w:val="178"/>
            </w:pPr>
            <w:r>
              <w:rPr>
                <w:rFonts w:hint="eastAsia"/>
              </w:rPr>
              <w:t>lc-uv、lc-esi-ms</w:t>
            </w:r>
          </w:p>
        </w:tc>
      </w:tr>
      <w:tr w14:paraId="407C9F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Pr>
          <w:p w14:paraId="34F36FFE">
            <w:pPr>
              <w:pStyle w:val="178"/>
            </w:pPr>
            <w:r>
              <w:rPr>
                <w:rFonts w:hint="eastAsia"/>
              </w:rPr>
              <w:t>活性肽</w:t>
            </w:r>
          </w:p>
        </w:tc>
        <w:tc>
          <w:tcPr>
            <w:tcW w:w="4252" w:type="dxa"/>
          </w:tcPr>
          <w:p w14:paraId="7A1C4307">
            <w:pPr>
              <w:pStyle w:val="178"/>
            </w:pPr>
            <w:r>
              <w:rPr>
                <w:rFonts w:hint="eastAsia"/>
              </w:rPr>
              <w:t>高效液相色谱、超滤分离</w:t>
            </w:r>
          </w:p>
        </w:tc>
        <w:tc>
          <w:tcPr>
            <w:tcW w:w="2965" w:type="dxa"/>
          </w:tcPr>
          <w:p w14:paraId="294468FE">
            <w:pPr>
              <w:pStyle w:val="178"/>
            </w:pPr>
            <w:r>
              <w:rPr>
                <w:rFonts w:hint="eastAsia"/>
              </w:rPr>
              <w:t>uplc-ms/ms、lc-nmr</w:t>
            </w:r>
          </w:p>
        </w:tc>
      </w:tr>
      <w:tr w14:paraId="6855B3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Pr>
          <w:p w14:paraId="07EFB50F">
            <w:pPr>
              <w:pStyle w:val="178"/>
            </w:pPr>
            <w:r>
              <w:rPr>
                <w:rFonts w:hint="eastAsia"/>
              </w:rPr>
              <w:t>甾醇类</w:t>
            </w:r>
          </w:p>
        </w:tc>
        <w:tc>
          <w:tcPr>
            <w:tcW w:w="4252" w:type="dxa"/>
          </w:tcPr>
          <w:p w14:paraId="1201BE6B">
            <w:pPr>
              <w:pStyle w:val="178"/>
            </w:pPr>
            <w:r>
              <w:rPr>
                <w:rFonts w:hint="eastAsia"/>
              </w:rPr>
              <w:t>气相色谱、液相色谱</w:t>
            </w:r>
          </w:p>
        </w:tc>
        <w:tc>
          <w:tcPr>
            <w:tcW w:w="2965" w:type="dxa"/>
          </w:tcPr>
          <w:p w14:paraId="67F2CAA9">
            <w:pPr>
              <w:pStyle w:val="178"/>
            </w:pPr>
            <w:r>
              <w:rPr>
                <w:rFonts w:hint="eastAsia"/>
              </w:rPr>
              <w:t>gc-ms、lc-ms</w:t>
            </w:r>
          </w:p>
        </w:tc>
      </w:tr>
    </w:tbl>
    <w:p w14:paraId="589AEF62">
      <w:pPr>
        <w:pStyle w:val="104"/>
        <w:spacing w:before="240" w:after="240" w:line="360" w:lineRule="auto"/>
      </w:pPr>
      <w:bookmarkStart w:id="60" w:name="_Toc209887200"/>
      <w:bookmarkStart w:id="61" w:name="_Toc209949370"/>
      <w:r>
        <w:rPr>
          <w:rFonts w:hint="eastAsia"/>
        </w:rPr>
        <w:t>高效分离技术应用</w:t>
      </w:r>
      <w:bookmarkEnd w:id="60"/>
      <w:bookmarkEnd w:id="61"/>
    </w:p>
    <w:p w14:paraId="2E2C0CEC">
      <w:pPr>
        <w:pStyle w:val="105"/>
        <w:spacing w:before="120" w:after="120" w:line="360" w:lineRule="auto"/>
      </w:pPr>
      <w:r>
        <w:rPr>
          <w:rFonts w:hint="eastAsia"/>
        </w:rPr>
        <w:t>样品前处理</w:t>
      </w:r>
    </w:p>
    <w:p w14:paraId="6AF896F1">
      <w:pPr>
        <w:pStyle w:val="56"/>
        <w:spacing w:line="360" w:lineRule="auto"/>
        <w:ind w:firstLine="420"/>
      </w:pPr>
      <w:r>
        <w:rPr>
          <w:rFonts w:hint="eastAsia"/>
        </w:rPr>
        <w:t>在进行分离前，应根据食品基质特点采取适宜的前处理措施，包括萃取、净化、浓缩和衍生化等。前处理方法应最大限度保留目标功能成分，避免因处理不当造成降解或损失。</w:t>
      </w:r>
    </w:p>
    <w:p w14:paraId="34018F73">
      <w:pPr>
        <w:pStyle w:val="105"/>
        <w:spacing w:before="120" w:after="120" w:line="360" w:lineRule="auto"/>
      </w:pPr>
      <w:r>
        <w:rPr>
          <w:rFonts w:hint="eastAsia"/>
        </w:rPr>
        <w:t>分离方法选择</w:t>
      </w:r>
    </w:p>
    <w:p w14:paraId="3AE8EE78">
      <w:pPr>
        <w:pStyle w:val="56"/>
        <w:spacing w:line="360" w:lineRule="auto"/>
        <w:ind w:firstLine="420"/>
      </w:pPr>
      <w:r>
        <w:rPr>
          <w:rFonts w:hint="eastAsia"/>
        </w:rPr>
        <w:t>分离方法的选择应结合功能成分的理化性质、含量水平和分析目的。例如：</w:t>
      </w:r>
    </w:p>
    <w:p w14:paraId="500C9B16">
      <w:pPr>
        <w:pStyle w:val="132"/>
        <w:spacing w:line="360" w:lineRule="auto"/>
      </w:pPr>
      <w:r>
        <w:rPr>
          <w:rFonts w:hint="eastAsia"/>
        </w:rPr>
        <w:t>多酚、黄酮类成分宜选用高效液相色谱或固相萃取；</w:t>
      </w:r>
    </w:p>
    <w:p w14:paraId="24864DEA">
      <w:pPr>
        <w:pStyle w:val="132"/>
        <w:spacing w:line="360" w:lineRule="auto"/>
      </w:pPr>
      <w:r>
        <w:rPr>
          <w:rFonts w:hint="eastAsia"/>
        </w:rPr>
        <w:t>挥发性成分宜采用气相色谱或超临界流体萃取；</w:t>
      </w:r>
    </w:p>
    <w:p w14:paraId="5A6149C5">
      <w:pPr>
        <w:pStyle w:val="132"/>
        <w:spacing w:line="360" w:lineRule="auto"/>
      </w:pPr>
      <w:r>
        <w:rPr>
          <w:rFonts w:hint="eastAsia"/>
        </w:rPr>
        <w:t>高分子多糖和活性肽可选择凝胶色谱或超滤分离。</w:t>
      </w:r>
    </w:p>
    <w:p w14:paraId="0427385A">
      <w:pPr>
        <w:pStyle w:val="105"/>
        <w:spacing w:before="120" w:after="120" w:line="360" w:lineRule="auto"/>
      </w:pPr>
      <w:r>
        <w:rPr>
          <w:rFonts w:hint="eastAsia"/>
        </w:rPr>
        <w:t>操作条件</w:t>
      </w:r>
    </w:p>
    <w:p w14:paraId="6FA997E7">
      <w:pPr>
        <w:pStyle w:val="56"/>
        <w:spacing w:line="360" w:lineRule="auto"/>
        <w:ind w:firstLine="420"/>
      </w:pPr>
      <w:r>
        <w:rPr>
          <w:rFonts w:hint="eastAsia"/>
        </w:rPr>
        <w:t>分离条件应根据目标成分的性质优化设置。所有参数应记录在案，确保实验可重复。必要时，应通过标准品验证方法的有效性。</w:t>
      </w:r>
    </w:p>
    <w:p w14:paraId="160FD076">
      <w:pPr>
        <w:pStyle w:val="105"/>
        <w:spacing w:before="120" w:after="120" w:line="360" w:lineRule="auto"/>
      </w:pPr>
      <w:r>
        <w:rPr>
          <w:rFonts w:hint="eastAsia"/>
        </w:rPr>
        <w:t>设备要求</w:t>
      </w:r>
    </w:p>
    <w:p w14:paraId="77BD0F0A">
      <w:pPr>
        <w:pStyle w:val="56"/>
        <w:spacing w:line="360" w:lineRule="auto"/>
        <w:ind w:firstLine="420"/>
      </w:pPr>
      <w:r>
        <w:rPr>
          <w:rFonts w:hint="eastAsia"/>
        </w:rPr>
        <w:t>分离设备应定期校准和维护，确保分离效果的稳定性。关键部件如色谱柱、毛细管、电泳池应符合国家或行业标准，并保持在规定使用寿命内。</w:t>
      </w:r>
    </w:p>
    <w:p w14:paraId="5B1A382A">
      <w:pPr>
        <w:pStyle w:val="105"/>
        <w:spacing w:before="120" w:after="120" w:line="360" w:lineRule="auto"/>
      </w:pPr>
      <w:r>
        <w:rPr>
          <w:rFonts w:hint="eastAsia"/>
        </w:rPr>
        <w:t>质量控制</w:t>
      </w:r>
    </w:p>
    <w:p w14:paraId="17E994DA">
      <w:pPr>
        <w:pStyle w:val="56"/>
        <w:spacing w:line="360" w:lineRule="auto"/>
        <w:ind w:firstLine="420"/>
      </w:pPr>
      <w:r>
        <w:rPr>
          <w:rFonts w:hint="eastAsia"/>
        </w:rPr>
        <w:t>分离过程中应设置质控样和空白样，检测背景干扰和仪器漂移。实验室应建立标准操作规程（sop），并采用标准物质进行定期验证。</w:t>
      </w:r>
    </w:p>
    <w:p w14:paraId="06E2B6D8">
      <w:pPr>
        <w:pStyle w:val="56"/>
        <w:spacing w:line="360" w:lineRule="auto"/>
        <w:ind w:firstLine="420"/>
      </w:pPr>
      <w:r>
        <w:rPr>
          <w:rFonts w:hint="eastAsia"/>
        </w:rPr>
        <w:t>高效分离技术应用要求见表2。</w:t>
      </w:r>
    </w:p>
    <w:p w14:paraId="2F61C414">
      <w:pPr>
        <w:pStyle w:val="112"/>
        <w:spacing w:before="120" w:after="120" w:line="360" w:lineRule="auto"/>
      </w:pPr>
      <w:r>
        <w:rPr>
          <w:rFonts w:hint="eastAsia"/>
        </w:rPr>
        <w:t>高效分离技术应用要求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50"/>
        <w:gridCol w:w="1701"/>
        <w:gridCol w:w="3260"/>
        <w:gridCol w:w="2823"/>
      </w:tblGrid>
      <w:tr w14:paraId="0997F8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550" w:type="dxa"/>
            <w:tcBorders>
              <w:top w:val="single" w:color="auto" w:sz="8" w:space="0"/>
              <w:bottom w:val="single" w:color="auto" w:sz="8" w:space="0"/>
            </w:tcBorders>
          </w:tcPr>
          <w:p w14:paraId="4FFA637D">
            <w:pPr>
              <w:pStyle w:val="178"/>
            </w:pPr>
            <w:r>
              <w:rPr>
                <w:rFonts w:hint="eastAsia"/>
              </w:rPr>
              <w:t>技术类别</w:t>
            </w:r>
          </w:p>
        </w:tc>
        <w:tc>
          <w:tcPr>
            <w:tcW w:w="1701" w:type="dxa"/>
            <w:tcBorders>
              <w:top w:val="single" w:color="auto" w:sz="8" w:space="0"/>
              <w:bottom w:val="single" w:color="auto" w:sz="8" w:space="0"/>
            </w:tcBorders>
          </w:tcPr>
          <w:p w14:paraId="53C7A3ED">
            <w:pPr>
              <w:pStyle w:val="178"/>
            </w:pPr>
            <w:r>
              <w:rPr>
                <w:rFonts w:hint="eastAsia"/>
              </w:rPr>
              <w:t>适用成分</w:t>
            </w:r>
          </w:p>
        </w:tc>
        <w:tc>
          <w:tcPr>
            <w:tcW w:w="3260" w:type="dxa"/>
            <w:tcBorders>
              <w:top w:val="single" w:color="auto" w:sz="8" w:space="0"/>
              <w:bottom w:val="single" w:color="auto" w:sz="8" w:space="0"/>
            </w:tcBorders>
          </w:tcPr>
          <w:p w14:paraId="2CE89C0E">
            <w:pPr>
              <w:pStyle w:val="178"/>
            </w:pPr>
            <w:r>
              <w:rPr>
                <w:rFonts w:hint="eastAsia"/>
              </w:rPr>
              <w:t>关键条件要求</w:t>
            </w:r>
          </w:p>
        </w:tc>
        <w:tc>
          <w:tcPr>
            <w:tcW w:w="2823" w:type="dxa"/>
            <w:tcBorders>
              <w:top w:val="single" w:color="auto" w:sz="8" w:space="0"/>
              <w:bottom w:val="single" w:color="auto" w:sz="8" w:space="0"/>
            </w:tcBorders>
          </w:tcPr>
          <w:p w14:paraId="72B7A092">
            <w:pPr>
              <w:pStyle w:val="178"/>
            </w:pPr>
            <w:r>
              <w:rPr>
                <w:rFonts w:hint="eastAsia"/>
              </w:rPr>
              <w:t>质量控制措施</w:t>
            </w:r>
          </w:p>
        </w:tc>
      </w:tr>
      <w:tr w14:paraId="11CBA0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Borders>
              <w:top w:val="single" w:color="auto" w:sz="8" w:space="0"/>
            </w:tcBorders>
          </w:tcPr>
          <w:p w14:paraId="2635678D">
            <w:pPr>
              <w:pStyle w:val="178"/>
            </w:pPr>
            <w:r>
              <w:rPr>
                <w:rFonts w:hint="eastAsia"/>
              </w:rPr>
              <w:t>高效液相色谱</w:t>
            </w:r>
          </w:p>
        </w:tc>
        <w:tc>
          <w:tcPr>
            <w:tcW w:w="1701" w:type="dxa"/>
            <w:tcBorders>
              <w:top w:val="single" w:color="auto" w:sz="8" w:space="0"/>
            </w:tcBorders>
          </w:tcPr>
          <w:p w14:paraId="69D262B0">
            <w:pPr>
              <w:pStyle w:val="178"/>
            </w:pPr>
            <w:r>
              <w:rPr>
                <w:rFonts w:hint="eastAsia"/>
              </w:rPr>
              <w:t>多酚、黄酮、肽类</w:t>
            </w:r>
          </w:p>
        </w:tc>
        <w:tc>
          <w:tcPr>
            <w:tcW w:w="3260" w:type="dxa"/>
            <w:tcBorders>
              <w:top w:val="single" w:color="auto" w:sz="8" w:space="0"/>
            </w:tcBorders>
          </w:tcPr>
          <w:p w14:paraId="4720EB4E">
            <w:pPr>
              <w:pStyle w:val="178"/>
            </w:pPr>
            <w:r>
              <w:rPr>
                <w:rFonts w:hint="eastAsia"/>
              </w:rPr>
              <w:t>流动相pH控制，使用高纯度溶剂</w:t>
            </w:r>
          </w:p>
        </w:tc>
        <w:tc>
          <w:tcPr>
            <w:tcW w:w="2823" w:type="dxa"/>
            <w:tcBorders>
              <w:top w:val="single" w:color="auto" w:sz="8" w:space="0"/>
            </w:tcBorders>
          </w:tcPr>
          <w:p w14:paraId="54EFE25B">
            <w:pPr>
              <w:pStyle w:val="178"/>
            </w:pPr>
            <w:r>
              <w:rPr>
                <w:rFonts w:hint="eastAsia"/>
              </w:rPr>
              <w:t>质控样对照，标准品验证</w:t>
            </w:r>
          </w:p>
        </w:tc>
      </w:tr>
      <w:tr w14:paraId="24B60F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Pr>
          <w:p w14:paraId="4BE43628">
            <w:pPr>
              <w:pStyle w:val="178"/>
            </w:pPr>
            <w:r>
              <w:rPr>
                <w:rFonts w:hint="eastAsia"/>
              </w:rPr>
              <w:t>气相色谱</w:t>
            </w:r>
          </w:p>
        </w:tc>
        <w:tc>
          <w:tcPr>
            <w:tcW w:w="1701" w:type="dxa"/>
          </w:tcPr>
          <w:p w14:paraId="0CFE6F08">
            <w:pPr>
              <w:pStyle w:val="178"/>
            </w:pPr>
            <w:r>
              <w:rPr>
                <w:rFonts w:hint="eastAsia"/>
              </w:rPr>
              <w:t>挥发性成分、甾醇</w:t>
            </w:r>
          </w:p>
        </w:tc>
        <w:tc>
          <w:tcPr>
            <w:tcW w:w="3260" w:type="dxa"/>
          </w:tcPr>
          <w:p w14:paraId="17F638DC">
            <w:pPr>
              <w:pStyle w:val="178"/>
            </w:pPr>
            <w:r>
              <w:rPr>
                <w:rFonts w:hint="eastAsia"/>
              </w:rPr>
              <w:t>柱温程序升温，载气纯度≥99.999%</w:t>
            </w:r>
          </w:p>
        </w:tc>
        <w:tc>
          <w:tcPr>
            <w:tcW w:w="2823" w:type="dxa"/>
          </w:tcPr>
          <w:p w14:paraId="5BF0172D">
            <w:pPr>
              <w:pStyle w:val="178"/>
            </w:pPr>
            <w:r>
              <w:rPr>
                <w:rFonts w:hint="eastAsia"/>
              </w:rPr>
              <w:t>空白对照，保留时间与标准比对</w:t>
            </w:r>
          </w:p>
        </w:tc>
      </w:tr>
      <w:tr w14:paraId="226A65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Pr>
          <w:p w14:paraId="7780B917">
            <w:pPr>
              <w:pStyle w:val="178"/>
            </w:pPr>
            <w:r>
              <w:rPr>
                <w:rFonts w:hint="eastAsia"/>
              </w:rPr>
              <w:t>凝胶色谱</w:t>
            </w:r>
          </w:p>
        </w:tc>
        <w:tc>
          <w:tcPr>
            <w:tcW w:w="1701" w:type="dxa"/>
          </w:tcPr>
          <w:p w14:paraId="2049B220">
            <w:pPr>
              <w:pStyle w:val="178"/>
            </w:pPr>
            <w:r>
              <w:rPr>
                <w:rFonts w:hint="eastAsia"/>
              </w:rPr>
              <w:t>多糖、蛋白质</w:t>
            </w:r>
          </w:p>
        </w:tc>
        <w:tc>
          <w:tcPr>
            <w:tcW w:w="3260" w:type="dxa"/>
          </w:tcPr>
          <w:p w14:paraId="46433863">
            <w:pPr>
              <w:pStyle w:val="178"/>
            </w:pPr>
            <w:r>
              <w:rPr>
                <w:rFonts w:hint="eastAsia"/>
              </w:rPr>
              <w:t>分子筛规格适配，流速控制在稳定范围</w:t>
            </w:r>
          </w:p>
        </w:tc>
        <w:tc>
          <w:tcPr>
            <w:tcW w:w="2823" w:type="dxa"/>
          </w:tcPr>
          <w:p w14:paraId="1BD701BD">
            <w:pPr>
              <w:pStyle w:val="178"/>
            </w:pPr>
            <w:r>
              <w:rPr>
                <w:rFonts w:hint="eastAsia"/>
              </w:rPr>
              <w:t>标准多糖验证，检测回收率</w:t>
            </w:r>
          </w:p>
        </w:tc>
      </w:tr>
      <w:tr w14:paraId="5EA51E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Pr>
          <w:p w14:paraId="66D74278">
            <w:pPr>
              <w:pStyle w:val="178"/>
            </w:pPr>
            <w:r>
              <w:rPr>
                <w:rFonts w:hint="eastAsia"/>
              </w:rPr>
              <w:t>超临界流体萃取</w:t>
            </w:r>
          </w:p>
        </w:tc>
        <w:tc>
          <w:tcPr>
            <w:tcW w:w="1701" w:type="dxa"/>
          </w:tcPr>
          <w:p w14:paraId="6B1DF232">
            <w:pPr>
              <w:pStyle w:val="178"/>
            </w:pPr>
            <w:r>
              <w:rPr>
                <w:rFonts w:hint="eastAsia"/>
              </w:rPr>
              <w:t>油脂、甾醇、多酚</w:t>
            </w:r>
          </w:p>
        </w:tc>
        <w:tc>
          <w:tcPr>
            <w:tcW w:w="3260" w:type="dxa"/>
          </w:tcPr>
          <w:p w14:paraId="76E16AFC">
            <w:pPr>
              <w:pStyle w:val="178"/>
            </w:pPr>
            <w:r>
              <w:rPr>
                <w:rFonts w:hint="eastAsia"/>
              </w:rPr>
              <w:t>压力20–40 mpa，温度35–60 ℃</w:t>
            </w:r>
          </w:p>
        </w:tc>
        <w:tc>
          <w:tcPr>
            <w:tcW w:w="2823" w:type="dxa"/>
          </w:tcPr>
          <w:p w14:paraId="40D24B72">
            <w:pPr>
              <w:pStyle w:val="178"/>
            </w:pPr>
            <w:r>
              <w:rPr>
                <w:rFonts w:hint="eastAsia"/>
              </w:rPr>
              <w:t>检测溶剂残留，设立重复样</w:t>
            </w:r>
          </w:p>
        </w:tc>
      </w:tr>
      <w:tr w14:paraId="569D90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Pr>
          <w:p w14:paraId="7F96602E">
            <w:pPr>
              <w:pStyle w:val="178"/>
            </w:pPr>
            <w:r>
              <w:rPr>
                <w:rFonts w:hint="eastAsia"/>
              </w:rPr>
              <w:t>毛细管电泳</w:t>
            </w:r>
          </w:p>
        </w:tc>
        <w:tc>
          <w:tcPr>
            <w:tcW w:w="1701" w:type="dxa"/>
          </w:tcPr>
          <w:p w14:paraId="46F4D1A7">
            <w:pPr>
              <w:pStyle w:val="178"/>
            </w:pPr>
            <w:r>
              <w:rPr>
                <w:rFonts w:hint="eastAsia"/>
              </w:rPr>
              <w:t>黄酮、氨基酸</w:t>
            </w:r>
          </w:p>
        </w:tc>
        <w:tc>
          <w:tcPr>
            <w:tcW w:w="3260" w:type="dxa"/>
          </w:tcPr>
          <w:p w14:paraId="391BC0C5">
            <w:pPr>
              <w:pStyle w:val="178"/>
            </w:pPr>
            <w:r>
              <w:rPr>
                <w:rFonts w:hint="eastAsia"/>
              </w:rPr>
              <w:t>电压稳定，毛细管内壁预处理</w:t>
            </w:r>
          </w:p>
        </w:tc>
        <w:tc>
          <w:tcPr>
            <w:tcW w:w="2823" w:type="dxa"/>
          </w:tcPr>
          <w:p w14:paraId="78BF1BE1">
            <w:pPr>
              <w:pStyle w:val="178"/>
            </w:pPr>
            <w:r>
              <w:rPr>
                <w:rFonts w:hint="eastAsia"/>
              </w:rPr>
              <w:t>电泳迁移率比对，标准混合物检测</w:t>
            </w:r>
          </w:p>
        </w:tc>
      </w:tr>
    </w:tbl>
    <w:p w14:paraId="1436A6BE">
      <w:pPr>
        <w:pStyle w:val="104"/>
        <w:spacing w:before="240" w:after="240" w:line="360" w:lineRule="auto"/>
      </w:pPr>
      <w:bookmarkStart w:id="62" w:name="_Toc209887201"/>
      <w:bookmarkStart w:id="63" w:name="_Toc209949371"/>
      <w:r>
        <w:rPr>
          <w:rFonts w:hint="eastAsia"/>
        </w:rPr>
        <w:t>检测联用技术应用</w:t>
      </w:r>
      <w:bookmarkEnd w:id="62"/>
      <w:bookmarkEnd w:id="63"/>
    </w:p>
    <w:p w14:paraId="1F26EAA5">
      <w:pPr>
        <w:pStyle w:val="105"/>
        <w:spacing w:before="120" w:after="120" w:line="360" w:lineRule="auto"/>
      </w:pPr>
      <w:r>
        <w:rPr>
          <w:rFonts w:hint="eastAsia"/>
        </w:rPr>
        <w:t>方法选择</w:t>
      </w:r>
    </w:p>
    <w:p w14:paraId="33049063">
      <w:pPr>
        <w:pStyle w:val="56"/>
        <w:spacing w:line="360" w:lineRule="auto"/>
        <w:ind w:firstLine="420"/>
      </w:pPr>
      <w:r>
        <w:rPr>
          <w:rFonts w:hint="eastAsia"/>
        </w:rPr>
        <w:t>检测联用技术的选择应基于目标成分的理化特性和研究目的：</w:t>
      </w:r>
    </w:p>
    <w:p w14:paraId="6B6D06C6">
      <w:pPr>
        <w:pStyle w:val="132"/>
        <w:spacing w:line="360" w:lineRule="auto"/>
      </w:pPr>
      <w:r>
        <w:rPr>
          <w:rFonts w:hint="eastAsia"/>
        </w:rPr>
        <w:t>液相色谱-质谱（lc-ms）：适用于多酚、黄酮、活性肽等极性或半极性成分的高灵敏检测；</w:t>
      </w:r>
    </w:p>
    <w:p w14:paraId="1F197C6A">
      <w:pPr>
        <w:pStyle w:val="132"/>
        <w:spacing w:line="360" w:lineRule="auto"/>
      </w:pPr>
      <w:r>
        <w:rPr>
          <w:rFonts w:hint="eastAsia"/>
        </w:rPr>
        <w:t>气相色谱-质谱（gc-ms）：适用于挥发性成分、甾醇类和部分脂溶性物质的分析；</w:t>
      </w:r>
    </w:p>
    <w:p w14:paraId="740A1DA7">
      <w:pPr>
        <w:pStyle w:val="132"/>
        <w:spacing w:line="360" w:lineRule="auto"/>
      </w:pPr>
      <w:r>
        <w:rPr>
          <w:rFonts w:hint="eastAsia"/>
        </w:rPr>
        <w:t>液相色谱-核磁共振（lc-nmr）：适用于结构解析和未知物鉴定；</w:t>
      </w:r>
    </w:p>
    <w:p w14:paraId="52B515C3">
      <w:pPr>
        <w:pStyle w:val="132"/>
        <w:spacing w:line="360" w:lineRule="auto"/>
      </w:pPr>
      <w:r>
        <w:rPr>
          <w:rFonts w:hint="eastAsia"/>
        </w:rPr>
        <w:t>液相色谱-紫外检测（lc-uv）：适用于常规定量和质量控制，具有高稳定性和低成本优势。</w:t>
      </w:r>
    </w:p>
    <w:p w14:paraId="0400896E">
      <w:pPr>
        <w:pStyle w:val="105"/>
        <w:spacing w:before="120" w:after="120" w:line="360" w:lineRule="auto"/>
      </w:pPr>
      <w:r>
        <w:rPr>
          <w:rFonts w:hint="eastAsia"/>
        </w:rPr>
        <w:t>仪器条件</w:t>
      </w:r>
    </w:p>
    <w:p w14:paraId="23A4F26A">
      <w:pPr>
        <w:pStyle w:val="56"/>
        <w:spacing w:line="360" w:lineRule="auto"/>
        <w:ind w:firstLine="420"/>
      </w:pPr>
      <w:r>
        <w:rPr>
          <w:rFonts w:hint="eastAsia"/>
        </w:rPr>
        <w:t>检测条件应根据目标成分优化，包括离子化方式、检测模式、核磁参数和紫外检测波长等。所有参数应记录完整，并进行方法学验证。</w:t>
      </w:r>
    </w:p>
    <w:p w14:paraId="08F1FDC4">
      <w:pPr>
        <w:pStyle w:val="105"/>
        <w:spacing w:before="120" w:after="120" w:line="360" w:lineRule="auto"/>
      </w:pPr>
      <w:r>
        <w:rPr>
          <w:rFonts w:hint="eastAsia"/>
        </w:rPr>
        <w:t>数据处理</w:t>
      </w:r>
    </w:p>
    <w:p w14:paraId="46A10C50">
      <w:pPr>
        <w:pStyle w:val="56"/>
        <w:spacing w:line="360" w:lineRule="auto"/>
        <w:ind w:firstLine="420"/>
      </w:pPr>
      <w:r>
        <w:rPr>
          <w:rFonts w:hint="eastAsia"/>
        </w:rPr>
        <w:t>检测数据应经过基线校正、峰识别、定量计算和谱图解析。对复杂样品，应采用标准曲线法、内标法或同位素标记法进行定量。对于质谱结果，应结合分子离子峰和碎片峰信息进行鉴定。</w:t>
      </w:r>
    </w:p>
    <w:p w14:paraId="71EB7237">
      <w:pPr>
        <w:pStyle w:val="105"/>
        <w:spacing w:before="120" w:after="120" w:line="360" w:lineRule="auto"/>
      </w:pPr>
      <w:r>
        <w:rPr>
          <w:rFonts w:hint="eastAsia"/>
        </w:rPr>
        <w:t>质量控制</w:t>
      </w:r>
    </w:p>
    <w:p w14:paraId="7089A303">
      <w:pPr>
        <w:pStyle w:val="56"/>
        <w:spacing w:line="360" w:lineRule="auto"/>
        <w:ind w:firstLine="420"/>
      </w:pPr>
      <w:r>
        <w:rPr>
          <w:rFonts w:hint="eastAsia"/>
        </w:rPr>
        <w:t>检测过程中应引入质控样、标准品和重复样，确保数据的准确性与稳定性。实验室应建立联用方法的标准操作规程（sop），并定期进行精密度和准确度验证。</w:t>
      </w:r>
    </w:p>
    <w:p w14:paraId="00308224">
      <w:pPr>
        <w:pStyle w:val="105"/>
        <w:spacing w:before="120" w:after="120" w:line="360" w:lineRule="auto"/>
      </w:pPr>
      <w:r>
        <w:rPr>
          <w:rFonts w:hint="eastAsia"/>
        </w:rPr>
        <w:t>安全要求</w:t>
      </w:r>
    </w:p>
    <w:p w14:paraId="5FFD5241">
      <w:pPr>
        <w:pStyle w:val="56"/>
        <w:spacing w:line="360" w:lineRule="auto"/>
        <w:ind w:firstLine="420"/>
      </w:pPr>
      <w:r>
        <w:rPr>
          <w:rFonts w:hint="eastAsia"/>
        </w:rPr>
        <w:t>在使用质谱、核磁等高能量设备时，应严格遵守实验室安全规程，避免有机溶剂、气体泄漏和电磁辐射带来的风险。</w:t>
      </w:r>
    </w:p>
    <w:p w14:paraId="7D62BFAB">
      <w:pPr>
        <w:pStyle w:val="56"/>
        <w:spacing w:line="360" w:lineRule="auto"/>
        <w:ind w:firstLine="409" w:firstLineChars="195"/>
      </w:pPr>
      <w:r>
        <w:rPr>
          <w:rFonts w:hint="eastAsia"/>
        </w:rPr>
        <w:t>常见检测联用技术应用要求见表3。</w:t>
      </w:r>
    </w:p>
    <w:p w14:paraId="5D42B871">
      <w:pPr>
        <w:pStyle w:val="112"/>
        <w:spacing w:before="120" w:after="120" w:line="360" w:lineRule="auto"/>
      </w:pPr>
      <w:r>
        <w:rPr>
          <w:rFonts w:hint="eastAsia"/>
        </w:rPr>
        <w:t>常见检测联用技术应用要求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91"/>
        <w:gridCol w:w="3402"/>
        <w:gridCol w:w="4241"/>
      </w:tblGrid>
      <w:tr w14:paraId="5C5E4C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691" w:type="dxa"/>
            <w:tcBorders>
              <w:top w:val="single" w:color="auto" w:sz="8" w:space="0"/>
              <w:bottom w:val="single" w:color="auto" w:sz="8" w:space="0"/>
            </w:tcBorders>
          </w:tcPr>
          <w:p w14:paraId="55AF3CA5">
            <w:pPr>
              <w:pStyle w:val="178"/>
            </w:pPr>
            <w:r>
              <w:rPr>
                <w:rFonts w:hint="eastAsia"/>
              </w:rPr>
              <w:t>联用方式</w:t>
            </w:r>
          </w:p>
        </w:tc>
        <w:tc>
          <w:tcPr>
            <w:tcW w:w="3402" w:type="dxa"/>
            <w:tcBorders>
              <w:top w:val="single" w:color="auto" w:sz="8" w:space="0"/>
              <w:bottom w:val="single" w:color="auto" w:sz="8" w:space="0"/>
            </w:tcBorders>
          </w:tcPr>
          <w:p w14:paraId="3EB672F6">
            <w:pPr>
              <w:pStyle w:val="178"/>
            </w:pPr>
            <w:r>
              <w:rPr>
                <w:rFonts w:hint="eastAsia"/>
              </w:rPr>
              <w:t>适用成分</w:t>
            </w:r>
          </w:p>
        </w:tc>
        <w:tc>
          <w:tcPr>
            <w:tcW w:w="4241" w:type="dxa"/>
            <w:tcBorders>
              <w:top w:val="single" w:color="auto" w:sz="8" w:space="0"/>
              <w:bottom w:val="single" w:color="auto" w:sz="8" w:space="0"/>
            </w:tcBorders>
          </w:tcPr>
          <w:p w14:paraId="78652C38">
            <w:pPr>
              <w:pStyle w:val="178"/>
            </w:pPr>
            <w:r>
              <w:rPr>
                <w:rFonts w:hint="eastAsia"/>
              </w:rPr>
              <w:t>应用要点</w:t>
            </w:r>
          </w:p>
        </w:tc>
      </w:tr>
      <w:tr w14:paraId="34695A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Borders>
              <w:top w:val="single" w:color="auto" w:sz="8" w:space="0"/>
            </w:tcBorders>
          </w:tcPr>
          <w:p w14:paraId="28B98E7E">
            <w:pPr>
              <w:pStyle w:val="178"/>
            </w:pPr>
            <w:r>
              <w:rPr>
                <w:rFonts w:hint="eastAsia"/>
              </w:rPr>
              <w:t>lc-ms</w:t>
            </w:r>
          </w:p>
        </w:tc>
        <w:tc>
          <w:tcPr>
            <w:tcW w:w="3402" w:type="dxa"/>
            <w:tcBorders>
              <w:top w:val="single" w:color="auto" w:sz="8" w:space="0"/>
            </w:tcBorders>
          </w:tcPr>
          <w:p w14:paraId="719C374F">
            <w:pPr>
              <w:pStyle w:val="178"/>
            </w:pPr>
            <w:r>
              <w:rPr>
                <w:rFonts w:hint="eastAsia"/>
              </w:rPr>
              <w:t>多酚、黄酮、活性肽</w:t>
            </w:r>
          </w:p>
        </w:tc>
        <w:tc>
          <w:tcPr>
            <w:tcW w:w="4241" w:type="dxa"/>
            <w:tcBorders>
              <w:top w:val="single" w:color="auto" w:sz="8" w:space="0"/>
            </w:tcBorders>
          </w:tcPr>
          <w:p w14:paraId="1102D31B">
            <w:pPr>
              <w:pStyle w:val="178"/>
            </w:pPr>
            <w:r>
              <w:rPr>
                <w:rFonts w:hint="eastAsia"/>
              </w:rPr>
              <w:t>esi 或 apci 离子化，选择离子监测模式</w:t>
            </w:r>
          </w:p>
        </w:tc>
      </w:tr>
      <w:tr w14:paraId="0E24F1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48C5645E">
            <w:pPr>
              <w:pStyle w:val="178"/>
            </w:pPr>
            <w:r>
              <w:rPr>
                <w:rFonts w:hint="eastAsia"/>
              </w:rPr>
              <w:t>gc-ms</w:t>
            </w:r>
          </w:p>
        </w:tc>
        <w:tc>
          <w:tcPr>
            <w:tcW w:w="3402" w:type="dxa"/>
          </w:tcPr>
          <w:p w14:paraId="57A83A3F">
            <w:pPr>
              <w:pStyle w:val="178"/>
            </w:pPr>
            <w:r>
              <w:rPr>
                <w:rFonts w:hint="eastAsia"/>
              </w:rPr>
              <w:t>挥发性成分、甾醇类</w:t>
            </w:r>
          </w:p>
        </w:tc>
        <w:tc>
          <w:tcPr>
            <w:tcW w:w="4241" w:type="dxa"/>
          </w:tcPr>
          <w:p w14:paraId="6BCF6364">
            <w:pPr>
              <w:pStyle w:val="178"/>
            </w:pPr>
            <w:r>
              <w:rPr>
                <w:rFonts w:hint="eastAsia"/>
              </w:rPr>
              <w:t>程序升温，质谱全扫描与定量离子选择</w:t>
            </w:r>
          </w:p>
        </w:tc>
      </w:tr>
      <w:tr w14:paraId="63B2F8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3A5A7D42">
            <w:pPr>
              <w:pStyle w:val="178"/>
            </w:pPr>
            <w:r>
              <w:rPr>
                <w:rFonts w:hint="eastAsia"/>
              </w:rPr>
              <w:t>lc-nmr</w:t>
            </w:r>
          </w:p>
        </w:tc>
        <w:tc>
          <w:tcPr>
            <w:tcW w:w="3402" w:type="dxa"/>
          </w:tcPr>
          <w:p w14:paraId="3C841D26">
            <w:pPr>
              <w:pStyle w:val="178"/>
            </w:pPr>
            <w:r>
              <w:rPr>
                <w:rFonts w:hint="eastAsia"/>
              </w:rPr>
              <w:t>结构复杂或未知成分</w:t>
            </w:r>
          </w:p>
        </w:tc>
        <w:tc>
          <w:tcPr>
            <w:tcW w:w="4241" w:type="dxa"/>
          </w:tcPr>
          <w:p w14:paraId="335F2248">
            <w:pPr>
              <w:pStyle w:val="178"/>
            </w:pPr>
            <w:r>
              <w:rPr>
                <w:rFonts w:hint="eastAsia"/>
              </w:rPr>
              <w:t>溶剂抑制，氢谱与碳谱结合</w:t>
            </w:r>
          </w:p>
        </w:tc>
      </w:tr>
      <w:tr w14:paraId="2564CE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63E3DB86">
            <w:pPr>
              <w:pStyle w:val="178"/>
            </w:pPr>
            <w:r>
              <w:rPr>
                <w:rFonts w:hint="eastAsia"/>
              </w:rPr>
              <w:t>lc-uv</w:t>
            </w:r>
          </w:p>
        </w:tc>
        <w:tc>
          <w:tcPr>
            <w:tcW w:w="3402" w:type="dxa"/>
          </w:tcPr>
          <w:p w14:paraId="37698FBA">
            <w:pPr>
              <w:pStyle w:val="178"/>
            </w:pPr>
            <w:r>
              <w:rPr>
                <w:rFonts w:hint="eastAsia"/>
              </w:rPr>
              <w:t>常见黄酮、多酚类</w:t>
            </w:r>
          </w:p>
        </w:tc>
        <w:tc>
          <w:tcPr>
            <w:tcW w:w="4241" w:type="dxa"/>
          </w:tcPr>
          <w:p w14:paraId="67BBA98F">
            <w:pPr>
              <w:pStyle w:val="178"/>
            </w:pPr>
            <w:r>
              <w:rPr>
                <w:rFonts w:hint="eastAsia"/>
              </w:rPr>
              <w:t>选择特征吸收波长，适合常规定量分析</w:t>
            </w:r>
          </w:p>
        </w:tc>
      </w:tr>
    </w:tbl>
    <w:p w14:paraId="1DCD833D">
      <w:pPr>
        <w:pStyle w:val="104"/>
        <w:spacing w:before="240" w:after="240" w:line="360" w:lineRule="auto"/>
      </w:pPr>
      <w:bookmarkStart w:id="64" w:name="_Toc209887202"/>
      <w:bookmarkStart w:id="65" w:name="_Toc209949372"/>
      <w:r>
        <w:rPr>
          <w:rFonts w:hint="eastAsia"/>
        </w:rPr>
        <w:t>数据处理与结果评价</w:t>
      </w:r>
      <w:bookmarkEnd w:id="64"/>
      <w:bookmarkEnd w:id="65"/>
    </w:p>
    <w:p w14:paraId="3829EBDD">
      <w:pPr>
        <w:pStyle w:val="105"/>
        <w:spacing w:before="120" w:after="120" w:line="360" w:lineRule="auto"/>
      </w:pPr>
      <w:r>
        <w:rPr>
          <w:rFonts w:hint="eastAsia"/>
        </w:rPr>
        <w:t>数据处理</w:t>
      </w:r>
    </w:p>
    <w:p w14:paraId="3B4A50AE">
      <w:pPr>
        <w:pStyle w:val="56"/>
        <w:spacing w:line="360" w:lineRule="auto"/>
        <w:ind w:firstLine="420"/>
      </w:pPr>
      <w:r>
        <w:rPr>
          <w:rFonts w:hint="eastAsia"/>
        </w:rPr>
        <w:t>检测数据应经过基线校正、峰识别、积分和定量计算。对于质谱数据，应结合分子离子峰和特征碎片峰进行确认；对于光谱数据，应结合特征吸收波长或化学位移信息进行判断。数据处理过程中，应使用标准曲线法、内标法或同位素标记法进行定量，必要时采用多元统计分析提高结果的可靠性。</w:t>
      </w:r>
    </w:p>
    <w:p w14:paraId="5ABE0267">
      <w:pPr>
        <w:pStyle w:val="105"/>
        <w:spacing w:before="120" w:after="120" w:line="360" w:lineRule="auto"/>
      </w:pPr>
      <w:r>
        <w:rPr>
          <w:rFonts w:hint="eastAsia"/>
        </w:rPr>
        <w:t>结果校正</w:t>
      </w:r>
    </w:p>
    <w:p w14:paraId="466EFDCA">
      <w:pPr>
        <w:pStyle w:val="56"/>
        <w:spacing w:line="360" w:lineRule="auto"/>
        <w:ind w:firstLine="420"/>
      </w:pPr>
      <w:r>
        <w:rPr>
          <w:rFonts w:hint="eastAsia"/>
        </w:rPr>
        <w:t>为消除仪器波动、基质效应或实验误差的影响，应通过校正因子、回收率实验和空白样对照进行修正。若结果与参考标准或认证物质存在偏差，应进行原因分析和方法优化。</w:t>
      </w:r>
    </w:p>
    <w:p w14:paraId="5E8FA3AD">
      <w:pPr>
        <w:pStyle w:val="105"/>
        <w:spacing w:before="120" w:after="120" w:line="360" w:lineRule="auto"/>
      </w:pPr>
      <w:r>
        <w:rPr>
          <w:rFonts w:hint="eastAsia"/>
        </w:rPr>
        <w:t>结果表达</w:t>
      </w:r>
    </w:p>
    <w:p w14:paraId="4786FD16">
      <w:pPr>
        <w:pStyle w:val="56"/>
        <w:spacing w:line="360" w:lineRule="auto"/>
        <w:ind w:firstLine="420"/>
      </w:pPr>
      <w:r>
        <w:rPr>
          <w:rFonts w:hint="eastAsia"/>
        </w:rPr>
        <w:t>检测结果应包括定性和定量两部分：定性结果用于确认目标成分是否存在，定量结果应以浓度或含量形式表达，并注明单位、检出限和不确定度范围。必要时，应采用均值±标准差的方式表达重复结果。</w:t>
      </w:r>
    </w:p>
    <w:p w14:paraId="6C395CEF">
      <w:pPr>
        <w:pStyle w:val="105"/>
        <w:spacing w:before="120" w:after="120" w:line="360" w:lineRule="auto"/>
      </w:pPr>
      <w:r>
        <w:rPr>
          <w:rFonts w:hint="eastAsia"/>
        </w:rPr>
        <w:t>结果评价</w:t>
      </w:r>
    </w:p>
    <w:p w14:paraId="6FAF2E6A">
      <w:pPr>
        <w:pStyle w:val="56"/>
        <w:spacing w:line="360" w:lineRule="auto"/>
        <w:ind w:firstLine="420"/>
      </w:pPr>
      <w:r>
        <w:rPr>
          <w:rFonts w:hint="eastAsia"/>
        </w:rPr>
        <w:t>评价应结合样品类型、功能成分特性和检测方法特点进行。评价标准可参考国家食品安全标准、国际食品法规或科研公认的阈值。对于新型功能成分，应结合毒理学、安全性和营养学研究进行综合评价。</w:t>
      </w:r>
    </w:p>
    <w:p w14:paraId="120FF9C5">
      <w:pPr>
        <w:pStyle w:val="105"/>
        <w:spacing w:before="120" w:after="120" w:line="360" w:lineRule="auto"/>
      </w:pPr>
      <w:r>
        <w:rPr>
          <w:rFonts w:hint="eastAsia"/>
        </w:rPr>
        <w:t>可追溯性</w:t>
      </w:r>
    </w:p>
    <w:p w14:paraId="522AD04C">
      <w:pPr>
        <w:pStyle w:val="56"/>
        <w:spacing w:line="360" w:lineRule="auto"/>
        <w:ind w:firstLine="420"/>
      </w:pPr>
      <w:r>
        <w:rPr>
          <w:rFonts w:hint="eastAsia"/>
        </w:rPr>
        <w:t>所有数据处理过程应形成电子记录或书面档案，保存原始数据、计算过程和结果报告，以满足质量控制和第三方验证的需求。</w:t>
      </w:r>
    </w:p>
    <w:p w14:paraId="063690F7">
      <w:pPr>
        <w:pStyle w:val="104"/>
        <w:spacing w:before="240" w:after="240" w:line="360" w:lineRule="auto"/>
      </w:pPr>
      <w:bookmarkStart w:id="66" w:name="_Toc209949373"/>
      <w:bookmarkStart w:id="67" w:name="_Toc209887203"/>
      <w:r>
        <w:rPr>
          <w:rFonts w:hint="eastAsia"/>
        </w:rPr>
        <w:t>案例分析</w:t>
      </w:r>
      <w:bookmarkEnd w:id="66"/>
      <w:bookmarkEnd w:id="67"/>
    </w:p>
    <w:p w14:paraId="31D9274E">
      <w:pPr>
        <w:pStyle w:val="105"/>
        <w:spacing w:before="120" w:after="120" w:line="360" w:lineRule="auto"/>
      </w:pPr>
      <w:r>
        <w:rPr>
          <w:rFonts w:hint="eastAsia"/>
        </w:rPr>
        <w:t>多酚类成分检测案</w:t>
      </w:r>
    </w:p>
    <w:p w14:paraId="72C5B519">
      <w:pPr>
        <w:pStyle w:val="56"/>
        <w:spacing w:line="360" w:lineRule="auto"/>
        <w:ind w:firstLine="420"/>
      </w:pPr>
      <w:r>
        <w:rPr>
          <w:rFonts w:hint="eastAsia"/>
        </w:rPr>
        <w:t>在茶叶样品中，多酚类化合物种类繁多且含量差异大。通过固相萃取去除基质干扰，采用高效液相色谱-质谱（lc-ms）联用，可实现儿茶素、表没食子儿茶素没食子酸酯（egcg）等主要成分的定性与定量检测。结果表明，该方法具有高灵敏度和良好重复性，可用于茶叶品质评价与功能性研究。</w:t>
      </w:r>
    </w:p>
    <w:p w14:paraId="091E9C65">
      <w:pPr>
        <w:pStyle w:val="105"/>
        <w:spacing w:before="120" w:after="120" w:line="360" w:lineRule="auto"/>
      </w:pPr>
      <w:r>
        <w:rPr>
          <w:rFonts w:hint="eastAsia"/>
        </w:rPr>
        <w:t>黄酮类成分检测案例</w:t>
      </w:r>
    </w:p>
    <w:p w14:paraId="76627D25">
      <w:pPr>
        <w:pStyle w:val="56"/>
        <w:spacing w:line="360" w:lineRule="auto"/>
        <w:ind w:firstLine="420"/>
      </w:pPr>
      <w:r>
        <w:rPr>
          <w:rFonts w:hint="eastAsia"/>
        </w:rPr>
        <w:t>在柑橘类水果中，黄酮类化合物如橙皮苷和柚皮苷是主要功能成分。采用高效液相色谱-紫外（lc-uv）检测方法，可实现快速定量；在科研场景中，进一步结合液相色谱-串联质谱（lc-ms/ms）分析，可提供更高的结构鉴定能力。</w:t>
      </w:r>
    </w:p>
    <w:p w14:paraId="1BEDC90A">
      <w:pPr>
        <w:pStyle w:val="105"/>
        <w:spacing w:before="120" w:after="120" w:line="360" w:lineRule="auto"/>
      </w:pPr>
      <w:r>
        <w:rPr>
          <w:rFonts w:hint="eastAsia"/>
        </w:rPr>
        <w:t>多糖成分检测案例</w:t>
      </w:r>
    </w:p>
    <w:p w14:paraId="0C4640BB">
      <w:pPr>
        <w:pStyle w:val="56"/>
        <w:spacing w:line="360" w:lineRule="auto"/>
        <w:ind w:firstLine="420"/>
      </w:pPr>
      <w:r>
        <w:rPr>
          <w:rFonts w:hint="eastAsia"/>
        </w:rPr>
        <w:t>在食用菌样品中，多糖类化合物常需要经过热水提取和乙醇沉淀。采用凝胶色谱进行分子量分布分析，并结合高效液相色谱-蒸发光散射检测（lc-elsd），可获得其组成与纯度信息。该方法常用于功能食品的研发和生产过程控制。</w:t>
      </w:r>
    </w:p>
    <w:p w14:paraId="42E8D849">
      <w:pPr>
        <w:pStyle w:val="105"/>
        <w:spacing w:before="120" w:after="120" w:line="360" w:lineRule="auto"/>
      </w:pPr>
      <w:r>
        <w:rPr>
          <w:rFonts w:hint="eastAsia"/>
        </w:rPr>
        <w:t>活性肽成分检测案例</w:t>
      </w:r>
    </w:p>
    <w:p w14:paraId="79BE3B76">
      <w:pPr>
        <w:pStyle w:val="56"/>
        <w:spacing w:line="360" w:lineRule="auto"/>
        <w:ind w:firstLine="420"/>
      </w:pPr>
      <w:r>
        <w:rPr>
          <w:rFonts w:hint="eastAsia"/>
        </w:rPr>
        <w:t>乳制品中的生物活性肽通常需要通过超滤膜分离进行富集，再结合高效液相色谱-质谱（lc-ms）进行结构解析和定量。该方法适用于研究乳蛋白消化产物的功能特性，如降血压活性。</w:t>
      </w:r>
    </w:p>
    <w:p w14:paraId="108A8552">
      <w:pPr>
        <w:pStyle w:val="105"/>
        <w:spacing w:before="120" w:after="120" w:line="360" w:lineRule="auto"/>
      </w:pPr>
      <w:r>
        <w:rPr>
          <w:rFonts w:hint="eastAsia"/>
        </w:rPr>
        <w:t>综合应用案例</w:t>
      </w:r>
    </w:p>
    <w:p w14:paraId="3CDE944C">
      <w:pPr>
        <w:pStyle w:val="56"/>
        <w:spacing w:line="360" w:lineRule="auto"/>
        <w:ind w:firstLine="420"/>
      </w:pPr>
      <w:r>
        <w:rPr>
          <w:rFonts w:hint="eastAsia"/>
        </w:rPr>
        <w:t>在功能饮料的研发过程中，常需同时分析多酚、黄酮和甾醇等多类成分。采用超高效液相色谱-串联质谱（uplc-ms/ms）可实现多成分同时检测，显著提高检测效率和准确性。</w:t>
      </w:r>
    </w:p>
    <w:p w14:paraId="448F87BD">
      <w:pPr>
        <w:pStyle w:val="104"/>
        <w:spacing w:before="240" w:after="240" w:line="360" w:lineRule="auto"/>
      </w:pPr>
      <w:bookmarkStart w:id="68" w:name="_Toc209949374"/>
      <w:bookmarkStart w:id="69" w:name="_Toc209887204"/>
      <w:r>
        <w:rPr>
          <w:rFonts w:hint="eastAsia"/>
        </w:rPr>
        <w:t>信息化与智能化</w:t>
      </w:r>
      <w:bookmarkEnd w:id="68"/>
      <w:bookmarkEnd w:id="69"/>
    </w:p>
    <w:p w14:paraId="45789866">
      <w:pPr>
        <w:pStyle w:val="105"/>
        <w:spacing w:before="120" w:after="120" w:line="360" w:lineRule="auto"/>
      </w:pPr>
      <w:r>
        <w:rPr>
          <w:rFonts w:hint="eastAsia"/>
        </w:rPr>
        <w:t>一般要求</w:t>
      </w:r>
    </w:p>
    <w:p w14:paraId="3E7B677C">
      <w:pPr>
        <w:pStyle w:val="56"/>
        <w:spacing w:line="360" w:lineRule="auto"/>
        <w:ind w:firstLine="420"/>
      </w:pPr>
      <w:r>
        <w:rPr>
          <w:rFonts w:hint="eastAsia"/>
        </w:rPr>
        <w:t>信息化与智能化应用应遵循标准化、集成化和可追溯性原则。系统应实现数据自动采集、存储、处理与共享，确保信息安全和结果可靠。</w:t>
      </w:r>
    </w:p>
    <w:p w14:paraId="224CF19B">
      <w:pPr>
        <w:pStyle w:val="105"/>
        <w:spacing w:before="120" w:after="120" w:line="360" w:lineRule="auto"/>
      </w:pPr>
      <w:r>
        <w:rPr>
          <w:rFonts w:hint="eastAsia"/>
        </w:rPr>
        <w:t>数据库建设</w:t>
      </w:r>
    </w:p>
    <w:p w14:paraId="7CDD8891">
      <w:pPr>
        <w:pStyle w:val="56"/>
        <w:spacing w:line="360" w:lineRule="auto"/>
        <w:ind w:firstLine="420"/>
      </w:pPr>
      <w:r>
        <w:rPr>
          <w:rFonts w:hint="eastAsia"/>
        </w:rPr>
        <w:t>应建立食品功能成分检测数据库，涵盖常见功能成分的理化特性、标准谱图库、分离与检测方法参数及参考结果。数据库应动态更新，以支持快速比对和结果验证。</w:t>
      </w:r>
    </w:p>
    <w:p w14:paraId="2EF375B9">
      <w:pPr>
        <w:pStyle w:val="105"/>
        <w:spacing w:before="120" w:after="120" w:line="360" w:lineRule="auto"/>
      </w:pPr>
      <w:r>
        <w:rPr>
          <w:rFonts w:hint="eastAsia"/>
        </w:rPr>
        <w:t>智能算法应用</w:t>
      </w:r>
    </w:p>
    <w:p w14:paraId="4CF80E93">
      <w:pPr>
        <w:pStyle w:val="56"/>
        <w:spacing w:line="360" w:lineRule="auto"/>
        <w:ind w:firstLine="420"/>
      </w:pPr>
      <w:r>
        <w:rPr>
          <w:rFonts w:hint="eastAsia"/>
        </w:rPr>
        <w:t>人工智能和机器学习技术可用于数据建模与模式识别。例如，通过深度学习算法实现质谱图自动解析、峰识别和成分预测，从而减少人工干预并提高结果准确性。</w:t>
      </w:r>
    </w:p>
    <w:p w14:paraId="2A48F447">
      <w:pPr>
        <w:pStyle w:val="105"/>
        <w:spacing w:before="120" w:after="120" w:line="360" w:lineRule="auto"/>
      </w:pPr>
      <w:r>
        <w:rPr>
          <w:rFonts w:hint="eastAsia"/>
        </w:rPr>
        <w:t>自动化检测平台</w:t>
      </w:r>
    </w:p>
    <w:p w14:paraId="4BD02108">
      <w:pPr>
        <w:pStyle w:val="56"/>
        <w:spacing w:line="360" w:lineRule="auto"/>
        <w:ind w:firstLine="420"/>
      </w:pPr>
      <w:r>
        <w:rPr>
          <w:rFonts w:hint="eastAsia"/>
        </w:rPr>
        <w:t>应推广高通量、自动化的分离与检测系统，实现样品自动进样、数据自动处理和结果自动输出，提升检测效率和实验室管理水平。</w:t>
      </w:r>
    </w:p>
    <w:p w14:paraId="54BE3FF1">
      <w:pPr>
        <w:pStyle w:val="105"/>
        <w:spacing w:before="120" w:after="120" w:line="360" w:lineRule="auto"/>
      </w:pPr>
      <w:r>
        <w:rPr>
          <w:rFonts w:hint="eastAsia"/>
        </w:rPr>
        <w:t>信息共享与互联</w:t>
      </w:r>
    </w:p>
    <w:p w14:paraId="1AF51372">
      <w:pPr>
        <w:pStyle w:val="56"/>
        <w:spacing w:line="360" w:lineRule="auto"/>
        <w:ind w:firstLine="420"/>
      </w:pPr>
      <w:r>
        <w:rPr>
          <w:rFonts w:hint="eastAsia"/>
        </w:rPr>
        <w:t>检测平台应支持实验室信息管理系统（lims）的对接，实现跨实验室数据共享和行业信息互联。对外披露时，应遵循数据脱敏和隐私保护要求。</w:t>
      </w:r>
    </w:p>
    <w:p w14:paraId="4319AAFB">
      <w:pPr>
        <w:pStyle w:val="104"/>
        <w:spacing w:before="240" w:after="240" w:line="360" w:lineRule="auto"/>
      </w:pPr>
      <w:bookmarkStart w:id="70" w:name="_Toc209887205"/>
      <w:bookmarkStart w:id="71" w:name="_Toc209949375"/>
      <w:r>
        <w:rPr>
          <w:rFonts w:hint="eastAsia"/>
        </w:rPr>
        <w:t>质量控制与安全管理</w:t>
      </w:r>
      <w:bookmarkEnd w:id="70"/>
      <w:bookmarkEnd w:id="71"/>
    </w:p>
    <w:p w14:paraId="656B064D">
      <w:pPr>
        <w:pStyle w:val="105"/>
        <w:spacing w:before="120" w:after="120" w:line="360" w:lineRule="auto"/>
      </w:pPr>
      <w:r>
        <w:rPr>
          <w:rFonts w:hint="eastAsia"/>
        </w:rPr>
        <w:t>一般要求</w:t>
      </w:r>
    </w:p>
    <w:p w14:paraId="55DDA451">
      <w:pPr>
        <w:pStyle w:val="56"/>
        <w:spacing w:line="360" w:lineRule="auto"/>
        <w:ind w:firstLine="420"/>
      </w:pPr>
      <w:r>
        <w:rPr>
          <w:rFonts w:hint="eastAsia"/>
        </w:rPr>
        <w:t>质量控制与安全管理应遵循规范化、持续性和可追溯性原则，覆盖样品处理、实验操作、设备维护、数据处理与结果发布全过程。</w:t>
      </w:r>
    </w:p>
    <w:p w14:paraId="1592C42F">
      <w:pPr>
        <w:pStyle w:val="105"/>
        <w:spacing w:before="120" w:after="120" w:line="360" w:lineRule="auto"/>
      </w:pPr>
      <w:r>
        <w:rPr>
          <w:rFonts w:hint="eastAsia"/>
        </w:rPr>
        <w:t>实验室质量控制</w:t>
      </w:r>
    </w:p>
    <w:p w14:paraId="3A7CF6BF">
      <w:pPr>
        <w:pStyle w:val="56"/>
        <w:spacing w:line="360" w:lineRule="auto"/>
        <w:ind w:firstLine="420"/>
      </w:pPr>
      <w:r>
        <w:rPr>
          <w:rFonts w:hint="eastAsia"/>
        </w:rPr>
        <w:t>实验室应制定并执行标准操作规程（sop），并建立内部审核机制。应定期使用标准物质、质控样和空白样进行检测，以验证方法的准确性和仪器的稳定性。对于多实验室协作，应开展能力验证和比对试验。</w:t>
      </w:r>
    </w:p>
    <w:p w14:paraId="589B4075">
      <w:pPr>
        <w:pStyle w:val="105"/>
        <w:spacing w:before="120" w:after="120" w:line="360" w:lineRule="auto"/>
      </w:pPr>
      <w:r>
        <w:rPr>
          <w:rFonts w:hint="eastAsia"/>
        </w:rPr>
        <w:t>仪器设备管理</w:t>
      </w:r>
    </w:p>
    <w:p w14:paraId="5704ABB5">
      <w:pPr>
        <w:pStyle w:val="56"/>
        <w:spacing w:line="360" w:lineRule="auto"/>
        <w:ind w:firstLine="420"/>
      </w:pPr>
      <w:r>
        <w:rPr>
          <w:rFonts w:hint="eastAsia"/>
        </w:rPr>
        <w:t>仪器设备应定期校准和维护，关键设备（如质谱、色谱系统）应配备备用电源与环境控制设施。设备使用应有完整记录，确保运行状态可追溯。</w:t>
      </w:r>
    </w:p>
    <w:p w14:paraId="445CB04D">
      <w:pPr>
        <w:pStyle w:val="105"/>
        <w:spacing w:before="120" w:after="120" w:line="360" w:lineRule="auto"/>
      </w:pPr>
      <w:r>
        <w:rPr>
          <w:rFonts w:hint="eastAsia"/>
        </w:rPr>
        <w:t>人员管理与培训</w:t>
      </w:r>
    </w:p>
    <w:p w14:paraId="32E450AA">
      <w:pPr>
        <w:pStyle w:val="56"/>
        <w:spacing w:line="360" w:lineRule="auto"/>
        <w:ind w:firstLine="420"/>
      </w:pPr>
      <w:r>
        <w:rPr>
          <w:rFonts w:hint="eastAsia"/>
        </w:rPr>
        <w:t>实验人员应具备相应的专业知识和操作技能，定期接受功能成分分析、仪器操作及安全防护的培训，确保其胜任岗位要求。</w:t>
      </w:r>
    </w:p>
    <w:p w14:paraId="5D9D8BC7">
      <w:pPr>
        <w:pStyle w:val="105"/>
        <w:spacing w:before="120" w:after="120" w:line="360" w:lineRule="auto"/>
      </w:pPr>
      <w:r>
        <w:rPr>
          <w:rFonts w:hint="eastAsia"/>
        </w:rPr>
        <w:t>安全防护</w:t>
      </w:r>
    </w:p>
    <w:p w14:paraId="0008363A">
      <w:pPr>
        <w:pStyle w:val="56"/>
        <w:spacing w:line="360" w:lineRule="auto"/>
        <w:ind w:firstLine="420"/>
      </w:pPr>
      <w:r>
        <w:rPr>
          <w:rFonts w:hint="eastAsia"/>
        </w:rPr>
        <w:t>实验室应具备通风、防爆、防火和废气废液处理设施。对有机溶剂、有毒气体和高能量设备的使用应严格遵守操作规程，必要时应配备个人防护装备（ppe）。</w:t>
      </w:r>
    </w:p>
    <w:p w14:paraId="7D29BC63">
      <w:pPr>
        <w:pStyle w:val="105"/>
        <w:spacing w:before="120" w:after="120" w:line="360" w:lineRule="auto"/>
      </w:pPr>
      <w:r>
        <w:rPr>
          <w:rFonts w:hint="eastAsia"/>
        </w:rPr>
        <w:t>数据与结果管理</w:t>
      </w:r>
    </w:p>
    <w:p w14:paraId="084B60A4">
      <w:pPr>
        <w:pStyle w:val="56"/>
        <w:spacing w:line="360" w:lineRule="auto"/>
        <w:ind w:firstLine="420"/>
      </w:pPr>
      <w:r>
        <w:rPr>
          <w:rFonts w:hint="eastAsia"/>
        </w:rPr>
        <w:t>所有实验数据应按规范保存，保证完整性和可追溯性。结果发布前必须经过审核与复核，避免错误数据进入科研、企业或监管应用环节。</w:t>
      </w:r>
    </w:p>
    <w:p w14:paraId="0B4C581B">
      <w:pPr>
        <w:pStyle w:val="104"/>
        <w:spacing w:before="240" w:after="240" w:line="360" w:lineRule="auto"/>
      </w:pPr>
      <w:bookmarkStart w:id="72" w:name="_Toc209887206"/>
      <w:bookmarkStart w:id="73" w:name="_Toc209949376"/>
      <w:r>
        <w:rPr>
          <w:rFonts w:hint="eastAsia"/>
        </w:rPr>
        <w:t>监督改进</w:t>
      </w:r>
      <w:bookmarkEnd w:id="72"/>
      <w:bookmarkEnd w:id="73"/>
    </w:p>
    <w:p w14:paraId="0569E0EF">
      <w:pPr>
        <w:pStyle w:val="105"/>
        <w:spacing w:before="120" w:after="120" w:line="360" w:lineRule="auto"/>
      </w:pPr>
      <w:r>
        <w:rPr>
          <w:rFonts w:hint="eastAsia"/>
        </w:rPr>
        <w:t>一般要求</w:t>
      </w:r>
    </w:p>
    <w:p w14:paraId="49E6DE61">
      <w:pPr>
        <w:pStyle w:val="56"/>
        <w:spacing w:line="360" w:lineRule="auto"/>
        <w:ind w:firstLine="420"/>
      </w:pPr>
      <w:r>
        <w:rPr>
          <w:rFonts w:hint="eastAsia"/>
        </w:rPr>
        <w:t>监督与改进应遵循持续改进和全过程覆盖原则，结合实验室内部审核、外部评估与行业监管，确保规范执行并不断优化。</w:t>
      </w:r>
    </w:p>
    <w:p w14:paraId="2162F8F8">
      <w:pPr>
        <w:pStyle w:val="105"/>
        <w:spacing w:before="120" w:after="120" w:line="360" w:lineRule="auto"/>
      </w:pPr>
      <w:r>
        <w:rPr>
          <w:rFonts w:hint="eastAsia"/>
        </w:rPr>
        <w:t>监督机制</w:t>
      </w:r>
    </w:p>
    <w:p w14:paraId="6CF61915">
      <w:pPr>
        <w:pStyle w:val="56"/>
        <w:spacing w:line="360" w:lineRule="auto"/>
        <w:ind w:firstLine="420"/>
      </w:pPr>
      <w:r>
        <w:rPr>
          <w:rFonts w:hint="eastAsia"/>
        </w:rPr>
        <w:t>监督内容应包括方法选择是否科学合理、实验操作是否符合标准要求、仪器设备是否处于稳定状态、数据处理与结果发布是否准确可靠。监督主体应包括实验室质量管理部门、第三方审核机构以及行业主管部门。</w:t>
      </w:r>
    </w:p>
    <w:p w14:paraId="398D36AF">
      <w:pPr>
        <w:pStyle w:val="105"/>
        <w:spacing w:before="120" w:after="120" w:line="360" w:lineRule="auto"/>
      </w:pPr>
      <w:r>
        <w:rPr>
          <w:rFonts w:hint="eastAsia"/>
        </w:rPr>
        <w:t>改进措施</w:t>
      </w:r>
    </w:p>
    <w:p w14:paraId="7977978F">
      <w:pPr>
        <w:pStyle w:val="56"/>
        <w:spacing w:line="360" w:lineRule="auto"/>
        <w:ind w:firstLine="420"/>
      </w:pPr>
      <w:r>
        <w:rPr>
          <w:rFonts w:hint="eastAsia"/>
        </w:rPr>
        <w:t>在监督中发现问题后，应及时采取改进措施，包括更新方法学、优化操作流程、加强人员培训、升级检测平台等。改进应有明确的责任人、时间节点和考核标准。</w:t>
      </w:r>
    </w:p>
    <w:p w14:paraId="65FB66E5">
      <w:pPr>
        <w:pStyle w:val="105"/>
        <w:spacing w:before="120" w:after="120" w:line="360" w:lineRule="auto"/>
      </w:pPr>
      <w:r>
        <w:rPr>
          <w:rFonts w:hint="eastAsia"/>
        </w:rPr>
        <w:t>持续评估</w:t>
      </w:r>
    </w:p>
    <w:p w14:paraId="52DADDB3">
      <w:pPr>
        <w:pStyle w:val="56"/>
        <w:spacing w:line="360" w:lineRule="auto"/>
        <w:ind w:firstLine="420"/>
        <w:rPr>
          <w:rFonts w:hint="eastAsia"/>
        </w:rPr>
      </w:pPr>
      <w:r>
        <w:rPr>
          <w:rFonts w:hint="eastAsia"/>
        </w:rPr>
        <w:t>实验室和检测机构应建立周期性评估制度，周期宜为 6 个月至 1 年。评估结果应形成报告，明确风险点和改进方向，并纳入后续工作计划。</w:t>
      </w:r>
    </w:p>
    <w:bookmarkEnd w:id="28"/>
    <w:p w14:paraId="21300740">
      <w:pPr>
        <w:pStyle w:val="56"/>
        <w:spacing w:line="360" w:lineRule="auto"/>
        <w:ind w:firstLine="420"/>
        <w:sectPr>
          <w:headerReference r:id="rId22" w:type="default"/>
          <w:footerReference r:id="rId24" w:type="default"/>
          <w:headerReference r:id="rId23" w:type="even"/>
          <w:footerReference r:id="rId25" w:type="even"/>
          <w:pgSz w:w="11906" w:h="16838"/>
          <w:pgMar w:top="1928" w:right="1134" w:bottom="1134" w:left="1134" w:header="1418" w:footer="1134" w:gutter="284"/>
          <w:pgNumType w:start="1"/>
          <w:cols w:space="425" w:num="1"/>
          <w:formProt w:val="0"/>
          <w:docGrid w:linePitch="312" w:charSpace="0"/>
        </w:sectPr>
      </w:pPr>
      <w:bookmarkStart w:id="74" w:name="BookMark6"/>
    </w:p>
    <w:p w14:paraId="1A5B92C0">
      <w:pPr>
        <w:pStyle w:val="63"/>
        <w:spacing w:after="120" w:line="360" w:lineRule="auto"/>
        <w:rPr>
          <w:rFonts w:hint="eastAsia"/>
        </w:rPr>
      </w:pPr>
      <w:bookmarkStart w:id="75" w:name="_Toc209949377"/>
      <w:r>
        <w:rPr>
          <w:rFonts w:hint="eastAsia"/>
          <w:spacing w:val="105"/>
        </w:rPr>
        <w:t>参考文</w:t>
      </w:r>
      <w:r>
        <w:rPr>
          <w:rFonts w:hint="eastAsia"/>
        </w:rPr>
        <w:t>献</w:t>
      </w:r>
      <w:bookmarkEnd w:id="75"/>
    </w:p>
    <w:p w14:paraId="1FF10887">
      <w:pPr>
        <w:pStyle w:val="56"/>
        <w:spacing w:line="360" w:lineRule="auto"/>
        <w:ind w:firstLine="420"/>
        <w:rPr>
          <w:rFonts w:hint="eastAsia"/>
        </w:rPr>
      </w:pPr>
      <w:r>
        <w:t xml:space="preserve">[1] </w:t>
      </w:r>
      <w:r>
        <w:rPr>
          <w:rFonts w:hint="eastAsia"/>
        </w:rPr>
        <w:t>GB 31603—2015 食品安全国家标准  食品接触材料及制品生产通用卫生规范</w:t>
      </w:r>
    </w:p>
    <w:p w14:paraId="7CE0DC0F">
      <w:pPr>
        <w:pStyle w:val="56"/>
        <w:spacing w:line="360" w:lineRule="auto"/>
        <w:ind w:firstLine="420"/>
        <w:rPr>
          <w:rFonts w:hint="eastAsia"/>
        </w:rPr>
      </w:pPr>
      <w:r>
        <w:t xml:space="preserve">[2] </w:t>
      </w:r>
      <w:r>
        <w:rPr>
          <w:rFonts w:hint="eastAsia"/>
        </w:rPr>
        <w:t>GB/T 6682—2008 分析实验室用水规格和试验方法</w:t>
      </w:r>
    </w:p>
    <w:p w14:paraId="5967346B">
      <w:pPr>
        <w:pStyle w:val="56"/>
        <w:spacing w:line="360" w:lineRule="auto"/>
        <w:ind w:firstLine="420"/>
        <w:rPr>
          <w:rFonts w:hint="eastAsia"/>
        </w:rPr>
      </w:pPr>
      <w:r>
        <w:t xml:space="preserve">[3] </w:t>
      </w:r>
      <w:r>
        <w:rPr>
          <w:rFonts w:hint="eastAsia"/>
        </w:rPr>
        <w:t>GB/T 27404—2008 实验室质量控制规范  食品理化检测</w:t>
      </w:r>
    </w:p>
    <w:p w14:paraId="6752C835">
      <w:pPr>
        <w:pStyle w:val="56"/>
        <w:spacing w:line="360" w:lineRule="auto"/>
        <w:ind w:firstLine="420"/>
        <w:rPr>
          <w:rFonts w:hint="eastAsia"/>
        </w:rPr>
      </w:pPr>
      <w:r>
        <w:t xml:space="preserve">[4] </w:t>
      </w:r>
      <w:r>
        <w:rPr>
          <w:rFonts w:hint="eastAsia"/>
        </w:rPr>
        <w:t>GB/T 27405—2008 实验室质量控制规范  食品微生物检测</w:t>
      </w:r>
    </w:p>
    <w:p w14:paraId="41615D5E">
      <w:pPr>
        <w:pStyle w:val="56"/>
        <w:spacing w:line="360" w:lineRule="auto"/>
        <w:ind w:firstLine="420"/>
      </w:pPr>
      <w:r>
        <w:t xml:space="preserve">[5] </w:t>
      </w:r>
      <w:r>
        <w:rPr>
          <w:rFonts w:hint="eastAsia"/>
        </w:rPr>
        <w:t>GB/T 32146.3—2015 检验检测实验室设计与建设技术要求  第3部分：食品实验室</w:t>
      </w:r>
    </w:p>
    <w:bookmarkEnd w:id="74"/>
    <w:p w14:paraId="3A75168D">
      <w:pPr>
        <w:pStyle w:val="56"/>
        <w:spacing w:line="360" w:lineRule="auto"/>
        <w:ind w:firstLine="0" w:firstLineChars="0"/>
        <w:jc w:val="center"/>
      </w:pPr>
      <w:bookmarkStart w:id="76" w:name="BookMark8"/>
      <w:r>
        <w:rPr>
          <w:rFonts w:hint="eastAsia"/>
        </w:rPr>
        <w:drawing>
          <wp:inline distT="0" distB="0" distL="0" distR="0">
            <wp:extent cx="1485900" cy="317500"/>
            <wp:effectExtent l="0" t="0" r="0" b="6350"/>
            <wp:docPr id="607785354" name="图片 3"/>
            <wp:cNvGraphicFramePr/>
            <a:graphic xmlns:a="http://schemas.openxmlformats.org/drawingml/2006/main">
              <a:graphicData uri="http://schemas.openxmlformats.org/drawingml/2006/picture">
                <pic:pic xmlns:pic="http://schemas.openxmlformats.org/drawingml/2006/picture">
                  <pic:nvPicPr>
                    <pic:cNvPr id="607785354" name="图片 3"/>
                    <pic:cNvPicPr/>
                  </pic:nvPicPr>
                  <pic:blipFill>
                    <a:blip r:embed="rId33">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6"/>
    </w:p>
    <w:sectPr>
      <w:headerReference r:id="rId26" w:type="default"/>
      <w:footerReference r:id="rId28" w:type="default"/>
      <w:headerReference r:id="rId27" w:type="even"/>
      <w:footerReference r:id="rId29" w:type="even"/>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A94E3">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75F76">
    <w:pPr>
      <w:pStyle w:val="51"/>
    </w:pPr>
    <w:r>
      <w:fldChar w:fldCharType="begin"/>
    </w:r>
    <w:r>
      <w:instrText xml:space="preserve"> PAGE   \* MERGEFORMAT \* MERGEFORMAT </w:instrText>
    </w:r>
    <w:r>
      <w:fldChar w:fldCharType="separate"/>
    </w:r>
    <w:r>
      <w:t>8</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77DC0">
    <w:pPr>
      <w:pStyle w:val="52"/>
    </w:pPr>
    <w:r>
      <w:fldChar w:fldCharType="begin"/>
    </w:r>
    <w:r>
      <w:instrText xml:space="preserve">PAGE   \* MERGEFORMAT</w:instrText>
    </w:r>
    <w:r>
      <w:fldChar w:fldCharType="separate"/>
    </w:r>
    <w:r>
      <w:rPr>
        <w:lang w:val="zh-CN"/>
      </w:rPr>
      <w:t>1</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2238F">
    <w:pPr>
      <w:pStyle w:val="51"/>
    </w:pPr>
    <w:r>
      <w:fldChar w:fldCharType="begin"/>
    </w:r>
    <w:r>
      <w:instrText xml:space="preserve"> PAGE   \* MERGEFORMAT \* MERGEFORMAT </w:instrText>
    </w:r>
    <w:r>
      <w:fldChar w:fldCharType="separate"/>
    </w:r>
    <w: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7BAE1">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0D516">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82EB6">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C35A1">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8E10B">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F6F27">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6283D">
    <w:pPr>
      <w:pStyle w:val="51"/>
    </w:pPr>
    <w:r>
      <w:fldChar w:fldCharType="begin"/>
    </w:r>
    <w:r>
      <w:instrText xml:space="preserve"> PAGE   \* MERGEFORMAT \* MERGEFORMAT </w:instrText>
    </w:r>
    <w:r>
      <w:fldChar w:fldCharType="separate"/>
    </w:r>
    <w:r>
      <w:t>III</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02AAE">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C8A8">
    <w:pPr>
      <w:pStyle w:val="18"/>
      <w:wordWrap w:val="0"/>
      <w:jc w:val="right"/>
      <w:rPr>
        <w:rFonts w:ascii="黑体" w:hAnsi="黑体" w:eastAsia="黑体"/>
      </w:rPr>
    </w:pPr>
    <w:r>
      <w:pict>
        <v:shape id="PowerPlusWaterMarkObject59875283" o:spid="_x0000_s1028" o:spt="136" type="#_x0000_t136" style="position:absolute;left:0pt;height:59.9pt;width:599.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71D9B">
    <w:pPr>
      <w:pStyle w:val="61"/>
    </w:pPr>
    <w:r>
      <w:fldChar w:fldCharType="begin"/>
    </w:r>
    <w:r>
      <w:instrText xml:space="preserve"> STYLEREF  标准文件_文件编号  \* MERGEFORMAT </w:instrText>
    </w:r>
    <w:r>
      <w:fldChar w:fldCharType="separate"/>
    </w:r>
    <w:r>
      <w:t>T/XJBX 0119—2025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6E202">
    <w:pPr>
      <w:pStyle w:val="62"/>
    </w:pPr>
    <w:r>
      <w:fldChar w:fldCharType="begin"/>
    </w:r>
    <w:r>
      <w:instrText xml:space="preserve"> </w:instrText>
    </w:r>
    <w:r>
      <w:rPr>
        <w:rFonts w:hint="eastAsia"/>
      </w:rPr>
      <w:instrText xml:space="preserve">STYLEREF  标准文件_文件编号 \* MERGEFORMAT</w:instrText>
    </w:r>
    <w:r>
      <w:instrText xml:space="preserve"> </w:instrText>
    </w:r>
    <w:r>
      <w:fldChar w:fldCharType="separate"/>
    </w:r>
    <w:r>
      <w:rPr>
        <w:rFonts w:hint="eastAsia"/>
      </w:rPr>
      <w:t>T/XJBX 0119—2025</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DC74F">
    <w:pPr>
      <w:pStyle w:val="61"/>
    </w:pPr>
    <w:r>
      <w:fldChar w:fldCharType="begin"/>
    </w:r>
    <w:r>
      <w:instrText xml:space="preserve"> STYLEREF  标准文件_文件编号  \* MERGEFORMAT </w:instrText>
    </w:r>
    <w:r>
      <w:fldChar w:fldCharType="separate"/>
    </w:r>
    <w:r>
      <w:t>T/XJBX 0119—2025</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FB7A8">
    <w:pPr>
      <w:pStyle w:val="62"/>
    </w:pPr>
    <w:r>
      <w:fldChar w:fldCharType="begin"/>
    </w:r>
    <w:r>
      <w:instrText xml:space="preserve"> STYLEREF  标准文件_文件编号 \* MERGEFORMAT </w:instrText>
    </w:r>
    <w:r>
      <w:fldChar w:fldCharType="separate"/>
    </w:r>
    <w:r>
      <w:t>T/XJBX 0119—2025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F0166">
    <w:pPr>
      <w:pStyle w:val="18"/>
    </w:pPr>
    <w:r>
      <w:pict>
        <v:shape id="PowerPlusWaterMarkObject59875282" o:spid="_x0000_s1027" o:spt="136" type="#_x0000_t136" style="position:absolute;left:0pt;height:59.9pt;width:599.4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B2C0B">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60BF5">
    <w:pPr>
      <w:pStyle w:val="61"/>
    </w:pPr>
    <w:r>
      <w:fldChar w:fldCharType="begin"/>
    </w:r>
    <w:r>
      <w:instrText xml:space="preserve"> STYLEREF  标准文件_文件编号  \* MERGEFORMAT </w:instrText>
    </w:r>
    <w:r>
      <w:fldChar w:fldCharType="separate"/>
    </w:r>
    <w:r>
      <w:t>T/XJBX 0119—2025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4E3A">
    <w:pPr>
      <w:pStyle w:val="62"/>
    </w:pPr>
    <w:r>
      <w:fldChar w:fldCharType="begin"/>
    </w:r>
    <w:r>
      <w:instrText xml:space="preserve"> </w:instrText>
    </w:r>
    <w:r>
      <w:rPr>
        <w:rFonts w:hint="eastAsia"/>
      </w:rPr>
      <w:instrText xml:space="preserve">STYLEREF  标准文件_文件编号 \* MERGEFORMAT</w:instrText>
    </w:r>
    <w:r>
      <w:instrText xml:space="preserve"> </w:instrText>
    </w:r>
    <w:r>
      <w:fldChar w:fldCharType="separate"/>
    </w:r>
    <w:r>
      <w:rPr>
        <w:rFonts w:hint="eastAsia"/>
      </w:rPr>
      <w:t>T/XJBX 0119—2025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D9AD8">
    <w:pPr>
      <w:pStyle w:val="61"/>
    </w:pPr>
    <w:r>
      <w:fldChar w:fldCharType="begin"/>
    </w:r>
    <w:r>
      <w:instrText xml:space="preserve"> STYLEREF  标准文件_文件编号  \* MERGEFORMAT </w:instrText>
    </w:r>
    <w:r>
      <w:fldChar w:fldCharType="separate"/>
    </w:r>
    <w:r>
      <w:t>T/XJBX 0119—2025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53B79">
    <w:pPr>
      <w:pStyle w:val="62"/>
    </w:pPr>
    <w:r>
      <w:fldChar w:fldCharType="begin"/>
    </w:r>
    <w:r>
      <w:instrText xml:space="preserve"> STYLEREF  标准文件_文件编号 \* MERGEFORMAT </w:instrText>
    </w:r>
    <w:r>
      <w:fldChar w:fldCharType="separate"/>
    </w:r>
    <w:r>
      <w:t>T/XJBX 0119—2025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9146D">
    <w:pPr>
      <w:pStyle w:val="61"/>
    </w:pPr>
    <w:r>
      <w:fldChar w:fldCharType="begin"/>
    </w:r>
    <w:r>
      <w:instrText xml:space="preserve"> STYLEREF  标准文件_文件编号  \* MERGEFORMAT </w:instrText>
    </w:r>
    <w:r>
      <w:fldChar w:fldCharType="separate"/>
    </w:r>
    <w:r>
      <w:t>T/XJBX 0119—2025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90B4E">
    <w:pPr>
      <w:pStyle w:val="62"/>
    </w:pPr>
    <w:r>
      <w:fldChar w:fldCharType="begin"/>
    </w:r>
    <w:r>
      <w:instrText xml:space="preserve"> </w:instrText>
    </w:r>
    <w:r>
      <w:rPr>
        <w:rFonts w:hint="eastAsia"/>
      </w:rPr>
      <w:instrText xml:space="preserve">STYLEREF  标准文件_文件编号 \* MERGEFORMAT</w:instrText>
    </w:r>
    <w:r>
      <w:instrText xml:space="preserve"> </w:instrText>
    </w:r>
    <w:r>
      <w:fldChar w:fldCharType="separate"/>
    </w:r>
    <w:r>
      <w:rPr>
        <w:rFonts w:hint="eastAsia"/>
      </w:rPr>
      <w:t>T/XJBX 0119—2025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5529"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Y2szQ2NLcwNDU1NTFW0lEKTi0uzszPAykwrgUAV/plSSwAAAA="/>
  </w:docVars>
  <w:rsids>
    <w:rsidRoot w:val="0011074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0741"/>
    <w:rsid w:val="00113B1E"/>
    <w:rsid w:val="0011711C"/>
    <w:rsid w:val="00124E4F"/>
    <w:rsid w:val="001260B7"/>
    <w:rsid w:val="001265CB"/>
    <w:rsid w:val="001321C6"/>
    <w:rsid w:val="001325C4"/>
    <w:rsid w:val="00133010"/>
    <w:rsid w:val="001338B8"/>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A"/>
    <w:rsid w:val="001649EB"/>
    <w:rsid w:val="00164BAF"/>
    <w:rsid w:val="00164FA8"/>
    <w:rsid w:val="00165065"/>
    <w:rsid w:val="00165434"/>
    <w:rsid w:val="0016580B"/>
    <w:rsid w:val="00165824"/>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098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5E5E"/>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12A8"/>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088D"/>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3F7"/>
    <w:rsid w:val="00977D02"/>
    <w:rsid w:val="00977FF9"/>
    <w:rsid w:val="009809BB"/>
    <w:rsid w:val="0098364B"/>
    <w:rsid w:val="009908A3"/>
    <w:rsid w:val="009911AF"/>
    <w:rsid w:val="00991875"/>
    <w:rsid w:val="00991F92"/>
    <w:rsid w:val="00992985"/>
    <w:rsid w:val="0099352D"/>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289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E6197"/>
    <w:rsid w:val="00AF0C18"/>
    <w:rsid w:val="00AF47C5"/>
    <w:rsid w:val="00AF5398"/>
    <w:rsid w:val="00B049AF"/>
    <w:rsid w:val="00B07242"/>
    <w:rsid w:val="00B10534"/>
    <w:rsid w:val="00B113DB"/>
    <w:rsid w:val="00B11D8A"/>
    <w:rsid w:val="00B12981"/>
    <w:rsid w:val="00B147DD"/>
    <w:rsid w:val="00B156FD"/>
    <w:rsid w:val="00B21F61"/>
    <w:rsid w:val="00B24A9A"/>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4581"/>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0963"/>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23B2"/>
    <w:rsid w:val="00F451EA"/>
    <w:rsid w:val="00F45447"/>
    <w:rsid w:val="00F456C6"/>
    <w:rsid w:val="00F4577B"/>
    <w:rsid w:val="00F46496"/>
    <w:rsid w:val="00F474D0"/>
    <w:rsid w:val="00F50179"/>
    <w:rsid w:val="00F515EE"/>
    <w:rsid w:val="00F53CC2"/>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A230058"/>
    <w:rsid w:val="70821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qFormat="1"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ind w:left="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8" Type="http://schemas.openxmlformats.org/officeDocument/2006/relationships/glossaryDocument" Target="glossary/document.xml"/><Relationship Id="rId37" Type="http://schemas.openxmlformats.org/officeDocument/2006/relationships/fontTable" Target="fontTable.xml"/><Relationship Id="rId36" Type="http://schemas.openxmlformats.org/officeDocument/2006/relationships/customXml" Target="../customXml/item2.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3.jpeg"/><Relationship Id="rId32" Type="http://schemas.openxmlformats.org/officeDocument/2006/relationships/image" Target="media/image2.png"/><Relationship Id="rId31" Type="http://schemas.openxmlformats.org/officeDocument/2006/relationships/image" Target="media/image1.png"/><Relationship Id="rId30" Type="http://schemas.openxmlformats.org/officeDocument/2006/relationships/theme" Target="theme/theme1.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footer" Target="footer11.xml"/><Relationship Id="rId27" Type="http://schemas.openxmlformats.org/officeDocument/2006/relationships/header" Target="header13.xml"/><Relationship Id="rId26" Type="http://schemas.openxmlformats.org/officeDocument/2006/relationships/header" Target="header12.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28A614B804142AE8BDBB50A8A79792D"/>
        <w:style w:val=""/>
        <w:category>
          <w:name w:val="常规"/>
          <w:gallery w:val="placeholder"/>
        </w:category>
        <w:types>
          <w:type w:val="bbPlcHdr"/>
        </w:types>
        <w:behaviors>
          <w:behavior w:val="content"/>
        </w:behaviors>
        <w:description w:val=""/>
        <w:guid w:val="{B44CCB2B-4182-4EBE-B7E9-6C909CAF39B0}"/>
      </w:docPartPr>
      <w:docPartBody>
        <w:p w14:paraId="0B7DEB92">
          <w:pPr>
            <w:pStyle w:val="5"/>
          </w:pPr>
          <w:r>
            <w:rPr>
              <w:rStyle w:val="4"/>
              <w:rFonts w:hint="eastAsia"/>
            </w:rPr>
            <w:t>单击或点击此处输入文字。</w:t>
          </w:r>
        </w:p>
      </w:docPartBody>
    </w:docPart>
    <w:docPart>
      <w:docPartPr>
        <w:name w:val="E937BECAD2B34860A158A768CA921C5E"/>
        <w:style w:val=""/>
        <w:category>
          <w:name w:val="常规"/>
          <w:gallery w:val="placeholder"/>
        </w:category>
        <w:types>
          <w:type w:val="bbPlcHdr"/>
        </w:types>
        <w:behaviors>
          <w:behavior w:val="content"/>
        </w:behaviors>
        <w:description w:val=""/>
        <w:guid w:val="{B591C5A6-A077-4DE7-8549-88E3AD26FF7C}"/>
      </w:docPartPr>
      <w:docPartBody>
        <w:p w14:paraId="7C93E17F">
          <w:pPr>
            <w:pStyle w:val="6"/>
          </w:pPr>
          <w:r>
            <w:rPr>
              <w:rStyle w:val="4"/>
              <w:rFonts w:hint="eastAsia"/>
            </w:rPr>
            <w:t>选择一项。</w:t>
          </w:r>
        </w:p>
      </w:docPartBody>
    </w:docPart>
    <w:docPart>
      <w:docPartPr>
        <w:name w:val="7D0407537AFA4EBFB7447D8BB1E4BCDB"/>
        <w:style w:val=""/>
        <w:category>
          <w:name w:val="常规"/>
          <w:gallery w:val="placeholder"/>
        </w:category>
        <w:types>
          <w:type w:val="bbPlcHdr"/>
        </w:types>
        <w:behaviors>
          <w:behavior w:val="content"/>
        </w:behaviors>
        <w:description w:val=""/>
        <w:guid w:val="{4FE560AC-77D7-4372-B13C-1BE31CBD38D8}"/>
      </w:docPartPr>
      <w:docPartBody>
        <w:p w14:paraId="2E01B994">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47"/>
    <w:rsid w:val="008A4D07"/>
    <w:rsid w:val="008F7E0C"/>
    <w:rsid w:val="009B6447"/>
    <w:rsid w:val="00B6674A"/>
    <w:rsid w:val="00BA2B6D"/>
    <w:rsid w:val="00BC4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428A614B804142AE8BDBB50A8A79792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937BECAD2B34860A158A768CA921C5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D0407537AFA4EBFB7447D8BB1E4BCD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8"/>
    <customShpInfo spid="_x0000_s102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17</Pages>
  <Words>3616</Words>
  <Characters>4030</Characters>
  <Lines>57</Lines>
  <Paragraphs>16</Paragraphs>
  <TotalTime>496</TotalTime>
  <ScaleCrop>false</ScaleCrop>
  <LinksUpToDate>false</LinksUpToDate>
  <CharactersWithSpaces>4133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2025-09-27T01:29:00Z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2025-09-28T07:48:57Z</dcterms:modified>
  <dc:title>团体标准</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9C9DAEDFA6074C32A28C61515B8A112A_12</vt:lpwstr>
  </property>
</Properties>
</file>