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01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91.010.01</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02"/>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02</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17"/>
            </w:textInput>
          </w:ffData>
        </w:fldChar>
      </w:r>
      <w:bookmarkStart w:id="6" w:name="NSTD_CODE_F"/>
      <w:r>
        <w:instrText xml:space="preserve"> FORMTEXT </w:instrText>
      </w:r>
      <w:r>
        <w:fldChar w:fldCharType="separate"/>
      </w:r>
      <w:r>
        <w:t>0117</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rPr>
          <w:rFonts w:hint="eastAsia"/>
        </w:rPr>
        <w:fldChar w:fldCharType="begin">
          <w:ffData>
            <w:name w:val="CSTD_NAME"/>
            <w:enabled/>
            <w:calcOnExit w:val="0"/>
            <w:textInput>
              <w:default w:val="房屋建筑工程清单计价风险控制技术规范"/>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房屋建筑工程清单计价风险控制技术规范</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risk control technology of bill of quantities valuation in housing construction projects"/>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Specification for risk control technology of bill of quantities valuation in housing construction projects</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DD7AC02">
      <w:pPr>
        <w:pStyle w:val="91"/>
        <w:spacing w:after="360"/>
        <w:rPr>
          <w:rFonts w:hint="eastAsia"/>
        </w:rPr>
      </w:pPr>
      <w:bookmarkStart w:id="21" w:name="BookMark1"/>
      <w:bookmarkStart w:id="22" w:name="_Toc209857665"/>
      <w:r>
        <w:rPr>
          <w:rFonts w:hint="eastAsia"/>
          <w:spacing w:val="320"/>
        </w:rPr>
        <w:t>目</w:t>
      </w:r>
      <w:r>
        <w:rPr>
          <w:rFonts w:hint="eastAsia"/>
        </w:rPr>
        <w:t>次</w:t>
      </w:r>
    </w:p>
    <w:p w14:paraId="5E1C2A43">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"_Toc209948766" </w:instrText>
      </w:r>
      <w:r>
        <w:fldChar w:fldCharType="separate"/>
      </w:r>
      <w:r>
        <w:rPr>
          <w:rStyle w:val="32"/>
        </w:rPr>
        <w:t>前言</w:t>
      </w:r>
      <w:r>
        <w:tab/>
      </w:r>
      <w:r>
        <w:fldChar w:fldCharType="begin"/>
      </w:r>
      <w:r>
        <w:instrText xml:space="preserve"> PAGEREF _Toc209948766 \h </w:instrText>
      </w:r>
      <w:r>
        <w:fldChar w:fldCharType="separate"/>
      </w:r>
      <w:r>
        <w:t>III</w:t>
      </w:r>
      <w:r>
        <w:fldChar w:fldCharType="end"/>
      </w:r>
      <w:r>
        <w:fldChar w:fldCharType="end"/>
      </w:r>
    </w:p>
    <w:p w14:paraId="798E3E4D">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"_Toc209948767" </w:instrText>
      </w:r>
      <w:r>
        <w:fldChar w:fldCharType="separate"/>
      </w:r>
      <w:r>
        <w:rPr>
          <w:rStyle w:val="32"/>
        </w:rPr>
        <w:t>引言</w:t>
      </w:r>
      <w:r>
        <w:tab/>
      </w:r>
      <w:r>
        <w:fldChar w:fldCharType="begin"/>
      </w:r>
      <w:r>
        <w:instrText xml:space="preserve"> PAGEREF _Toc209948767 \h </w:instrText>
      </w:r>
      <w:r>
        <w:fldChar w:fldCharType="separate"/>
      </w:r>
      <w:r>
        <w:t>V</w:t>
      </w:r>
      <w:r>
        <w:fldChar w:fldCharType="end"/>
      </w:r>
      <w:r>
        <w:fldChar w:fldCharType="end"/>
      </w:r>
    </w:p>
    <w:p w14:paraId="60F91ABD">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"_Toc209948768" </w:instrText>
      </w:r>
      <w:r>
        <w:fldChar w:fldCharType="separate"/>
      </w:r>
      <w:r>
        <w:rPr>
          <w:rStyle w:val="32"/>
        </w:rPr>
        <w:t>1  范围</w:t>
      </w:r>
      <w:r>
        <w:tab/>
      </w:r>
      <w:r>
        <w:fldChar w:fldCharType="begin"/>
      </w:r>
      <w:r>
        <w:instrText xml:space="preserve"> PAGEREF _Toc209948768 \h </w:instrText>
      </w:r>
      <w:r>
        <w:fldChar w:fldCharType="separate"/>
      </w:r>
      <w:r>
        <w:t>1</w:t>
      </w:r>
      <w:r>
        <w:fldChar w:fldCharType="end"/>
      </w:r>
      <w:r>
        <w:fldChar w:fldCharType="end"/>
      </w:r>
    </w:p>
    <w:p w14:paraId="4F83ADC9">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"_Toc209948769" </w:instrText>
      </w:r>
      <w:r>
        <w:fldChar w:fldCharType="separate"/>
      </w:r>
      <w:r>
        <w:rPr>
          <w:rStyle w:val="32"/>
        </w:rPr>
        <w:t>2  规范性引用文件</w:t>
      </w:r>
      <w:r>
        <w:tab/>
      </w:r>
      <w:r>
        <w:fldChar w:fldCharType="begin"/>
      </w:r>
      <w:r>
        <w:instrText xml:space="preserve"> PAGEREF _Toc209948769 \h </w:instrText>
      </w:r>
      <w:r>
        <w:fldChar w:fldCharType="separate"/>
      </w:r>
      <w:r>
        <w:t>1</w:t>
      </w:r>
      <w:r>
        <w:fldChar w:fldCharType="end"/>
      </w:r>
      <w:r>
        <w:fldChar w:fldCharType="end"/>
      </w:r>
    </w:p>
    <w:p w14:paraId="09AECBCB">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"_Toc209948770" </w:instrText>
      </w:r>
      <w:r>
        <w:fldChar w:fldCharType="separate"/>
      </w:r>
      <w:r>
        <w:rPr>
          <w:rStyle w:val="32"/>
        </w:rPr>
        <w:t>3  术语和定义</w:t>
      </w:r>
      <w:r>
        <w:tab/>
      </w:r>
      <w:r>
        <w:fldChar w:fldCharType="begin"/>
      </w:r>
      <w:r>
        <w:instrText xml:space="preserve"> PAGEREF _Toc209948770 \h </w:instrText>
      </w:r>
      <w:r>
        <w:fldChar w:fldCharType="separate"/>
      </w:r>
      <w:r>
        <w:t>1</w:t>
      </w:r>
      <w:r>
        <w:fldChar w:fldCharType="end"/>
      </w:r>
      <w:r>
        <w:fldChar w:fldCharType="end"/>
      </w:r>
    </w:p>
    <w:p w14:paraId="11CCE112">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"_Toc209948771" </w:instrText>
      </w:r>
      <w:r>
        <w:fldChar w:fldCharType="separate"/>
      </w:r>
      <w:r>
        <w:rPr>
          <w:rStyle w:val="32"/>
        </w:rPr>
        <w:t>4  总体要求</w:t>
      </w:r>
      <w:r>
        <w:tab/>
      </w:r>
      <w:r>
        <w:fldChar w:fldCharType="begin"/>
      </w:r>
      <w:r>
        <w:instrText xml:space="preserve"> PAGEREF _Toc209948771 \h </w:instrText>
      </w:r>
      <w:r>
        <w:fldChar w:fldCharType="separate"/>
      </w:r>
      <w:r>
        <w:t>2</w:t>
      </w:r>
      <w:r>
        <w:fldChar w:fldCharType="end"/>
      </w:r>
      <w:r>
        <w:fldChar w:fldCharType="end"/>
      </w:r>
    </w:p>
    <w:p w14:paraId="7BE33D76">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"_Toc209948772" </w:instrText>
      </w:r>
      <w:r>
        <w:fldChar w:fldCharType="separate"/>
      </w:r>
      <w:r>
        <w:rPr>
          <w:rStyle w:val="32"/>
        </w:rPr>
        <w:t>5  风险识别</w:t>
      </w:r>
      <w:r>
        <w:tab/>
      </w:r>
      <w:r>
        <w:fldChar w:fldCharType="begin"/>
      </w:r>
      <w:r>
        <w:instrText xml:space="preserve"> PAGEREF _Toc209948772 \h </w:instrText>
      </w:r>
      <w:r>
        <w:fldChar w:fldCharType="separate"/>
      </w:r>
      <w:r>
        <w:t>3</w:t>
      </w:r>
      <w:r>
        <w:fldChar w:fldCharType="end"/>
      </w:r>
      <w:r>
        <w:fldChar w:fldCharType="end"/>
      </w:r>
    </w:p>
    <w:p w14:paraId="57B9D479">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"_Toc209948773" </w:instrText>
      </w:r>
      <w:r>
        <w:fldChar w:fldCharType="separate"/>
      </w:r>
      <w:r>
        <w:rPr>
          <w:rStyle w:val="32"/>
        </w:rPr>
        <w:t>6  风险评估</w:t>
      </w:r>
      <w:r>
        <w:tab/>
      </w:r>
      <w:r>
        <w:fldChar w:fldCharType="begin"/>
      </w:r>
      <w:r>
        <w:instrText xml:space="preserve"> PAGEREF _Toc209948773 \h </w:instrText>
      </w:r>
      <w:r>
        <w:fldChar w:fldCharType="separate"/>
      </w:r>
      <w:r>
        <w:t>3</w:t>
      </w:r>
      <w:r>
        <w:fldChar w:fldCharType="end"/>
      </w:r>
      <w:r>
        <w:fldChar w:fldCharType="end"/>
      </w:r>
    </w:p>
    <w:p w14:paraId="0F19027F">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"_Toc209948774" </w:instrText>
      </w:r>
      <w:r>
        <w:fldChar w:fldCharType="separate"/>
      </w:r>
      <w:r>
        <w:rPr>
          <w:rStyle w:val="32"/>
        </w:rPr>
        <w:t>7  风险控制措施</w:t>
      </w:r>
      <w:r>
        <w:tab/>
      </w:r>
      <w:r>
        <w:fldChar w:fldCharType="begin"/>
      </w:r>
      <w:r>
        <w:instrText xml:space="preserve"> PAGEREF _Toc209948774 \h </w:instrText>
      </w:r>
      <w:r>
        <w:fldChar w:fldCharType="separate"/>
      </w:r>
      <w:r>
        <w:t>4</w:t>
      </w:r>
      <w:r>
        <w:fldChar w:fldCharType="end"/>
      </w:r>
      <w:r>
        <w:fldChar w:fldCharType="end"/>
      </w:r>
    </w:p>
    <w:p w14:paraId="4D818220">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"_Toc209948775" </w:instrText>
      </w:r>
      <w:r>
        <w:fldChar w:fldCharType="separate"/>
      </w:r>
      <w:r>
        <w:rPr>
          <w:rStyle w:val="32"/>
        </w:rPr>
        <w:t>8  风险管理流程</w:t>
      </w:r>
      <w:r>
        <w:tab/>
      </w:r>
      <w:r>
        <w:fldChar w:fldCharType="begin"/>
      </w:r>
      <w:r>
        <w:instrText xml:space="preserve"> PAGEREF _Toc209948775 \h </w:instrText>
      </w:r>
      <w:r>
        <w:fldChar w:fldCharType="separate"/>
      </w:r>
      <w:r>
        <w:t>5</w:t>
      </w:r>
      <w:r>
        <w:fldChar w:fldCharType="end"/>
      </w:r>
      <w:r>
        <w:fldChar w:fldCharType="end"/>
      </w:r>
    </w:p>
    <w:p w14:paraId="7C69E41B">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"_Toc209948776" </w:instrText>
      </w:r>
      <w:r>
        <w:fldChar w:fldCharType="separate"/>
      </w:r>
      <w:r>
        <w:rPr>
          <w:rStyle w:val="32"/>
        </w:rPr>
        <w:t>9  信息化应用与数据管理</w:t>
      </w:r>
      <w:r>
        <w:tab/>
      </w:r>
      <w:r>
        <w:fldChar w:fldCharType="begin"/>
      </w:r>
      <w:r>
        <w:instrText xml:space="preserve"> PAGEREF _Toc209948776 \h </w:instrText>
      </w:r>
      <w:r>
        <w:fldChar w:fldCharType="separate"/>
      </w:r>
      <w:r>
        <w:t>6</w:t>
      </w:r>
      <w:r>
        <w:fldChar w:fldCharType="end"/>
      </w:r>
      <w:r>
        <w:fldChar w:fldCharType="end"/>
      </w:r>
    </w:p>
    <w:p w14:paraId="0560E1E3">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"_Toc209948777" </w:instrText>
      </w:r>
      <w:r>
        <w:fldChar w:fldCharType="separate"/>
      </w:r>
      <w:r>
        <w:rPr>
          <w:rStyle w:val="32"/>
        </w:rPr>
        <w:t>10  监督与改进</w:t>
      </w:r>
      <w:r>
        <w:tab/>
      </w:r>
      <w:r>
        <w:fldChar w:fldCharType="begin"/>
      </w:r>
      <w:r>
        <w:instrText xml:space="preserve"> PAGEREF _Toc209948777 \h </w:instrText>
      </w:r>
      <w:r>
        <w:fldChar w:fldCharType="separate"/>
      </w:r>
      <w:r>
        <w:t>6</w:t>
      </w:r>
      <w:r>
        <w:fldChar w:fldCharType="end"/>
      </w:r>
      <w:r>
        <w:fldChar w:fldCharType="end"/>
      </w:r>
    </w:p>
    <w:p w14:paraId="70C68187">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"_Toc209948778" </w:instrText>
      </w:r>
      <w:r>
        <w:fldChar w:fldCharType="separate"/>
      </w:r>
      <w:r>
        <w:rPr>
          <w:rStyle w:val="32"/>
        </w:rPr>
        <w:t>参考文献</w:t>
      </w:r>
      <w:r>
        <w:tab/>
      </w:r>
      <w:r>
        <w:fldChar w:fldCharType="begin"/>
      </w:r>
      <w:r>
        <w:instrText xml:space="preserve"> PAGEREF _Toc209948778 \h </w:instrText>
      </w:r>
      <w:r>
        <w:fldChar w:fldCharType="separate"/>
      </w:r>
      <w:r>
        <w:t>8</w:t>
      </w:r>
      <w:r>
        <w:fldChar w:fldCharType="end"/>
      </w:r>
      <w:r>
        <w:fldChar w:fldCharType="end"/>
      </w:r>
    </w:p>
    <w:p w14:paraId="50FE7CB0">
      <w:pPr>
        <w:pStyle w:val="91"/>
        <w:spacing w:after="360"/>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3" w:name="_Toc209948766"/>
      <w:bookmarkStart w:id="24" w:name="BookMark2"/>
      <w:r>
        <w:rPr>
          <w:spacing w:val="320"/>
        </w:rPr>
        <w:t>前</w:t>
      </w:r>
      <w:r>
        <w:t>言</w:t>
      </w:r>
      <w:bookmarkEnd w:id="22"/>
      <w:bookmarkEnd w:id="23"/>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本文件起草单位：绍兴市地铁物产置业有限公司。</w:t>
      </w:r>
    </w:p>
    <w:p w14:paraId="42BC1C2C">
      <w:pPr>
        <w:pStyle w:val="56"/>
        <w:spacing w:line="360" w:lineRule="auto"/>
        <w:ind w:firstLine="420"/>
      </w:pPr>
      <w:r>
        <w:rPr>
          <w:rFonts w:hint="eastAsia"/>
        </w:rPr>
        <w:t>本文件主要起草人：吴铁城。</w:t>
      </w:r>
    </w:p>
    <w:p w14:paraId="4F59AFA1">
      <w:pPr>
        <w:pStyle w:val="56"/>
        <w:ind w:firstLine="420"/>
      </w:pPr>
    </w:p>
    <w:p w14:paraId="43B1A6EE">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4"/>
    <w:p w14:paraId="4104DD8B">
      <w:pPr>
        <w:pStyle w:val="89"/>
        <w:spacing w:after="360"/>
      </w:pPr>
      <w:bookmarkStart w:id="25" w:name="_Toc209857666"/>
      <w:bookmarkStart w:id="26" w:name="_Toc209948767"/>
      <w:bookmarkStart w:id="27" w:name="BookMark3"/>
      <w:r>
        <w:rPr>
          <w:spacing w:val="320"/>
        </w:rPr>
        <w:t>引</w:t>
      </w:r>
      <w:r>
        <w:t>言</w:t>
      </w:r>
      <w:bookmarkEnd w:id="25"/>
      <w:bookmarkEnd w:id="26"/>
    </w:p>
    <w:p w14:paraId="19469F2E">
      <w:pPr>
        <w:pStyle w:val="56"/>
        <w:spacing w:line="360" w:lineRule="auto"/>
        <w:ind w:firstLine="420"/>
      </w:pPr>
      <w:r>
        <w:rPr>
          <w:rFonts w:hint="eastAsia"/>
        </w:rPr>
        <w:t>随着我国建筑市场化程度不断提高，工程造价管理逐渐向市场竞争机制转变，工程量清单计价模式已成为建筑工程造价确定与合同管理的重要基础。清单计价不仅涉及项目成本控制与合同履行，还直接关系到建设单位、施工单位和监理单位的经济利益，其风险控制水平对工程项目的顺利实施具有重要影响。</w:t>
      </w:r>
    </w:p>
    <w:p w14:paraId="779506BA">
      <w:pPr>
        <w:pStyle w:val="56"/>
        <w:spacing w:line="360" w:lineRule="auto"/>
        <w:ind w:firstLine="420"/>
      </w:pPr>
      <w:r>
        <w:rPr>
          <w:rFonts w:hint="eastAsia"/>
        </w:rPr>
        <w:t>在实际工程中，清单计价环节常常面临诸多风险因素。例如，市场价格波动可能导致材料、人工费用大幅度变化；政策调整和税费制度改革可能增加计价不确定性；设计变更、工期延误等施工因素可能引发计价争议；信息不对称、合同条款不完善和管理不规范也容易造成清单计价风险。这些风险一旦缺乏有效控制，不仅会引发成本超支和经济纠纷，还可能影响工程质量与进度，降低项目整体效益。</w:t>
      </w:r>
    </w:p>
    <w:p w14:paraId="6AE11574">
      <w:pPr>
        <w:pStyle w:val="56"/>
        <w:spacing w:line="360" w:lineRule="auto"/>
        <w:ind w:firstLine="420"/>
      </w:pPr>
      <w:r>
        <w:rPr>
          <w:rFonts w:hint="eastAsia"/>
        </w:rPr>
        <w:t>近年来，国家相继出台了一系列有关工程造价管理、合同管理及风险防范的政策文件，对工程量清单计价的透明化、规范化和精细化提出了更高要求。同时，信息化技术、BIM 技术、造价大数据分析与智能化风险预警工具的应用，也为清单计价风险的识别、评估与控制提供了新的支撑。</w:t>
      </w:r>
    </w:p>
    <w:p w14:paraId="38660A1A">
      <w:pPr>
        <w:pStyle w:val="56"/>
        <w:spacing w:line="360" w:lineRule="auto"/>
        <w:ind w:firstLine="420"/>
      </w:pPr>
      <w:r>
        <w:rPr>
          <w:rFonts w:hint="eastAsia"/>
        </w:rPr>
        <w:t>在此背景下，制定本文件具有重要意义。一方面，它有助于统一风险识别和控制的基本方法，明确工程量清单计价中的风险边界；另一方面，它通过构建系统化的风险管理流程和控制措施，提升各方对风险的预防、应对与分担能力。同时，本文件还将推动信息化与数据化管理在造价风险控制中的应用，为建筑行业的高质量发展提供保障。</w:t>
      </w:r>
    </w:p>
    <w:p w14:paraId="42EAE8EF">
      <w:pPr>
        <w:pStyle w:val="56"/>
        <w:spacing w:line="360" w:lineRule="auto"/>
        <w:ind w:firstLine="420"/>
      </w:pPr>
      <w:r>
        <w:rPr>
          <w:rFonts w:hint="eastAsia"/>
        </w:rPr>
        <w:t>本文件适用于房屋建筑工程施工阶段的工程量清单计价风险控制，也可为市政工程及其他建设工程提供参考。</w:t>
      </w:r>
    </w:p>
    <w:p w14:paraId="50D9A392">
      <w:pPr>
        <w:pStyle w:val="56"/>
        <w:ind w:firstLine="420"/>
      </w:pPr>
    </w:p>
    <w:p w14:paraId="1F60BA12">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7"/>
    <w:p w14:paraId="12C43CC1">
      <w:pPr>
        <w:spacing w:line="20" w:lineRule="exact"/>
        <w:jc w:val="center"/>
        <w:rPr>
          <w:rFonts w:ascii="黑体" w:hAnsi="黑体" w:eastAsia="黑体"/>
          <w:sz w:val="32"/>
          <w:szCs w:val="32"/>
        </w:rPr>
      </w:pPr>
      <w:bookmarkStart w:id="28"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9" w:name="NEW_STAND_NAME"/>
          <w:r>
            <w:rPr>
              <w:rFonts w:hint="eastAsia"/>
            </w:rPr>
            <w:t>房屋建筑工程清单计价风险控制技术规范</w:t>
          </w:r>
        </w:p>
      </w:sdtContent>
    </w:sdt>
    <w:bookmarkEnd w:id="29"/>
    <w:p w14:paraId="153BF6ED">
      <w:pPr>
        <w:pStyle w:val="104"/>
        <w:spacing w:before="240" w:after="240" w:line="360" w:lineRule="auto"/>
      </w:pPr>
      <w:bookmarkStart w:id="30" w:name="_Toc17233325"/>
      <w:bookmarkStart w:id="31" w:name="_Toc17233333"/>
      <w:bookmarkStart w:id="32" w:name="_Toc24884211"/>
      <w:bookmarkStart w:id="33" w:name="_Toc24884218"/>
      <w:bookmarkStart w:id="34" w:name="_Toc26648465"/>
      <w:bookmarkStart w:id="35" w:name="_Toc209857667"/>
      <w:bookmarkStart w:id="36" w:name="_Toc209948768"/>
      <w:bookmarkStart w:id="37" w:name="_Toc26986771"/>
      <w:bookmarkStart w:id="38" w:name="_Toc97192964"/>
      <w:bookmarkStart w:id="39" w:name="_Toc26718930"/>
      <w:bookmarkStart w:id="40" w:name="_Toc26986530"/>
      <w:r>
        <w:rPr>
          <w:rFonts w:hint="eastAsia"/>
        </w:rPr>
        <w:t>范围</w:t>
      </w:r>
      <w:bookmarkEnd w:id="30"/>
      <w:bookmarkEnd w:id="31"/>
      <w:bookmarkEnd w:id="32"/>
      <w:bookmarkEnd w:id="33"/>
      <w:bookmarkEnd w:id="34"/>
      <w:bookmarkEnd w:id="35"/>
      <w:bookmarkEnd w:id="36"/>
      <w:bookmarkEnd w:id="37"/>
      <w:bookmarkEnd w:id="38"/>
      <w:bookmarkEnd w:id="39"/>
      <w:bookmarkEnd w:id="40"/>
    </w:p>
    <w:p w14:paraId="28804743">
      <w:pPr>
        <w:pStyle w:val="56"/>
        <w:spacing w:line="360" w:lineRule="auto"/>
        <w:ind w:firstLine="420"/>
      </w:pPr>
      <w:bookmarkStart w:id="41" w:name="_Toc24884219"/>
      <w:bookmarkStart w:id="42" w:name="_Toc17233334"/>
      <w:bookmarkStart w:id="43" w:name="_Toc26648466"/>
      <w:bookmarkStart w:id="44" w:name="_Toc17233326"/>
      <w:bookmarkStart w:id="45" w:name="_Toc24884212"/>
      <w:r>
        <w:rPr>
          <w:rFonts w:hint="eastAsia"/>
        </w:rPr>
        <w:t>本文件规定了房屋建筑工程清单计价风险控制的总体要求、风险识别、风险评估、风险控制措施、风险管理流程、信息化应用与数据管理及监督与改进等方面的技术要求。</w:t>
      </w:r>
    </w:p>
    <w:p w14:paraId="5225CBF8">
      <w:pPr>
        <w:pStyle w:val="56"/>
        <w:spacing w:line="360" w:lineRule="auto"/>
        <w:ind w:firstLine="420"/>
      </w:pPr>
      <w:r>
        <w:rPr>
          <w:rFonts w:hint="eastAsia"/>
        </w:rPr>
        <w:t>本文件适用于房屋建筑工程在编制、审核和实施工程量清单计价过程中风险的识别、评估与控制，涵盖建设单位、施工单位、造价咨询机构、监理单位及相关方的风险管理活动。</w:t>
      </w:r>
    </w:p>
    <w:p w14:paraId="387C9C2B">
      <w:pPr>
        <w:pStyle w:val="56"/>
        <w:spacing w:line="360" w:lineRule="auto"/>
        <w:ind w:firstLine="420"/>
      </w:pPr>
      <w:r>
        <w:rPr>
          <w:rFonts w:hint="eastAsia"/>
        </w:rPr>
        <w:t>本文件亦可作为市政工程及其他建设工程清单计价风险管理的参考依据。</w:t>
      </w:r>
    </w:p>
    <w:p w14:paraId="1F7FEEB2">
      <w:pPr>
        <w:pStyle w:val="104"/>
        <w:spacing w:before="240" w:after="240" w:line="360" w:lineRule="auto"/>
      </w:pPr>
      <w:bookmarkStart w:id="46" w:name="_Toc26986531"/>
      <w:bookmarkStart w:id="47" w:name="_Toc26986772"/>
      <w:bookmarkStart w:id="48" w:name="_Toc26718931"/>
      <w:bookmarkStart w:id="49" w:name="_Toc209948769"/>
      <w:bookmarkStart w:id="50" w:name="_Toc209857668"/>
      <w:bookmarkStart w:id="51" w:name="_Toc97192965"/>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9E7953D">
      <w:pPr>
        <w:pStyle w:val="56"/>
        <w:spacing w:line="360" w:lineRule="auto"/>
        <w:ind w:firstLine="420"/>
      </w:pPr>
      <w:r>
        <w:rPr>
          <w:rFonts w:hint="eastAsia"/>
        </w:rPr>
        <w:t>GB/T 1.1—2020 标准化工作导则  第1部分:标准化文件的结构和起草规则</w:t>
      </w:r>
    </w:p>
    <w:p w14:paraId="13DB9151">
      <w:pPr>
        <w:pStyle w:val="56"/>
        <w:spacing w:line="360" w:lineRule="auto"/>
        <w:ind w:firstLine="420"/>
      </w:pPr>
      <w:r>
        <w:t>GB/T 51262</w:t>
      </w:r>
      <w:r>
        <w:rPr>
          <w:rFonts w:hint="eastAsia"/>
        </w:rPr>
        <w:t>—</w:t>
      </w:r>
      <w:r>
        <w:t>2017</w:t>
      </w:r>
      <w:r>
        <w:rPr>
          <w:rFonts w:hint="eastAsia"/>
        </w:rPr>
        <w:t xml:space="preserve"> 建设工程造价鉴定规范</w:t>
      </w:r>
    </w:p>
    <w:p w14:paraId="6962992E">
      <w:pPr>
        <w:pStyle w:val="104"/>
        <w:spacing w:before="240" w:after="240" w:line="360" w:lineRule="auto"/>
      </w:pPr>
      <w:bookmarkStart w:id="52" w:name="_Toc209948770"/>
      <w:bookmarkStart w:id="53" w:name="_Toc97192966"/>
      <w:bookmarkStart w:id="54" w:name="_Toc209857669"/>
      <w:r>
        <w:rPr>
          <w:rFonts w:hint="eastAsia"/>
          <w:szCs w:val="21"/>
        </w:rPr>
        <w:t>术语和定义</w:t>
      </w:r>
      <w:bookmarkEnd w:id="52"/>
      <w:bookmarkEnd w:id="53"/>
      <w:bookmarkEnd w:id="54"/>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5" w:name="_Toc26986532"/>
          <w:bookmarkEnd w:id="55"/>
          <w:r>
            <w:t>下列术语和定义适用于本文件。</w:t>
          </w:r>
        </w:p>
      </w:sdtContent>
    </w:sdt>
    <w:p w14:paraId="2A7E448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工程量清单 </w:t>
      </w:r>
      <w:r>
        <w:rPr>
          <w:rFonts w:ascii="黑体" w:hAnsi="黑体" w:eastAsia="黑体"/>
        </w:rPr>
        <w:t>bill of quantities</w:t>
      </w:r>
    </w:p>
    <w:p w14:paraId="4916A5EF">
      <w:pPr>
        <w:pStyle w:val="56"/>
        <w:spacing w:line="360" w:lineRule="auto"/>
        <w:ind w:firstLine="420"/>
      </w:pPr>
      <w:r>
        <w:rPr>
          <w:rFonts w:hint="eastAsia"/>
        </w:rPr>
        <w:t>按照国家规范和设计文件要求，将建设工程划分为若干分部分项工程，并以项目编码、名称、特征描述、计量单位和工程量的形式列出的明细文件。</w:t>
      </w:r>
    </w:p>
    <w:p w14:paraId="7C5634A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清单计价 </w:t>
      </w:r>
      <w:r>
        <w:rPr>
          <w:rFonts w:ascii="黑体" w:hAnsi="黑体" w:eastAsia="黑体"/>
        </w:rPr>
        <w:t>bill pricing</w:t>
      </w:r>
    </w:p>
    <w:p w14:paraId="122F8779">
      <w:pPr>
        <w:pStyle w:val="56"/>
        <w:spacing w:line="360" w:lineRule="auto"/>
        <w:ind w:firstLine="420"/>
      </w:pPr>
      <w:r>
        <w:rPr>
          <w:rFonts w:hint="eastAsia"/>
        </w:rPr>
        <w:t>在工程量清单的基础上，结合市场价格、人工费用、管理费、利润和风险因素，确定工程造价的一种计价方法。</w:t>
      </w:r>
    </w:p>
    <w:p w14:paraId="3DB03BA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风险管理 </w:t>
      </w:r>
      <w:r>
        <w:rPr>
          <w:rFonts w:ascii="黑体" w:hAnsi="黑体" w:eastAsia="黑体"/>
        </w:rPr>
        <w:t>risk management</w:t>
      </w:r>
    </w:p>
    <w:p w14:paraId="2CEC6129">
      <w:pPr>
        <w:pStyle w:val="56"/>
        <w:spacing w:line="360" w:lineRule="auto"/>
        <w:ind w:firstLine="420"/>
      </w:pPr>
      <w:r>
        <w:rPr>
          <w:rFonts w:hint="eastAsia"/>
        </w:rPr>
        <w:t>在清单计价过程中，对风险进行识别、分析、评估、应对和监控的全过程管理活动，以降低不确定性带来的负面影响。</w:t>
      </w:r>
    </w:p>
    <w:p w14:paraId="41D2C42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风险识别 </w:t>
      </w:r>
      <w:r>
        <w:rPr>
          <w:rFonts w:ascii="黑体" w:hAnsi="黑体" w:eastAsia="黑体"/>
        </w:rPr>
        <w:t>risk identification</w:t>
      </w:r>
    </w:p>
    <w:p w14:paraId="4DBB6521">
      <w:pPr>
        <w:pStyle w:val="56"/>
        <w:spacing w:line="360" w:lineRule="auto"/>
        <w:ind w:firstLine="420"/>
      </w:pPr>
      <w:r>
        <w:rPr>
          <w:rFonts w:hint="eastAsia"/>
        </w:rPr>
        <w:t>在清单计价编制与实施阶段，系统识别可能导致造价偏差、合同争议或经济损失的各种风险因素的过程。</w:t>
      </w:r>
    </w:p>
    <w:p w14:paraId="29756CE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风险评估 </w:t>
      </w:r>
      <w:r>
        <w:rPr>
          <w:rFonts w:ascii="黑体" w:hAnsi="黑体" w:eastAsia="黑体"/>
        </w:rPr>
        <w:t>risk assessment</w:t>
      </w:r>
    </w:p>
    <w:p w14:paraId="18DEE1A9">
      <w:pPr>
        <w:pStyle w:val="56"/>
        <w:spacing w:line="360" w:lineRule="auto"/>
        <w:ind w:firstLine="420"/>
      </w:pPr>
      <w:r>
        <w:rPr>
          <w:rFonts w:hint="eastAsia"/>
        </w:rPr>
        <w:t>通过定性分析和定量计算，确定风险发生的可能性和影响程度，并据此进行排序和分级的过程。</w:t>
      </w:r>
    </w:p>
    <w:p w14:paraId="3802D5D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风险控制 </w:t>
      </w:r>
      <w:r>
        <w:rPr>
          <w:rFonts w:ascii="黑体" w:hAnsi="黑体" w:eastAsia="黑体"/>
        </w:rPr>
        <w:t>risk control</w:t>
      </w:r>
    </w:p>
    <w:p w14:paraId="5FD2276A">
      <w:pPr>
        <w:pStyle w:val="56"/>
        <w:spacing w:line="360" w:lineRule="auto"/>
        <w:ind w:firstLine="420"/>
      </w:pPr>
      <w:r>
        <w:rPr>
          <w:rFonts w:hint="eastAsia"/>
        </w:rPr>
        <w:t>采取措施降低风险发生的概率或减轻其后果，包括合同管理、成本控制、保险担保和信息化管理等手段。</w:t>
      </w:r>
    </w:p>
    <w:p w14:paraId="3810BDF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风险分担 </w:t>
      </w:r>
      <w:r>
        <w:rPr>
          <w:rFonts w:ascii="黑体" w:hAnsi="黑体" w:eastAsia="黑体"/>
        </w:rPr>
        <w:t>risk sharing</w:t>
      </w:r>
    </w:p>
    <w:p w14:paraId="75538051">
      <w:pPr>
        <w:pStyle w:val="56"/>
        <w:spacing w:line="360" w:lineRule="auto"/>
        <w:ind w:firstLine="420"/>
      </w:pPr>
      <w:r>
        <w:rPr>
          <w:rFonts w:hint="eastAsia"/>
        </w:rPr>
        <w:t>在合同条款或合作机制中，明确不同参与方对特定风险的责任和承担方式的过程。</w:t>
      </w:r>
    </w:p>
    <w:p w14:paraId="11BB0409">
      <w:pPr>
        <w:pStyle w:val="104"/>
        <w:spacing w:before="240" w:after="240" w:line="360" w:lineRule="auto"/>
      </w:pPr>
      <w:bookmarkStart w:id="56" w:name="_Toc209857670"/>
      <w:bookmarkStart w:id="57" w:name="_Toc209948771"/>
      <w:r>
        <w:rPr>
          <w:rFonts w:hint="eastAsia"/>
        </w:rPr>
        <w:t>总体要求</w:t>
      </w:r>
      <w:bookmarkEnd w:id="56"/>
      <w:bookmarkEnd w:id="57"/>
    </w:p>
    <w:p w14:paraId="5EA16C0D">
      <w:pPr>
        <w:pStyle w:val="105"/>
        <w:spacing w:before="120" w:after="120" w:line="360" w:lineRule="auto"/>
      </w:pPr>
      <w:r>
        <w:rPr>
          <w:rFonts w:hint="eastAsia"/>
        </w:rPr>
        <w:t>全面性</w:t>
      </w:r>
    </w:p>
    <w:p w14:paraId="71BB16A5">
      <w:pPr>
        <w:pStyle w:val="56"/>
        <w:spacing w:line="360" w:lineRule="auto"/>
        <w:ind w:firstLine="420"/>
      </w:pPr>
      <w:r>
        <w:rPr>
          <w:rFonts w:hint="eastAsia"/>
        </w:rPr>
        <w:t>风险控制应覆盖清单计价的全过程，包括工程量清单编制、市场价格调查、合同条款拟定、施工过程计量与支付、变更与索赔处理等环节，避免出现风险管理盲区。</w:t>
      </w:r>
    </w:p>
    <w:p w14:paraId="66265987">
      <w:pPr>
        <w:pStyle w:val="105"/>
        <w:spacing w:before="120" w:after="120" w:line="360" w:lineRule="auto"/>
      </w:pPr>
      <w:r>
        <w:rPr>
          <w:rFonts w:hint="eastAsia"/>
        </w:rPr>
        <w:t>动态性</w:t>
      </w:r>
    </w:p>
    <w:p w14:paraId="68458C46">
      <w:pPr>
        <w:pStyle w:val="56"/>
        <w:spacing w:line="360" w:lineRule="auto"/>
        <w:ind w:firstLine="420"/>
      </w:pPr>
      <w:r>
        <w:rPr>
          <w:rFonts w:hint="eastAsia"/>
        </w:rPr>
        <w:t>风险控制应适应市场环境变化、政策调整和施工进度的动态特征，建立动态监测与调整机制，及时识别和应对新出现的风险。</w:t>
      </w:r>
    </w:p>
    <w:p w14:paraId="155E6523">
      <w:pPr>
        <w:pStyle w:val="105"/>
        <w:spacing w:before="120" w:after="120" w:line="360" w:lineRule="auto"/>
      </w:pPr>
      <w:r>
        <w:rPr>
          <w:rFonts w:hint="eastAsia"/>
        </w:rPr>
        <w:t>合理性</w:t>
      </w:r>
    </w:p>
    <w:p w14:paraId="615AAA15">
      <w:pPr>
        <w:pStyle w:val="56"/>
        <w:spacing w:line="360" w:lineRule="auto"/>
        <w:ind w:firstLine="420"/>
      </w:pPr>
      <w:r>
        <w:rPr>
          <w:rFonts w:hint="eastAsia"/>
        </w:rPr>
        <w:t>风险控制措施应与风险等级、工程规模和合同特点相匹配，避免过度控制或控制不足，确保措施具有经济合理性和实施可行性。</w:t>
      </w:r>
    </w:p>
    <w:p w14:paraId="0856E94B">
      <w:pPr>
        <w:pStyle w:val="105"/>
        <w:spacing w:before="120" w:after="120" w:line="360" w:lineRule="auto"/>
      </w:pPr>
      <w:r>
        <w:rPr>
          <w:rFonts w:hint="eastAsia"/>
        </w:rPr>
        <w:t>可追溯性</w:t>
      </w:r>
    </w:p>
    <w:p w14:paraId="0940864A">
      <w:pPr>
        <w:pStyle w:val="56"/>
        <w:spacing w:line="360" w:lineRule="auto"/>
        <w:ind w:firstLine="420"/>
      </w:pPr>
      <w:r>
        <w:rPr>
          <w:rFonts w:hint="eastAsia"/>
        </w:rPr>
        <w:t>在风险识别、评估与控制的过程中，应形成完整的记录和档案，确保风险事件的发生、处置与责任可追溯，为后续纠纷解决和经验积累提供依据。</w:t>
      </w:r>
    </w:p>
    <w:p w14:paraId="5D717AA6">
      <w:pPr>
        <w:pStyle w:val="105"/>
        <w:spacing w:before="120" w:after="120" w:line="360" w:lineRule="auto"/>
      </w:pPr>
      <w:r>
        <w:rPr>
          <w:rFonts w:hint="eastAsia"/>
        </w:rPr>
        <w:t>协同性</w:t>
      </w:r>
    </w:p>
    <w:p w14:paraId="657B2671">
      <w:pPr>
        <w:pStyle w:val="56"/>
        <w:spacing w:line="360" w:lineRule="auto"/>
        <w:ind w:firstLine="420"/>
      </w:pPr>
      <w:r>
        <w:rPr>
          <w:rFonts w:hint="eastAsia"/>
        </w:rPr>
        <w:t>风险控制应兼顾建设单位、施工单位、监理单位、造价咨询机构等多方利益，建立信息共享和责任分担机制，推动各参与方形成风险管理合力。</w:t>
      </w:r>
    </w:p>
    <w:p w14:paraId="568E968C">
      <w:pPr>
        <w:pStyle w:val="105"/>
        <w:spacing w:before="120" w:after="120" w:line="360" w:lineRule="auto"/>
      </w:pPr>
      <w:r>
        <w:rPr>
          <w:rFonts w:hint="eastAsia"/>
        </w:rPr>
        <w:t>信息化</w:t>
      </w:r>
    </w:p>
    <w:p w14:paraId="311204EC">
      <w:pPr>
        <w:pStyle w:val="56"/>
        <w:spacing w:line="360" w:lineRule="auto"/>
        <w:ind w:firstLine="420"/>
      </w:pPr>
      <w:r>
        <w:rPr>
          <w:rFonts w:hint="eastAsia"/>
        </w:rPr>
        <w:t>应充分利用信息化技术和大数据手段，对清单计价相关数据进行实时监测、分析与存储，提升风险识别与控制的智能化水平。</w:t>
      </w:r>
    </w:p>
    <w:p w14:paraId="76B82D50">
      <w:pPr>
        <w:pStyle w:val="104"/>
        <w:spacing w:before="240" w:after="240" w:line="360" w:lineRule="auto"/>
      </w:pPr>
      <w:bookmarkStart w:id="58" w:name="_Toc209857671"/>
      <w:bookmarkStart w:id="59" w:name="_Toc209948772"/>
      <w:r>
        <w:rPr>
          <w:rFonts w:hint="eastAsia"/>
        </w:rPr>
        <w:t>风险识别</w:t>
      </w:r>
      <w:bookmarkEnd w:id="58"/>
      <w:bookmarkEnd w:id="59"/>
    </w:p>
    <w:p w14:paraId="1EF233BE">
      <w:pPr>
        <w:pStyle w:val="105"/>
        <w:spacing w:before="120" w:after="120" w:line="360" w:lineRule="auto"/>
      </w:pPr>
      <w:r>
        <w:rPr>
          <w:rFonts w:hint="eastAsia"/>
        </w:rPr>
        <w:t>一般要求</w:t>
      </w:r>
    </w:p>
    <w:p w14:paraId="4CB7D48B">
      <w:pPr>
        <w:pStyle w:val="56"/>
        <w:spacing w:line="360" w:lineRule="auto"/>
        <w:ind w:firstLine="420"/>
      </w:pPr>
      <w:r>
        <w:rPr>
          <w:rFonts w:hint="eastAsia"/>
        </w:rPr>
        <w:t>风险识别应覆盖清单计价的全过程，既包括前期编制环节，也包括合同执行和竣工结算阶段。识别方法可采用专家访谈、历史案例分析、数据建模和情景模拟等方式。</w:t>
      </w:r>
    </w:p>
    <w:p w14:paraId="15626629">
      <w:pPr>
        <w:pStyle w:val="105"/>
        <w:spacing w:before="120" w:after="120" w:line="360" w:lineRule="auto"/>
      </w:pPr>
      <w:r>
        <w:rPr>
          <w:rFonts w:hint="eastAsia"/>
        </w:rPr>
        <w:t>风险来源分类</w:t>
      </w:r>
    </w:p>
    <w:p w14:paraId="7AF5E684">
      <w:pPr>
        <w:pStyle w:val="56"/>
        <w:spacing w:line="360" w:lineRule="auto"/>
        <w:ind w:firstLine="420"/>
      </w:pPr>
      <w:r>
        <w:rPr>
          <w:rFonts w:hint="eastAsia"/>
        </w:rPr>
        <w:t>清单计价风险主要来源于市场因素、政策因素、合同管理因素、技术因素和管理因素等方面。每类风险具有不同的表现形式和控制难点，应分别加以识别。清单计价风险分类见表1。</w:t>
      </w:r>
    </w:p>
    <w:p w14:paraId="505F88B1">
      <w:pPr>
        <w:pStyle w:val="112"/>
        <w:spacing w:before="120" w:after="120" w:line="360" w:lineRule="auto"/>
      </w:pPr>
      <w:r>
        <w:rPr>
          <w:rFonts w:hint="eastAsia"/>
        </w:rPr>
        <w:t>清单计价风险分类</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3969"/>
        <w:gridCol w:w="4241"/>
      </w:tblGrid>
      <w:tr w14:paraId="3D4AA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tcPr>
          <w:p w14:paraId="4A7262A3">
            <w:pPr>
              <w:pStyle w:val="178"/>
            </w:pPr>
            <w:r>
              <w:rPr>
                <w:rFonts w:hint="eastAsia"/>
              </w:rPr>
              <w:t>风险类别</w:t>
            </w:r>
          </w:p>
        </w:tc>
        <w:tc>
          <w:tcPr>
            <w:tcW w:w="3969" w:type="dxa"/>
            <w:tcBorders>
              <w:top w:val="single" w:color="auto" w:sz="8" w:space="0"/>
              <w:bottom w:val="single" w:color="auto" w:sz="8" w:space="0"/>
            </w:tcBorders>
          </w:tcPr>
          <w:p w14:paraId="213ED691">
            <w:pPr>
              <w:pStyle w:val="178"/>
            </w:pPr>
            <w:r>
              <w:rPr>
                <w:rFonts w:hint="eastAsia"/>
              </w:rPr>
              <w:t>主要风险因素</w:t>
            </w:r>
          </w:p>
        </w:tc>
        <w:tc>
          <w:tcPr>
            <w:tcW w:w="4241" w:type="dxa"/>
            <w:tcBorders>
              <w:top w:val="single" w:color="auto" w:sz="8" w:space="0"/>
              <w:bottom w:val="single" w:color="auto" w:sz="8" w:space="0"/>
            </w:tcBorders>
          </w:tcPr>
          <w:p w14:paraId="02BA39DE">
            <w:pPr>
              <w:pStyle w:val="178"/>
            </w:pPr>
            <w:r>
              <w:rPr>
                <w:rFonts w:hint="eastAsia"/>
              </w:rPr>
              <w:t>典型表现形式</w:t>
            </w:r>
          </w:p>
        </w:tc>
      </w:tr>
      <w:tr w14:paraId="053609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tcPr>
          <w:p w14:paraId="7508B47C">
            <w:pPr>
              <w:pStyle w:val="178"/>
            </w:pPr>
            <w:r>
              <w:rPr>
                <w:rFonts w:hint="eastAsia"/>
              </w:rPr>
              <w:t>市场风险</w:t>
            </w:r>
          </w:p>
        </w:tc>
        <w:tc>
          <w:tcPr>
            <w:tcW w:w="3969" w:type="dxa"/>
            <w:tcBorders>
              <w:top w:val="single" w:color="auto" w:sz="8" w:space="0"/>
            </w:tcBorders>
          </w:tcPr>
          <w:p w14:paraId="6A00FC78">
            <w:pPr>
              <w:pStyle w:val="178"/>
            </w:pPr>
            <w:r>
              <w:rPr>
                <w:rFonts w:hint="eastAsia"/>
              </w:rPr>
              <w:t>材料价格波动、人工费变化、汇率与利率波动</w:t>
            </w:r>
          </w:p>
        </w:tc>
        <w:tc>
          <w:tcPr>
            <w:tcW w:w="4241" w:type="dxa"/>
            <w:tcBorders>
              <w:top w:val="single" w:color="auto" w:sz="8" w:space="0"/>
            </w:tcBorders>
          </w:tcPr>
          <w:p w14:paraId="42E27883">
            <w:pPr>
              <w:pStyle w:val="178"/>
            </w:pPr>
            <w:r>
              <w:rPr>
                <w:rFonts w:hint="eastAsia"/>
              </w:rPr>
              <w:t>材料费超支、人工成本上升、进口设备费用增加</w:t>
            </w:r>
          </w:p>
        </w:tc>
      </w:tr>
      <w:tr w14:paraId="0BF82C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050A665B">
            <w:pPr>
              <w:pStyle w:val="178"/>
            </w:pPr>
            <w:r>
              <w:rPr>
                <w:rFonts w:hint="eastAsia"/>
              </w:rPr>
              <w:t>政策风险</w:t>
            </w:r>
          </w:p>
        </w:tc>
        <w:tc>
          <w:tcPr>
            <w:tcW w:w="3969" w:type="dxa"/>
          </w:tcPr>
          <w:p w14:paraId="7B055938">
            <w:pPr>
              <w:pStyle w:val="178"/>
            </w:pPr>
            <w:r>
              <w:rPr>
                <w:rFonts w:hint="eastAsia"/>
              </w:rPr>
              <w:t>税费制度改革、法律法规调整、政策导向变化</w:t>
            </w:r>
          </w:p>
        </w:tc>
        <w:tc>
          <w:tcPr>
            <w:tcW w:w="4241" w:type="dxa"/>
          </w:tcPr>
          <w:p w14:paraId="173CA0F9">
            <w:pPr>
              <w:pStyle w:val="178"/>
            </w:pPr>
            <w:r>
              <w:rPr>
                <w:rFonts w:hint="eastAsia"/>
              </w:rPr>
              <w:t>税费负担增加、合同条款不符合法规</w:t>
            </w:r>
          </w:p>
        </w:tc>
      </w:tr>
      <w:tr w14:paraId="6599A9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4ABDCB87">
            <w:pPr>
              <w:pStyle w:val="178"/>
            </w:pPr>
            <w:r>
              <w:rPr>
                <w:rFonts w:hint="eastAsia"/>
              </w:rPr>
              <w:t>合同风险</w:t>
            </w:r>
          </w:p>
        </w:tc>
        <w:tc>
          <w:tcPr>
            <w:tcW w:w="3969" w:type="dxa"/>
          </w:tcPr>
          <w:p w14:paraId="6E35E2B7">
            <w:pPr>
              <w:pStyle w:val="178"/>
            </w:pPr>
            <w:r>
              <w:rPr>
                <w:rFonts w:hint="eastAsia"/>
              </w:rPr>
              <w:t>合同条款不完善、风险分担不合理、信息不对称</w:t>
            </w:r>
          </w:p>
        </w:tc>
        <w:tc>
          <w:tcPr>
            <w:tcW w:w="4241" w:type="dxa"/>
          </w:tcPr>
          <w:p w14:paraId="24477D2B">
            <w:pPr>
              <w:pStyle w:val="178"/>
            </w:pPr>
            <w:r>
              <w:rPr>
                <w:rFonts w:hint="eastAsia"/>
              </w:rPr>
              <w:t>索赔争议频发、合同履约纠纷</w:t>
            </w:r>
          </w:p>
        </w:tc>
      </w:tr>
      <w:tr w14:paraId="09B2F7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530EF729">
            <w:pPr>
              <w:pStyle w:val="178"/>
            </w:pPr>
            <w:r>
              <w:rPr>
                <w:rFonts w:hint="eastAsia"/>
              </w:rPr>
              <w:t>技术风险</w:t>
            </w:r>
          </w:p>
        </w:tc>
        <w:tc>
          <w:tcPr>
            <w:tcW w:w="3969" w:type="dxa"/>
          </w:tcPr>
          <w:p w14:paraId="002CCB45">
            <w:pPr>
              <w:pStyle w:val="178"/>
            </w:pPr>
            <w:r>
              <w:rPr>
                <w:rFonts w:hint="eastAsia"/>
              </w:rPr>
              <w:t>设计变更、工程量偏差、施工方法不当</w:t>
            </w:r>
          </w:p>
        </w:tc>
        <w:tc>
          <w:tcPr>
            <w:tcW w:w="4241" w:type="dxa"/>
          </w:tcPr>
          <w:p w14:paraId="517ED4B5">
            <w:pPr>
              <w:pStyle w:val="178"/>
            </w:pPr>
            <w:r>
              <w:rPr>
                <w:rFonts w:hint="eastAsia"/>
              </w:rPr>
              <w:t>造价失真、施工成本增加</w:t>
            </w:r>
          </w:p>
        </w:tc>
      </w:tr>
      <w:tr w14:paraId="4FF9B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Pr>
          <w:p w14:paraId="31DD1A1B">
            <w:pPr>
              <w:pStyle w:val="178"/>
            </w:pPr>
            <w:r>
              <w:rPr>
                <w:rFonts w:hint="eastAsia"/>
              </w:rPr>
              <w:t>管理风险</w:t>
            </w:r>
          </w:p>
        </w:tc>
        <w:tc>
          <w:tcPr>
            <w:tcW w:w="3969" w:type="dxa"/>
          </w:tcPr>
          <w:p w14:paraId="0A3F58B3">
            <w:pPr>
              <w:pStyle w:val="178"/>
            </w:pPr>
            <w:r>
              <w:rPr>
                <w:rFonts w:hint="eastAsia"/>
              </w:rPr>
              <w:t>信息传递不畅、经验不足、内部控制薄弱</w:t>
            </w:r>
          </w:p>
        </w:tc>
        <w:tc>
          <w:tcPr>
            <w:tcW w:w="4241" w:type="dxa"/>
          </w:tcPr>
          <w:p w14:paraId="3B3A8B2B">
            <w:pPr>
              <w:pStyle w:val="178"/>
            </w:pPr>
            <w:r>
              <w:rPr>
                <w:rFonts w:hint="eastAsia"/>
              </w:rPr>
              <w:t>预算偏差大、数据不完整</w:t>
            </w:r>
          </w:p>
        </w:tc>
      </w:tr>
    </w:tbl>
    <w:p w14:paraId="56F2D4E4">
      <w:pPr>
        <w:pStyle w:val="105"/>
        <w:spacing w:before="120" w:after="120" w:line="360" w:lineRule="auto"/>
      </w:pPr>
      <w:r>
        <w:rPr>
          <w:rFonts w:hint="eastAsia"/>
        </w:rPr>
        <w:t>风险识别结果应用</w:t>
      </w:r>
    </w:p>
    <w:p w14:paraId="45A9199F">
      <w:pPr>
        <w:pStyle w:val="56"/>
        <w:spacing w:line="360" w:lineRule="auto"/>
        <w:ind w:firstLine="420"/>
      </w:pPr>
      <w:r>
        <w:rPr>
          <w:rFonts w:hint="eastAsia"/>
        </w:rPr>
        <w:t>风险识别结果应形成清单计价风险识别清单，并作为后续风险评估和控制措施制定的基础。识别结果宜通过信息化平台进行存储与更新，确保其动态性和可追溯性。</w:t>
      </w:r>
    </w:p>
    <w:p w14:paraId="3FEABAC0">
      <w:pPr>
        <w:pStyle w:val="104"/>
        <w:spacing w:before="240" w:after="240" w:line="360" w:lineRule="auto"/>
      </w:pPr>
      <w:bookmarkStart w:id="60" w:name="_Toc209857672"/>
      <w:bookmarkStart w:id="61" w:name="_Toc209948773"/>
      <w:r>
        <w:rPr>
          <w:rFonts w:hint="eastAsia"/>
        </w:rPr>
        <w:t>风险评估</w:t>
      </w:r>
      <w:bookmarkEnd w:id="60"/>
      <w:bookmarkEnd w:id="61"/>
    </w:p>
    <w:p w14:paraId="7CA6C577">
      <w:pPr>
        <w:pStyle w:val="105"/>
        <w:spacing w:before="120" w:after="120" w:line="360" w:lineRule="auto"/>
      </w:pPr>
      <w:r>
        <w:rPr>
          <w:rFonts w:hint="eastAsia"/>
        </w:rPr>
        <w:t>一般要求</w:t>
      </w:r>
    </w:p>
    <w:p w14:paraId="24F24F0F">
      <w:pPr>
        <w:pStyle w:val="56"/>
        <w:spacing w:line="360" w:lineRule="auto"/>
        <w:ind w:firstLine="420"/>
      </w:pPr>
      <w:r>
        <w:rPr>
          <w:rFonts w:hint="eastAsia"/>
        </w:rPr>
        <w:t>风险评估应遵循客观性、系统性和可操作性原则。评估方法可包括定性分析、定量计算或两者结合。对重要工程项目，应优先采用定性与定量结合的综合评估方法。</w:t>
      </w:r>
    </w:p>
    <w:p w14:paraId="7FC9BF02">
      <w:pPr>
        <w:pStyle w:val="105"/>
        <w:spacing w:before="120" w:after="120" w:line="360" w:lineRule="auto"/>
      </w:pPr>
      <w:r>
        <w:rPr>
          <w:rFonts w:hint="eastAsia"/>
        </w:rPr>
        <w:t>评估要素</w:t>
      </w:r>
    </w:p>
    <w:p w14:paraId="79B19E8B">
      <w:pPr>
        <w:pStyle w:val="56"/>
        <w:spacing w:line="360" w:lineRule="auto"/>
        <w:ind w:firstLine="420"/>
      </w:pPr>
      <w:r>
        <w:rPr>
          <w:rFonts w:hint="eastAsia"/>
        </w:rPr>
        <w:t>风险评估应至少考虑以下两个核心要素：</w:t>
      </w:r>
    </w:p>
    <w:p w14:paraId="09FF4E0E">
      <w:pPr>
        <w:pStyle w:val="132"/>
        <w:spacing w:line="360" w:lineRule="auto"/>
      </w:pPr>
      <w:r>
        <w:rPr>
          <w:rFonts w:hint="eastAsia"/>
        </w:rPr>
        <w:t>发生可能性：风险事件在计价过程中发生的概率；</w:t>
      </w:r>
    </w:p>
    <w:p w14:paraId="2CBD3E7E">
      <w:pPr>
        <w:pStyle w:val="132"/>
        <w:spacing w:line="360" w:lineRule="auto"/>
      </w:pPr>
      <w:r>
        <w:rPr>
          <w:rFonts w:hint="eastAsia"/>
        </w:rPr>
        <w:t>影响程度：风险事件对造价偏差、合同履行和经济效益的影响范围与严重性。</w:t>
      </w:r>
    </w:p>
    <w:p w14:paraId="3FFD8CEE">
      <w:pPr>
        <w:pStyle w:val="56"/>
        <w:spacing w:line="360" w:lineRule="auto"/>
        <w:ind w:firstLine="420"/>
      </w:pPr>
      <w:r>
        <w:rPr>
          <w:rFonts w:hint="eastAsia"/>
        </w:rPr>
        <w:t>必要时，可引入风险暴露值（风险等级 = 发生可能性 × 影响程度）作为排序依据。</w:t>
      </w:r>
    </w:p>
    <w:p w14:paraId="10F044F6">
      <w:pPr>
        <w:pStyle w:val="105"/>
        <w:spacing w:before="120" w:after="120" w:line="360" w:lineRule="auto"/>
      </w:pPr>
      <w:r>
        <w:rPr>
          <w:rFonts w:hint="eastAsia"/>
        </w:rPr>
        <w:t>评估方法</w:t>
      </w:r>
    </w:p>
    <w:p w14:paraId="6C923A5A">
      <w:pPr>
        <w:pStyle w:val="56"/>
        <w:spacing w:line="360" w:lineRule="auto"/>
        <w:ind w:firstLine="420"/>
      </w:pPr>
      <w:r>
        <w:rPr>
          <w:rFonts w:hint="eastAsia"/>
        </w:rPr>
        <w:t>风险评估方法可根据工程规模和数据可得性选择，包括：</w:t>
      </w:r>
    </w:p>
    <w:p w14:paraId="582629EC">
      <w:pPr>
        <w:pStyle w:val="132"/>
        <w:spacing w:line="360" w:lineRule="auto"/>
      </w:pPr>
      <w:r>
        <w:rPr>
          <w:rFonts w:hint="eastAsia"/>
        </w:rPr>
        <w:t>专家打分法；</w:t>
      </w:r>
    </w:p>
    <w:p w14:paraId="2108772A">
      <w:pPr>
        <w:pStyle w:val="132"/>
        <w:spacing w:line="360" w:lineRule="auto"/>
      </w:pPr>
      <w:r>
        <w:rPr>
          <w:rFonts w:hint="eastAsia"/>
        </w:rPr>
        <w:t>德尔菲法；</w:t>
      </w:r>
    </w:p>
    <w:p w14:paraId="402BDA74">
      <w:pPr>
        <w:pStyle w:val="132"/>
        <w:spacing w:line="360" w:lineRule="auto"/>
      </w:pPr>
      <w:r>
        <w:rPr>
          <w:rFonts w:hint="eastAsia"/>
        </w:rPr>
        <w:t>模糊综合评价法；</w:t>
      </w:r>
    </w:p>
    <w:p w14:paraId="5A9224E1">
      <w:pPr>
        <w:pStyle w:val="132"/>
        <w:spacing w:line="360" w:lineRule="auto"/>
      </w:pPr>
      <w:r>
        <w:rPr>
          <w:rFonts w:hint="eastAsia"/>
        </w:rPr>
        <w:t>蒙特卡洛模拟；</w:t>
      </w:r>
    </w:p>
    <w:p w14:paraId="44E28E09">
      <w:pPr>
        <w:pStyle w:val="132"/>
        <w:spacing w:line="360" w:lineRule="auto"/>
      </w:pPr>
      <w:r>
        <w:rPr>
          <w:rFonts w:hint="eastAsia"/>
        </w:rPr>
        <w:t>风险价值法（VaR）。</w:t>
      </w:r>
    </w:p>
    <w:p w14:paraId="57E46D6D">
      <w:pPr>
        <w:pStyle w:val="105"/>
        <w:spacing w:before="120" w:after="120" w:line="360" w:lineRule="auto"/>
      </w:pPr>
      <w:r>
        <w:rPr>
          <w:rFonts w:hint="eastAsia"/>
        </w:rPr>
        <w:t>评估结果应用</w:t>
      </w:r>
    </w:p>
    <w:p w14:paraId="7146D0AD">
      <w:pPr>
        <w:pStyle w:val="56"/>
        <w:spacing w:line="360" w:lineRule="auto"/>
        <w:ind w:firstLine="420"/>
      </w:pPr>
      <w:r>
        <w:rPr>
          <w:rFonts w:hint="eastAsia"/>
        </w:rPr>
        <w:t>评估结果应以分级形式表达，通常分为高风险、中风险和低风险三个等级。高风险事件应作为重点控制对象，中风险事件应纳入日常监控，低风险事件则可进行常规管理。清单计价风险评估矩阵见表2。</w:t>
      </w:r>
    </w:p>
    <w:p w14:paraId="2B0D3745">
      <w:pPr>
        <w:pStyle w:val="112"/>
        <w:spacing w:before="120" w:after="120" w:line="360" w:lineRule="auto"/>
      </w:pPr>
      <w:r>
        <w:rPr>
          <w:rFonts w:hint="eastAsia"/>
        </w:rPr>
        <w:t>清单计价风险评估矩阵</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1AA3B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272215A3">
            <w:pPr>
              <w:pStyle w:val="178"/>
            </w:pPr>
            <w:r>
              <w:rPr>
                <w:rFonts w:hint="eastAsia"/>
              </w:rPr>
              <w:t>影响程度＼发生可能性</w:t>
            </w:r>
          </w:p>
        </w:tc>
        <w:tc>
          <w:tcPr>
            <w:tcW w:w="3112" w:type="dxa"/>
            <w:tcBorders>
              <w:top w:val="single" w:color="auto" w:sz="8" w:space="0"/>
              <w:bottom w:val="single" w:color="auto" w:sz="8" w:space="0"/>
            </w:tcBorders>
          </w:tcPr>
          <w:p w14:paraId="61A4DA0A">
            <w:pPr>
              <w:pStyle w:val="178"/>
            </w:pPr>
            <w:r>
              <w:rPr>
                <w:rFonts w:hint="eastAsia"/>
              </w:rPr>
              <w:t>低（1）</w:t>
            </w:r>
          </w:p>
        </w:tc>
        <w:tc>
          <w:tcPr>
            <w:tcW w:w="3112" w:type="dxa"/>
            <w:tcBorders>
              <w:top w:val="single" w:color="auto" w:sz="8" w:space="0"/>
              <w:bottom w:val="single" w:color="auto" w:sz="8" w:space="0"/>
            </w:tcBorders>
          </w:tcPr>
          <w:p w14:paraId="0C4DAAF2">
            <w:pPr>
              <w:pStyle w:val="178"/>
            </w:pPr>
            <w:r>
              <w:rPr>
                <w:rFonts w:hint="eastAsia"/>
              </w:rPr>
              <w:t>中（2）</w:t>
            </w:r>
          </w:p>
        </w:tc>
      </w:tr>
      <w:tr w14:paraId="0096B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167C1DF6">
            <w:pPr>
              <w:pStyle w:val="178"/>
            </w:pPr>
            <w:r>
              <w:rPr>
                <w:rFonts w:hint="eastAsia"/>
              </w:rPr>
              <w:t>轻微（1）</w:t>
            </w:r>
          </w:p>
        </w:tc>
        <w:tc>
          <w:tcPr>
            <w:tcW w:w="3112" w:type="dxa"/>
            <w:tcBorders>
              <w:top w:val="single" w:color="auto" w:sz="8" w:space="0"/>
            </w:tcBorders>
          </w:tcPr>
          <w:p w14:paraId="32961220">
            <w:pPr>
              <w:pStyle w:val="178"/>
            </w:pPr>
            <w:r>
              <w:rPr>
                <w:rFonts w:hint="eastAsia"/>
              </w:rPr>
              <w:t>低风险</w:t>
            </w:r>
          </w:p>
        </w:tc>
        <w:tc>
          <w:tcPr>
            <w:tcW w:w="3112" w:type="dxa"/>
            <w:tcBorders>
              <w:top w:val="single" w:color="auto" w:sz="8" w:space="0"/>
            </w:tcBorders>
          </w:tcPr>
          <w:p w14:paraId="42423276">
            <w:pPr>
              <w:pStyle w:val="178"/>
            </w:pPr>
            <w:r>
              <w:rPr>
                <w:rFonts w:hint="eastAsia"/>
              </w:rPr>
              <w:t>低风险</w:t>
            </w:r>
          </w:p>
        </w:tc>
      </w:tr>
      <w:tr w14:paraId="1B12F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0A037EF">
            <w:pPr>
              <w:pStyle w:val="178"/>
            </w:pPr>
            <w:r>
              <w:rPr>
                <w:rFonts w:hint="eastAsia"/>
              </w:rPr>
              <w:t>一般（2）</w:t>
            </w:r>
          </w:p>
        </w:tc>
        <w:tc>
          <w:tcPr>
            <w:tcW w:w="3112" w:type="dxa"/>
          </w:tcPr>
          <w:p w14:paraId="0D8EA90A">
            <w:pPr>
              <w:pStyle w:val="178"/>
            </w:pPr>
            <w:r>
              <w:rPr>
                <w:rFonts w:hint="eastAsia"/>
              </w:rPr>
              <w:t>低风险</w:t>
            </w:r>
          </w:p>
        </w:tc>
        <w:tc>
          <w:tcPr>
            <w:tcW w:w="3112" w:type="dxa"/>
          </w:tcPr>
          <w:p w14:paraId="34F7A21D">
            <w:pPr>
              <w:pStyle w:val="178"/>
            </w:pPr>
            <w:r>
              <w:rPr>
                <w:rFonts w:hint="eastAsia"/>
              </w:rPr>
              <w:t>中风险</w:t>
            </w:r>
          </w:p>
        </w:tc>
      </w:tr>
      <w:tr w14:paraId="7AA2C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bottom w:val="single" w:color="auto" w:sz="8" w:space="0"/>
            </w:tcBorders>
          </w:tcPr>
          <w:p w14:paraId="4223DF43">
            <w:pPr>
              <w:pStyle w:val="178"/>
            </w:pPr>
            <w:r>
              <w:rPr>
                <w:rFonts w:hint="eastAsia"/>
              </w:rPr>
              <w:t>严重（3）</w:t>
            </w:r>
          </w:p>
        </w:tc>
        <w:tc>
          <w:tcPr>
            <w:tcW w:w="3112" w:type="dxa"/>
            <w:tcBorders>
              <w:bottom w:val="single" w:color="auto" w:sz="8" w:space="0"/>
            </w:tcBorders>
          </w:tcPr>
          <w:p w14:paraId="7538E737">
            <w:pPr>
              <w:pStyle w:val="178"/>
            </w:pPr>
            <w:r>
              <w:rPr>
                <w:rFonts w:hint="eastAsia"/>
              </w:rPr>
              <w:t>中风险</w:t>
            </w:r>
          </w:p>
        </w:tc>
        <w:tc>
          <w:tcPr>
            <w:tcW w:w="3112" w:type="dxa"/>
            <w:tcBorders>
              <w:bottom w:val="single" w:color="auto" w:sz="8" w:space="0"/>
            </w:tcBorders>
          </w:tcPr>
          <w:p w14:paraId="230B1148">
            <w:pPr>
              <w:pStyle w:val="178"/>
            </w:pPr>
            <w:r>
              <w:rPr>
                <w:rFonts w:hint="eastAsia"/>
              </w:rPr>
              <w:t>高风险</w:t>
            </w:r>
          </w:p>
        </w:tc>
      </w:tr>
      <w:tr w14:paraId="13010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8" w:space="0"/>
              <w:bottom w:val="single" w:color="auto" w:sz="8" w:space="0"/>
            </w:tcBorders>
            <w:vAlign w:val="center"/>
          </w:tcPr>
          <w:p w14:paraId="1CFC381A">
            <w:pPr>
              <w:pStyle w:val="179"/>
            </w:pPr>
            <w:r>
              <w:rPr>
                <w:rFonts w:hint="eastAsia"/>
              </w:rPr>
              <w:t>风险等级可根据项目特点调整分级标准。</w:t>
            </w:r>
          </w:p>
        </w:tc>
      </w:tr>
    </w:tbl>
    <w:p w14:paraId="348CE89C">
      <w:pPr>
        <w:pStyle w:val="105"/>
        <w:spacing w:before="120" w:after="120" w:line="360" w:lineRule="auto"/>
      </w:pPr>
      <w:r>
        <w:rPr>
          <w:rFonts w:hint="eastAsia"/>
        </w:rPr>
        <w:t>评估报告</w:t>
      </w:r>
    </w:p>
    <w:p w14:paraId="1BBE4C03">
      <w:pPr>
        <w:pStyle w:val="56"/>
        <w:spacing w:line="360" w:lineRule="auto"/>
        <w:ind w:firstLine="420"/>
      </w:pPr>
      <w:r>
        <w:rPr>
          <w:rFonts w:hint="eastAsia"/>
        </w:rPr>
        <w:t>风险评估应形成书面报告，内容包括：风险识别清单、评估方法、评估过程、分级结果及应用建议。报告应归档保存，并为后续风险控制措施的制定提供支撑。</w:t>
      </w:r>
    </w:p>
    <w:p w14:paraId="5254A2C5">
      <w:pPr>
        <w:pStyle w:val="104"/>
        <w:spacing w:before="240" w:after="240" w:line="360" w:lineRule="auto"/>
      </w:pPr>
      <w:bookmarkStart w:id="62" w:name="_Toc209948774"/>
      <w:bookmarkStart w:id="63" w:name="_Toc209857673"/>
      <w:r>
        <w:rPr>
          <w:rFonts w:hint="eastAsia"/>
        </w:rPr>
        <w:t>风险控制措施</w:t>
      </w:r>
      <w:bookmarkEnd w:id="62"/>
      <w:bookmarkEnd w:id="63"/>
    </w:p>
    <w:p w14:paraId="2D89C4CF">
      <w:pPr>
        <w:pStyle w:val="105"/>
        <w:spacing w:before="120" w:after="120" w:line="360" w:lineRule="auto"/>
      </w:pPr>
      <w:r>
        <w:rPr>
          <w:rFonts w:hint="eastAsia"/>
        </w:rPr>
        <w:t>一般要求</w:t>
      </w:r>
    </w:p>
    <w:p w14:paraId="1950015C">
      <w:pPr>
        <w:pStyle w:val="56"/>
        <w:spacing w:line="360" w:lineRule="auto"/>
        <w:ind w:firstLine="420"/>
      </w:pPr>
      <w:r>
        <w:rPr>
          <w:rFonts w:hint="eastAsia"/>
        </w:rPr>
        <w:t>风险控制措施应与风险等级和项目特点相匹配，遵循经济合理、责任明确、可操作性强的原则。在实施过程中，应动态跟踪控制效果，并根据市场环境和项目条件的变化及时调整。</w:t>
      </w:r>
    </w:p>
    <w:p w14:paraId="14C0BBD4">
      <w:pPr>
        <w:pStyle w:val="105"/>
        <w:spacing w:before="120" w:after="120" w:line="360" w:lineRule="auto"/>
      </w:pPr>
      <w:r>
        <w:rPr>
          <w:rFonts w:hint="eastAsia"/>
        </w:rPr>
        <w:t>合同风险控制</w:t>
      </w:r>
    </w:p>
    <w:p w14:paraId="40F27760">
      <w:pPr>
        <w:pStyle w:val="56"/>
        <w:spacing w:line="360" w:lineRule="auto"/>
        <w:ind w:firstLine="420"/>
      </w:pPr>
      <w:r>
        <w:rPr>
          <w:rFonts w:hint="eastAsia"/>
        </w:rPr>
        <w:t>在合同编制与履行过程中，应通过完善合同条款、明确责任边界和细化风险分担机制来控制风险。关键措施包括：设置价格调整条款、明确索赔程序、建立争议解决机制和引入担保与保险。</w:t>
      </w:r>
    </w:p>
    <w:p w14:paraId="49E185A0">
      <w:pPr>
        <w:pStyle w:val="105"/>
        <w:spacing w:before="120" w:after="120" w:line="360" w:lineRule="auto"/>
      </w:pPr>
      <w:r>
        <w:rPr>
          <w:rFonts w:hint="eastAsia"/>
        </w:rPr>
        <w:t>市场风险控制</w:t>
      </w:r>
    </w:p>
    <w:p w14:paraId="6BD01C0C">
      <w:pPr>
        <w:pStyle w:val="56"/>
        <w:spacing w:line="360" w:lineRule="auto"/>
        <w:ind w:firstLine="420"/>
      </w:pPr>
      <w:r>
        <w:rPr>
          <w:rFonts w:hint="eastAsia"/>
        </w:rPr>
        <w:t>针对材料、人工及机械价格波动，应加强市场调研，建立价格信息数据库，推行动态单价调整机制，并在必要时采用期货、长协采购等方式锁定成本。</w:t>
      </w:r>
    </w:p>
    <w:p w14:paraId="4C19B4E5">
      <w:pPr>
        <w:pStyle w:val="105"/>
        <w:spacing w:before="120" w:after="120" w:line="360" w:lineRule="auto"/>
      </w:pPr>
      <w:r>
        <w:rPr>
          <w:rFonts w:hint="eastAsia"/>
        </w:rPr>
        <w:t>技术风险控制</w:t>
      </w:r>
    </w:p>
    <w:p w14:paraId="113D842B">
      <w:pPr>
        <w:pStyle w:val="56"/>
        <w:spacing w:line="360" w:lineRule="auto"/>
        <w:ind w:firstLine="420"/>
      </w:pPr>
      <w:r>
        <w:rPr>
          <w:rFonts w:hint="eastAsia"/>
        </w:rPr>
        <w:t>应加强设计文件审查与复核，减少工程量清单与实际施工的偏差。对于复杂工艺，应在清单中设置风险预备项，防止因设计变更和技术不确定性导致造价偏差。</w:t>
      </w:r>
    </w:p>
    <w:p w14:paraId="3AD8C802">
      <w:pPr>
        <w:pStyle w:val="105"/>
        <w:spacing w:before="120" w:after="120" w:line="360" w:lineRule="auto"/>
      </w:pPr>
      <w:r>
        <w:rPr>
          <w:rFonts w:hint="eastAsia"/>
        </w:rPr>
        <w:t>管理风险控制</w:t>
      </w:r>
    </w:p>
    <w:p w14:paraId="297DD95C">
      <w:pPr>
        <w:pStyle w:val="56"/>
        <w:spacing w:line="360" w:lineRule="auto"/>
        <w:ind w:firstLine="420"/>
      </w:pPr>
      <w:r>
        <w:rPr>
          <w:rFonts w:hint="eastAsia"/>
        </w:rPr>
        <w:t>应通过健全内部控制制度和信息化平台建设来降低管理风险。措施包括：建立清单计价审核机制、加强人员培训、推行BIM与造价大数据分析，实现全过程动态管控。</w:t>
      </w:r>
    </w:p>
    <w:p w14:paraId="47FB220D">
      <w:pPr>
        <w:pStyle w:val="105"/>
        <w:spacing w:before="120" w:after="120" w:line="360" w:lineRule="auto"/>
      </w:pPr>
      <w:r>
        <w:rPr>
          <w:rFonts w:hint="eastAsia"/>
        </w:rPr>
        <w:t>风险分担与转移</w:t>
      </w:r>
    </w:p>
    <w:p w14:paraId="28983A27">
      <w:pPr>
        <w:pStyle w:val="56"/>
        <w:spacing w:line="360" w:lineRule="auto"/>
        <w:ind w:firstLine="420"/>
      </w:pPr>
      <w:r>
        <w:rPr>
          <w:rFonts w:hint="eastAsia"/>
        </w:rPr>
        <w:t>对难以避免的风险，可通过保险、担保或风险共担机制进行分散与转移。例如，采用工程保险覆盖自然灾害风险，利用合同条款合理分担不可抗力风险。</w:t>
      </w:r>
    </w:p>
    <w:p w14:paraId="3CAAE49C">
      <w:pPr>
        <w:pStyle w:val="104"/>
        <w:spacing w:before="240" w:after="240" w:line="360" w:lineRule="auto"/>
      </w:pPr>
      <w:bookmarkStart w:id="64" w:name="_Toc209857674"/>
      <w:bookmarkStart w:id="65" w:name="_Toc209948775"/>
      <w:r>
        <w:rPr>
          <w:rFonts w:hint="eastAsia"/>
        </w:rPr>
        <w:t>风险管理流程</w:t>
      </w:r>
      <w:bookmarkEnd w:id="64"/>
      <w:bookmarkEnd w:id="65"/>
    </w:p>
    <w:p w14:paraId="6D5FAD72">
      <w:pPr>
        <w:pStyle w:val="105"/>
        <w:spacing w:before="120" w:after="120" w:line="360" w:lineRule="auto"/>
      </w:pPr>
      <w:r>
        <w:rPr>
          <w:rFonts w:hint="eastAsia"/>
        </w:rPr>
        <w:t>一般要求</w:t>
      </w:r>
    </w:p>
    <w:p w14:paraId="0A8DDA50">
      <w:pPr>
        <w:pStyle w:val="56"/>
        <w:spacing w:line="360" w:lineRule="auto"/>
        <w:ind w:firstLine="420"/>
      </w:pPr>
      <w:r>
        <w:rPr>
          <w:rFonts w:hint="eastAsia"/>
        </w:rPr>
        <w:t>风险管理流程应遵循闭环管理原则，确保风险控制措施能够被实施、监督、反馈和改进。全过程管理应与工程项目进度和合同执行情况相结合。</w:t>
      </w:r>
    </w:p>
    <w:p w14:paraId="49C7748F">
      <w:pPr>
        <w:pStyle w:val="105"/>
        <w:spacing w:before="120" w:after="120" w:line="360" w:lineRule="auto"/>
      </w:pPr>
      <w:r>
        <w:rPr>
          <w:rFonts w:hint="eastAsia"/>
        </w:rPr>
        <w:t>风险识别</w:t>
      </w:r>
    </w:p>
    <w:p w14:paraId="03CF6DE4">
      <w:pPr>
        <w:pStyle w:val="56"/>
        <w:spacing w:line="360" w:lineRule="auto"/>
        <w:ind w:firstLine="420"/>
      </w:pPr>
      <w:r>
        <w:rPr>
          <w:rFonts w:hint="eastAsia"/>
        </w:rPr>
        <w:t>在清单编制、合同拟定和施工准备阶段，对市场、政策、技术和合同条款等方面的潜在风险进行全面梳理，形成风险清单。</w:t>
      </w:r>
    </w:p>
    <w:p w14:paraId="63ADE569">
      <w:pPr>
        <w:pStyle w:val="105"/>
        <w:spacing w:before="120" w:after="120" w:line="360" w:lineRule="auto"/>
      </w:pPr>
      <w:r>
        <w:rPr>
          <w:rFonts w:hint="eastAsia"/>
        </w:rPr>
        <w:t>风险评估</w:t>
      </w:r>
    </w:p>
    <w:p w14:paraId="2146EC3A">
      <w:pPr>
        <w:pStyle w:val="56"/>
        <w:spacing w:line="360" w:lineRule="auto"/>
        <w:ind w:firstLine="420"/>
      </w:pPr>
      <w:r>
        <w:rPr>
          <w:rFonts w:hint="eastAsia"/>
        </w:rPr>
        <w:t>根据风险识别结果，采用定性与定量方法评估风险发生可能性和影响程度，并形成风险等级排序，为后续控制提供依据。</w:t>
      </w:r>
    </w:p>
    <w:p w14:paraId="30066865">
      <w:pPr>
        <w:pStyle w:val="105"/>
        <w:spacing w:before="120" w:after="120" w:line="360" w:lineRule="auto"/>
      </w:pPr>
      <w:r>
        <w:rPr>
          <w:rFonts w:hint="eastAsia"/>
        </w:rPr>
        <w:t>风险控制</w:t>
      </w:r>
    </w:p>
    <w:p w14:paraId="00DFB34D">
      <w:pPr>
        <w:pStyle w:val="56"/>
        <w:spacing w:line="360" w:lineRule="auto"/>
        <w:ind w:firstLine="420"/>
      </w:pPr>
      <w:r>
        <w:rPr>
          <w:rFonts w:hint="eastAsia"/>
        </w:rPr>
        <w:t>针对评估结果中的高风险和中风险，制定并实施有针对性的控制措施，如合同条款完善、成本锁定、信息化管控和保险担保等。</w:t>
      </w:r>
    </w:p>
    <w:p w14:paraId="6FD320CD">
      <w:pPr>
        <w:pStyle w:val="105"/>
        <w:spacing w:before="120" w:after="120" w:line="360" w:lineRule="auto"/>
      </w:pPr>
      <w:r>
        <w:rPr>
          <w:rFonts w:hint="eastAsia"/>
        </w:rPr>
        <w:t>风险反馈与监控</w:t>
      </w:r>
    </w:p>
    <w:p w14:paraId="119E4F20">
      <w:pPr>
        <w:pStyle w:val="56"/>
        <w:spacing w:line="360" w:lineRule="auto"/>
        <w:ind w:firstLine="420"/>
      </w:pPr>
      <w:r>
        <w:rPr>
          <w:rFonts w:hint="eastAsia"/>
        </w:rPr>
        <w:t>在项目实施过程中，对已识别风险的控制效果进行跟踪，及时发现新风险。必要时，应调整控制措施，并将反馈结果纳入风险数据库。</w:t>
      </w:r>
    </w:p>
    <w:p w14:paraId="30A29895">
      <w:pPr>
        <w:pStyle w:val="105"/>
        <w:spacing w:before="120" w:after="120" w:line="360" w:lineRule="auto"/>
      </w:pPr>
      <w:r>
        <w:rPr>
          <w:rFonts w:hint="eastAsia"/>
        </w:rPr>
        <w:t>持续改进</w:t>
      </w:r>
    </w:p>
    <w:p w14:paraId="42271C8D">
      <w:pPr>
        <w:pStyle w:val="56"/>
        <w:spacing w:line="360" w:lineRule="auto"/>
        <w:ind w:firstLine="420"/>
      </w:pPr>
      <w:r>
        <w:rPr>
          <w:rFonts w:hint="eastAsia"/>
        </w:rPr>
        <w:t>项目竣工后，应对风险管理全过程进行总结和评估，形成案例与经验反馈，并作为后续项目清单计价风险管理的改进依据。</w:t>
      </w:r>
    </w:p>
    <w:p w14:paraId="05C3E7B3">
      <w:pPr>
        <w:pStyle w:val="56"/>
        <w:spacing w:line="360" w:lineRule="auto"/>
        <w:ind w:firstLine="420"/>
      </w:pPr>
      <w:r>
        <w:rPr>
          <w:rFonts w:hint="eastAsia"/>
        </w:rPr>
        <w:t>清单计价风险管理流程示例见表3。</w:t>
      </w:r>
    </w:p>
    <w:p w14:paraId="7197EF06">
      <w:pPr>
        <w:pStyle w:val="112"/>
        <w:spacing w:before="120" w:after="120" w:line="360" w:lineRule="auto"/>
      </w:pPr>
      <w:r>
        <w:rPr>
          <w:rFonts w:hint="eastAsia"/>
        </w:rPr>
        <w:t>清单计价风险管理流程示例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684"/>
        <w:gridCol w:w="3538"/>
        <w:gridCol w:w="3112"/>
      </w:tblGrid>
      <w:tr w14:paraId="03890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684" w:type="dxa"/>
            <w:tcBorders>
              <w:top w:val="single" w:color="auto" w:sz="8" w:space="0"/>
              <w:bottom w:val="single" w:color="auto" w:sz="8" w:space="0"/>
            </w:tcBorders>
          </w:tcPr>
          <w:p w14:paraId="528CD396">
            <w:pPr>
              <w:pStyle w:val="178"/>
            </w:pPr>
            <w:r>
              <w:rPr>
                <w:rFonts w:hint="eastAsia"/>
              </w:rPr>
              <w:t>流程环节</w:t>
            </w:r>
          </w:p>
        </w:tc>
        <w:tc>
          <w:tcPr>
            <w:tcW w:w="3538" w:type="dxa"/>
            <w:tcBorders>
              <w:top w:val="single" w:color="auto" w:sz="8" w:space="0"/>
              <w:bottom w:val="single" w:color="auto" w:sz="8" w:space="0"/>
            </w:tcBorders>
          </w:tcPr>
          <w:p w14:paraId="7F9E1494">
            <w:pPr>
              <w:pStyle w:val="178"/>
            </w:pPr>
            <w:r>
              <w:rPr>
                <w:rFonts w:hint="eastAsia"/>
              </w:rPr>
              <w:t>主要任务</w:t>
            </w:r>
          </w:p>
        </w:tc>
        <w:tc>
          <w:tcPr>
            <w:tcW w:w="3112" w:type="dxa"/>
            <w:tcBorders>
              <w:top w:val="single" w:color="auto" w:sz="8" w:space="0"/>
              <w:bottom w:val="single" w:color="auto" w:sz="8" w:space="0"/>
            </w:tcBorders>
          </w:tcPr>
          <w:p w14:paraId="6E8871F7">
            <w:pPr>
              <w:pStyle w:val="178"/>
            </w:pPr>
            <w:r>
              <w:rPr>
                <w:rFonts w:hint="eastAsia"/>
              </w:rPr>
              <w:t>输出成果</w:t>
            </w:r>
          </w:p>
        </w:tc>
      </w:tr>
      <w:tr w14:paraId="5DDCB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Borders>
              <w:top w:val="single" w:color="auto" w:sz="8" w:space="0"/>
            </w:tcBorders>
          </w:tcPr>
          <w:p w14:paraId="3B25008A">
            <w:pPr>
              <w:pStyle w:val="178"/>
            </w:pPr>
            <w:r>
              <w:rPr>
                <w:rFonts w:hint="eastAsia"/>
              </w:rPr>
              <w:t>风险识别</w:t>
            </w:r>
          </w:p>
        </w:tc>
        <w:tc>
          <w:tcPr>
            <w:tcW w:w="3538" w:type="dxa"/>
            <w:tcBorders>
              <w:top w:val="single" w:color="auto" w:sz="8" w:space="0"/>
            </w:tcBorders>
          </w:tcPr>
          <w:p w14:paraId="15927F35">
            <w:pPr>
              <w:pStyle w:val="178"/>
            </w:pPr>
            <w:r>
              <w:rPr>
                <w:rFonts w:hint="eastAsia"/>
              </w:rPr>
              <w:t>梳理市场、政策、合同、技术风险</w:t>
            </w:r>
          </w:p>
        </w:tc>
        <w:tc>
          <w:tcPr>
            <w:tcW w:w="3112" w:type="dxa"/>
            <w:tcBorders>
              <w:top w:val="single" w:color="auto" w:sz="8" w:space="0"/>
            </w:tcBorders>
          </w:tcPr>
          <w:p w14:paraId="3026DC43">
            <w:pPr>
              <w:pStyle w:val="178"/>
            </w:pPr>
            <w:r>
              <w:rPr>
                <w:rFonts w:hint="eastAsia"/>
              </w:rPr>
              <w:t>风险识别清单</w:t>
            </w:r>
          </w:p>
        </w:tc>
      </w:tr>
      <w:tr w14:paraId="25838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684" w:type="dxa"/>
          </w:tcPr>
          <w:p w14:paraId="789EC3BD">
            <w:pPr>
              <w:pStyle w:val="178"/>
            </w:pPr>
            <w:r>
              <w:rPr>
                <w:rFonts w:hint="eastAsia"/>
              </w:rPr>
              <w:t>风险评估</w:t>
            </w:r>
          </w:p>
        </w:tc>
        <w:tc>
          <w:tcPr>
            <w:tcW w:w="3538" w:type="dxa"/>
          </w:tcPr>
          <w:p w14:paraId="7DC811CF">
            <w:pPr>
              <w:pStyle w:val="178"/>
            </w:pPr>
            <w:r>
              <w:rPr>
                <w:rFonts w:hint="eastAsia"/>
              </w:rPr>
              <w:t>分析可能性与影响程度</w:t>
            </w:r>
          </w:p>
        </w:tc>
        <w:tc>
          <w:tcPr>
            <w:tcW w:w="3112" w:type="dxa"/>
          </w:tcPr>
          <w:p w14:paraId="7F601E9E">
            <w:pPr>
              <w:pStyle w:val="178"/>
            </w:pPr>
            <w:r>
              <w:rPr>
                <w:rFonts w:hint="eastAsia"/>
              </w:rPr>
              <w:t>风险等级矩阵、排序报告</w:t>
            </w:r>
          </w:p>
        </w:tc>
      </w:tr>
      <w:tr w14:paraId="37E86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Pr>
          <w:p w14:paraId="42D0D78E">
            <w:pPr>
              <w:pStyle w:val="178"/>
            </w:pPr>
            <w:r>
              <w:rPr>
                <w:rFonts w:hint="eastAsia"/>
              </w:rPr>
              <w:t>风险控制</w:t>
            </w:r>
          </w:p>
        </w:tc>
        <w:tc>
          <w:tcPr>
            <w:tcW w:w="3538" w:type="dxa"/>
          </w:tcPr>
          <w:p w14:paraId="60EA43D7">
            <w:pPr>
              <w:pStyle w:val="178"/>
            </w:pPr>
            <w:r>
              <w:rPr>
                <w:rFonts w:hint="eastAsia"/>
              </w:rPr>
              <w:t>制定并实施针对性措施</w:t>
            </w:r>
          </w:p>
        </w:tc>
        <w:tc>
          <w:tcPr>
            <w:tcW w:w="3112" w:type="dxa"/>
          </w:tcPr>
          <w:p w14:paraId="16398678">
            <w:pPr>
              <w:pStyle w:val="178"/>
            </w:pPr>
            <w:r>
              <w:rPr>
                <w:rFonts w:hint="eastAsia"/>
              </w:rPr>
              <w:t>控制措施方案、执行记录</w:t>
            </w:r>
          </w:p>
        </w:tc>
      </w:tr>
      <w:tr w14:paraId="4D72C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Pr>
          <w:p w14:paraId="6A4F95CD">
            <w:pPr>
              <w:pStyle w:val="178"/>
            </w:pPr>
            <w:r>
              <w:rPr>
                <w:rFonts w:hint="eastAsia"/>
              </w:rPr>
              <w:t>风险反馈</w:t>
            </w:r>
          </w:p>
        </w:tc>
        <w:tc>
          <w:tcPr>
            <w:tcW w:w="3538" w:type="dxa"/>
          </w:tcPr>
          <w:p w14:paraId="0A32C838">
            <w:pPr>
              <w:pStyle w:val="178"/>
            </w:pPr>
            <w:r>
              <w:rPr>
                <w:rFonts w:hint="eastAsia"/>
              </w:rPr>
              <w:t>跟踪控制效果，识别新增风险</w:t>
            </w:r>
          </w:p>
        </w:tc>
        <w:tc>
          <w:tcPr>
            <w:tcW w:w="3112" w:type="dxa"/>
          </w:tcPr>
          <w:p w14:paraId="5937D1A7">
            <w:pPr>
              <w:pStyle w:val="178"/>
            </w:pPr>
            <w:r>
              <w:rPr>
                <w:rFonts w:hint="eastAsia"/>
              </w:rPr>
              <w:t>监控报告、风险更新清单</w:t>
            </w:r>
          </w:p>
        </w:tc>
      </w:tr>
      <w:tr w14:paraId="68A4F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684" w:type="dxa"/>
          </w:tcPr>
          <w:p w14:paraId="485CA4BC">
            <w:pPr>
              <w:pStyle w:val="178"/>
            </w:pPr>
            <w:r>
              <w:rPr>
                <w:rFonts w:hint="eastAsia"/>
              </w:rPr>
              <w:t>持续改进</w:t>
            </w:r>
          </w:p>
        </w:tc>
        <w:tc>
          <w:tcPr>
            <w:tcW w:w="3538" w:type="dxa"/>
          </w:tcPr>
          <w:p w14:paraId="25289AF6">
            <w:pPr>
              <w:pStyle w:val="178"/>
            </w:pPr>
            <w:r>
              <w:rPr>
                <w:rFonts w:hint="eastAsia"/>
              </w:rPr>
              <w:t>项目总结与经验反馈</w:t>
            </w:r>
          </w:p>
        </w:tc>
        <w:tc>
          <w:tcPr>
            <w:tcW w:w="3112" w:type="dxa"/>
          </w:tcPr>
          <w:p w14:paraId="21CDA0F7">
            <w:pPr>
              <w:pStyle w:val="178"/>
            </w:pPr>
            <w:r>
              <w:rPr>
                <w:rFonts w:hint="eastAsia"/>
              </w:rPr>
              <w:t>风险管理总结报告、案例数据库</w:t>
            </w:r>
          </w:p>
        </w:tc>
      </w:tr>
    </w:tbl>
    <w:p w14:paraId="513F4C9C">
      <w:pPr>
        <w:pStyle w:val="104"/>
        <w:spacing w:before="240" w:after="240" w:line="360" w:lineRule="auto"/>
      </w:pPr>
      <w:bookmarkStart w:id="66" w:name="_Toc209948776"/>
      <w:bookmarkStart w:id="67" w:name="_Toc209857675"/>
      <w:r>
        <w:rPr>
          <w:rFonts w:hint="eastAsia"/>
        </w:rPr>
        <w:t>信息化应用与数据管理</w:t>
      </w:r>
      <w:bookmarkEnd w:id="66"/>
      <w:bookmarkEnd w:id="67"/>
    </w:p>
    <w:p w14:paraId="3BE541C8">
      <w:pPr>
        <w:pStyle w:val="105"/>
        <w:spacing w:before="120" w:after="120" w:line="360" w:lineRule="auto"/>
      </w:pPr>
      <w:r>
        <w:rPr>
          <w:rFonts w:hint="eastAsia"/>
        </w:rPr>
        <w:t>一般要求</w:t>
      </w:r>
    </w:p>
    <w:p w14:paraId="65196EAB">
      <w:pPr>
        <w:pStyle w:val="56"/>
        <w:spacing w:line="360" w:lineRule="auto"/>
        <w:ind w:firstLine="420"/>
      </w:pPr>
      <w:r>
        <w:rPr>
          <w:rFonts w:hint="eastAsia"/>
        </w:rPr>
        <w:t>信息化应用应遵循数据共享、系统集成、安全可控的原则。数据采集、存储、传输和应用全过程应实现标准化管理，确保信息的准确性、完整性与可追溯性。</w:t>
      </w:r>
    </w:p>
    <w:p w14:paraId="6BD84DCA">
      <w:pPr>
        <w:pStyle w:val="105"/>
        <w:spacing w:before="120" w:after="120" w:line="360" w:lineRule="auto"/>
      </w:pPr>
      <w:r>
        <w:rPr>
          <w:rFonts w:hint="eastAsia"/>
        </w:rPr>
        <w:t>BIM技术应用</w:t>
      </w:r>
    </w:p>
    <w:p w14:paraId="642D2ED9">
      <w:pPr>
        <w:pStyle w:val="56"/>
        <w:spacing w:line="360" w:lineRule="auto"/>
        <w:ind w:firstLine="420"/>
      </w:pPr>
      <w:r>
        <w:rPr>
          <w:rFonts w:hint="eastAsia"/>
        </w:rPr>
        <w:t>应充分利用BIM技术建立工程三维模型，将工程量清单与设计模型、施工进度和成本信息相结合，实现工程量自动提取、造价动态管理和风险实时比对。BIM模型还可用于模拟不同施工方案下的成本与风险差异。</w:t>
      </w:r>
    </w:p>
    <w:p w14:paraId="0EB9717B">
      <w:pPr>
        <w:pStyle w:val="105"/>
        <w:spacing w:before="120" w:after="120" w:line="360" w:lineRule="auto"/>
      </w:pPr>
      <w:r>
        <w:rPr>
          <w:rFonts w:hint="eastAsia"/>
        </w:rPr>
        <w:t>大数据与智能分析</w:t>
      </w:r>
    </w:p>
    <w:p w14:paraId="7B4343D6">
      <w:pPr>
        <w:pStyle w:val="56"/>
        <w:spacing w:line="360" w:lineRule="auto"/>
        <w:ind w:firstLine="420"/>
      </w:pPr>
      <w:r>
        <w:rPr>
          <w:rFonts w:hint="eastAsia"/>
        </w:rPr>
        <w:t>应构建造价大数据库，采集历史工程案例、市场价格信息和政策法规数据，利用大数据分析方法进行趋势预测和风险建模。通过机器学习与智能算法，可实现风险预警与自动化评估。</w:t>
      </w:r>
    </w:p>
    <w:p w14:paraId="17E7030A">
      <w:pPr>
        <w:pStyle w:val="105"/>
        <w:spacing w:before="120" w:after="120" w:line="360" w:lineRule="auto"/>
      </w:pPr>
      <w:r>
        <w:rPr>
          <w:rFonts w:hint="eastAsia"/>
        </w:rPr>
        <w:t>信息化平台管理</w:t>
      </w:r>
    </w:p>
    <w:p w14:paraId="146C671C">
      <w:pPr>
        <w:pStyle w:val="56"/>
        <w:spacing w:line="360" w:lineRule="auto"/>
        <w:ind w:firstLine="420"/>
      </w:pPr>
      <w:r>
        <w:rPr>
          <w:rFonts w:hint="eastAsia"/>
        </w:rPr>
        <w:t>应建立统一的造价风险管理平台，实现各参与方之间的信息共享与协同工作。平台应支持数据分级管理、权限控制、日志追踪，并与企业ERP系统、合同管理系统和施工管理系统互联互通。</w:t>
      </w:r>
    </w:p>
    <w:p w14:paraId="5CE77C8B">
      <w:pPr>
        <w:pStyle w:val="105"/>
        <w:spacing w:before="120" w:after="120" w:line="360" w:lineRule="auto"/>
      </w:pPr>
      <w:r>
        <w:rPr>
          <w:rFonts w:hint="eastAsia"/>
        </w:rPr>
        <w:t>数据安全与备份</w:t>
      </w:r>
    </w:p>
    <w:p w14:paraId="2BD2618C">
      <w:pPr>
        <w:pStyle w:val="56"/>
        <w:spacing w:line="360" w:lineRule="auto"/>
        <w:ind w:firstLine="420"/>
      </w:pPr>
      <w:r>
        <w:rPr>
          <w:rFonts w:hint="eastAsia"/>
        </w:rPr>
        <w:t>信息化系统应符合国家信息安全标准，采取数据加密、访问控制和防篡改措施。所有关键数据应定期备份，备份周期不宜超过7天，并存放于异地或云端，确保数据长期安全。</w:t>
      </w:r>
    </w:p>
    <w:p w14:paraId="50D46194">
      <w:pPr>
        <w:pStyle w:val="104"/>
        <w:spacing w:before="240" w:after="240" w:line="360" w:lineRule="auto"/>
      </w:pPr>
      <w:bookmarkStart w:id="68" w:name="_Toc209857676"/>
      <w:bookmarkStart w:id="69" w:name="_Toc209948777"/>
      <w:r>
        <w:rPr>
          <w:rFonts w:hint="eastAsia"/>
        </w:rPr>
        <w:t>监督与改进</w:t>
      </w:r>
      <w:bookmarkEnd w:id="68"/>
      <w:bookmarkEnd w:id="69"/>
    </w:p>
    <w:p w14:paraId="47CD298F">
      <w:pPr>
        <w:pStyle w:val="105"/>
        <w:spacing w:before="120" w:after="120" w:line="360" w:lineRule="auto"/>
      </w:pPr>
      <w:r>
        <w:rPr>
          <w:rFonts w:hint="eastAsia"/>
        </w:rPr>
        <w:t>一般要求</w:t>
      </w:r>
    </w:p>
    <w:p w14:paraId="24C024B3">
      <w:pPr>
        <w:pStyle w:val="56"/>
        <w:spacing w:line="360" w:lineRule="auto"/>
        <w:ind w:firstLine="420"/>
      </w:pPr>
      <w:r>
        <w:rPr>
          <w:rFonts w:hint="eastAsia"/>
        </w:rPr>
        <w:t>监督与改进应遵循持续改进和闭环管理原则。监督过程应覆盖清单计价的编制、实施与结算环节，确保风险控制措施落到实处。</w:t>
      </w:r>
    </w:p>
    <w:p w14:paraId="68CA2D48">
      <w:pPr>
        <w:pStyle w:val="105"/>
        <w:spacing w:before="120" w:after="120" w:line="360" w:lineRule="auto"/>
      </w:pPr>
      <w:r>
        <w:rPr>
          <w:rFonts w:hint="eastAsia"/>
        </w:rPr>
        <w:t>监督机制</w:t>
      </w:r>
    </w:p>
    <w:p w14:paraId="2F3815B9">
      <w:pPr>
        <w:pStyle w:val="56"/>
        <w:spacing w:line="360" w:lineRule="auto"/>
        <w:ind w:firstLine="420"/>
      </w:pPr>
      <w:r>
        <w:rPr>
          <w:rFonts w:hint="eastAsia"/>
        </w:rPr>
        <w:t>监督机制应包括企业内部监督、项目监理监督和行业主管部门监督。必要时可引入第三方审计与评估机构，提升监督的独立性与权威性。监督内容应涵盖风险识别的全面性、风险评估的科学性、风险控制措施的执行效果以及信息化平台的运行情况。</w:t>
      </w:r>
    </w:p>
    <w:p w14:paraId="2297F402">
      <w:pPr>
        <w:pStyle w:val="105"/>
        <w:spacing w:before="120" w:after="120" w:line="360" w:lineRule="auto"/>
      </w:pPr>
      <w:r>
        <w:rPr>
          <w:rFonts w:hint="eastAsia"/>
        </w:rPr>
        <w:t>改进措施</w:t>
      </w:r>
    </w:p>
    <w:p w14:paraId="3A78C77F">
      <w:pPr>
        <w:pStyle w:val="56"/>
        <w:spacing w:line="360" w:lineRule="auto"/>
        <w:ind w:firstLine="420"/>
      </w:pPr>
      <w:r>
        <w:rPr>
          <w:rFonts w:hint="eastAsia"/>
        </w:rPr>
        <w:t>针对监督中发现的问题，应及时制定改进方案，明确责任主体、改进措施和完成时限。改进内容可包括优化合同条款、更新市场数据、完善信息平台功能和加强人员培训等。</w:t>
      </w:r>
    </w:p>
    <w:p w14:paraId="3A20B034">
      <w:pPr>
        <w:pStyle w:val="105"/>
        <w:spacing w:before="120" w:after="120" w:line="360" w:lineRule="auto"/>
      </w:pPr>
      <w:r>
        <w:rPr>
          <w:rFonts w:hint="eastAsia"/>
        </w:rPr>
        <w:t>持续评估</w:t>
      </w:r>
    </w:p>
    <w:p w14:paraId="07696B25">
      <w:pPr>
        <w:pStyle w:val="56"/>
        <w:spacing w:line="360" w:lineRule="auto"/>
        <w:ind w:firstLine="420"/>
        <w:rPr>
          <w:rFonts w:hint="eastAsia"/>
        </w:rPr>
      </w:pPr>
      <w:r>
        <w:rPr>
          <w:rFonts w:hint="eastAsia"/>
        </w:rPr>
        <w:t>应建立周期性评估机制，评估周期宜为6个月至1年。评估报告应总结风险控制的有效性、存在问题及改进成效，并作为后续工程的经验积累。</w:t>
      </w:r>
    </w:p>
    <w:bookmarkEnd w:id="28"/>
    <w:p w14:paraId="1D4DBAFB">
      <w:pPr>
        <w:pStyle w:val="56"/>
        <w:spacing w:line="360" w:lineRule="auto"/>
        <w:ind w:firstLine="420"/>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bookmarkStart w:id="70" w:name="BookMark6"/>
      <w:bookmarkStart w:id="73" w:name="_GoBack"/>
      <w:bookmarkEnd w:id="73"/>
    </w:p>
    <w:p w14:paraId="7B633151">
      <w:pPr>
        <w:pStyle w:val="63"/>
        <w:spacing w:after="120" w:line="360" w:lineRule="auto"/>
        <w:rPr>
          <w:rFonts w:hint="eastAsia"/>
        </w:rPr>
      </w:pPr>
      <w:bookmarkStart w:id="71" w:name="_Toc209948778"/>
      <w:r>
        <w:rPr>
          <w:rFonts w:hint="eastAsia"/>
          <w:spacing w:val="105"/>
        </w:rPr>
        <w:t>参考文</w:t>
      </w:r>
      <w:r>
        <w:rPr>
          <w:rFonts w:hint="eastAsia"/>
        </w:rPr>
        <w:t>献</w:t>
      </w:r>
      <w:bookmarkEnd w:id="71"/>
    </w:p>
    <w:p w14:paraId="694E1126">
      <w:pPr>
        <w:pStyle w:val="56"/>
        <w:spacing w:line="360" w:lineRule="auto"/>
        <w:ind w:firstLine="420"/>
        <w:rPr>
          <w:rFonts w:hint="eastAsia"/>
        </w:rPr>
      </w:pPr>
      <w:r>
        <w:t xml:space="preserve">[1] </w:t>
      </w:r>
      <w:r>
        <w:rPr>
          <w:rFonts w:hint="eastAsia"/>
        </w:rPr>
        <w:t>GB/T 50326—2017 建设工程项目管理规范</w:t>
      </w:r>
    </w:p>
    <w:p w14:paraId="52CF3CC6">
      <w:pPr>
        <w:pStyle w:val="56"/>
        <w:spacing w:line="360" w:lineRule="auto"/>
        <w:ind w:firstLine="420"/>
      </w:pPr>
      <w:r>
        <w:t xml:space="preserve">[2] </w:t>
      </w:r>
      <w:r>
        <w:rPr>
          <w:rFonts w:hint="eastAsia"/>
        </w:rPr>
        <w:t>GB/T 50358—2017 建设项目工程总承包管理规范</w:t>
      </w:r>
    </w:p>
    <w:bookmarkEnd w:id="70"/>
    <w:p w14:paraId="68BD3BE8">
      <w:pPr>
        <w:pStyle w:val="56"/>
        <w:ind w:firstLine="0" w:firstLineChars="0"/>
        <w:jc w:val="center"/>
      </w:pPr>
      <w:bookmarkStart w:id="72" w:name="BookMark8"/>
      <w:r>
        <w:rPr>
          <w:rFonts w:hint="eastAsia"/>
        </w:rPr>
        <w:drawing>
          <wp:inline distT="0" distB="0" distL="0" distR="0">
            <wp:extent cx="1485900" cy="317500"/>
            <wp:effectExtent l="0" t="0" r="0" b="6350"/>
            <wp:docPr id="1668599716" name="图片 3"/>
            <wp:cNvGraphicFramePr/>
            <a:graphic xmlns:a="http://schemas.openxmlformats.org/drawingml/2006/main">
              <a:graphicData uri="http://schemas.openxmlformats.org/drawingml/2006/picture">
                <pic:pic xmlns:pic="http://schemas.openxmlformats.org/drawingml/2006/picture">
                  <pic:nvPicPr>
                    <pic:cNvPr id="1668599716"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2"/>
    </w:p>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C3C76">
    <w:pPr>
      <w:pStyle w:val="51"/>
    </w:pPr>
    <w:r>
      <w:fldChar w:fldCharType="begin"/>
    </w:r>
    <w:r>
      <w:instrText xml:space="preserve"> PAGE   \* MERGEFORMAT \* MERGEFORMAT </w:instrText>
    </w:r>
    <w:r>
      <w:fldChar w:fldCharType="separate"/>
    </w:r>
    <w:r>
      <w:t>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EDC2B">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1E373">
    <w:pPr>
      <w:pStyle w:val="51"/>
    </w:pPr>
    <w:r>
      <w:fldChar w:fldCharType="begin"/>
    </w:r>
    <w:r>
      <w:instrText xml:space="preserve"> PAGE   \* MERGEFORMAT \* MERGEFORMAT </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FE8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86FA4">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86B1F">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3A09C">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1223">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027D8">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4235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01505">
    <w:pPr>
      <w:pStyle w:val="61"/>
    </w:pPr>
    <w:r>
      <w:fldChar w:fldCharType="begin"/>
    </w:r>
    <w:r>
      <w:instrText xml:space="preserve"> STYLEREF  标准文件_文件编号  \* MERGEFORMAT </w:instrText>
    </w:r>
    <w:r>
      <w:fldChar w:fldCharType="separate"/>
    </w:r>
    <w:r>
      <w:t>T/XJBX 0117—2025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AAEDA">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0117—2025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828B">
    <w:pPr>
      <w:pStyle w:val="61"/>
    </w:pPr>
    <w:r>
      <w:pict>
        <v:shape id="_x0000_s1036" o:spid="_x0000_s1036"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fldChar w:fldCharType="begin"/>
    </w:r>
    <w:r>
      <w:instrText xml:space="preserve"> STYLEREF  标准文件_文件编号  \* MERGEFORMAT </w:instrText>
    </w:r>
    <w:r>
      <w:fldChar w:fldCharType="separate"/>
    </w:r>
    <w:r>
      <w:t>T/XJBX 0117—2025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582CE">
    <w:pPr>
      <w:pStyle w:val="62"/>
    </w:pPr>
    <w:r>
      <w:fldChar w:fldCharType="begin"/>
    </w:r>
    <w:r>
      <w:instrText xml:space="preserve"> STYLEREF  标准文件_文件编号 \* MERGEFORMAT </w:instrText>
    </w:r>
    <w:r>
      <w:fldChar w:fldCharType="separate"/>
    </w:r>
    <w:r>
      <w:t>T/XJBX 0117—2025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2D340">
    <w:pPr>
      <w:pStyle w:val="61"/>
    </w:pPr>
    <w:r>
      <w:fldChar w:fldCharType="begin"/>
    </w:r>
    <w:r>
      <w:instrText xml:space="preserve"> STYLEREF  标准文件_文件编号  \* MERGEFORMAT </w:instrText>
    </w:r>
    <w:r>
      <w:fldChar w:fldCharType="separate"/>
    </w:r>
    <w:r>
      <w:t>T/XJBX 0117—2025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54D73">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0117—2025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2F8DE">
    <w:pPr>
      <w:pStyle w:val="61"/>
    </w:pPr>
    <w:r>
      <w:fldChar w:fldCharType="begin"/>
    </w:r>
    <w:r>
      <w:instrText xml:space="preserve"> STYLEREF  标准文件_文件编号  \* MERGEFORMAT </w:instrText>
    </w:r>
    <w:r>
      <w:fldChar w:fldCharType="separate"/>
    </w:r>
    <w:r>
      <w:t>T/XJBX 0117—2025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8BA21">
    <w:pPr>
      <w:pStyle w:val="62"/>
    </w:pPr>
    <w:r>
      <w:fldChar w:fldCharType="begin"/>
    </w:r>
    <w:r>
      <w:instrText xml:space="preserve"> STYLEREF  标准文件_文件编号 \* MERGEFORMAT </w:instrText>
    </w:r>
    <w:r>
      <w:fldChar w:fldCharType="separate"/>
    </w:r>
    <w:r>
      <w:t>T/XJBX 0117—2025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84A9">
    <w:pPr>
      <w:pStyle w:val="61"/>
    </w:pPr>
    <w:r>
      <w:fldChar w:fldCharType="begin"/>
    </w:r>
    <w:r>
      <w:instrText xml:space="preserve"> STYLEREF  标准文件_文件编号  \* MERGEFORMAT </w:instrText>
    </w:r>
    <w:r>
      <w:fldChar w:fldCharType="separate"/>
    </w:r>
    <w:r>
      <w:t>T/XJBX 0117—2025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DC8A5">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0117—2025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5B14"/>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092B"/>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277"/>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4F9F"/>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6761"/>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DC5"/>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433D"/>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331D"/>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77F39"/>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7A9"/>
    <w:rsid w:val="00CF686F"/>
    <w:rsid w:val="00CF6E60"/>
    <w:rsid w:val="00CF7BCA"/>
    <w:rsid w:val="00D008FD"/>
    <w:rsid w:val="00D0321C"/>
    <w:rsid w:val="00D035EC"/>
    <w:rsid w:val="00D05C5F"/>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6BE1"/>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494"/>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332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jpe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52EA5D19">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05E87A78">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35884F8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720C66"/>
    <w:rsid w:val="008A4D07"/>
    <w:rsid w:val="009B6447"/>
    <w:rsid w:val="00B6674A"/>
    <w:rsid w:val="00B77F39"/>
    <w:rsid w:val="00C70CDA"/>
    <w:rsid w:val="00D05C5F"/>
    <w:rsid w:val="00DE1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36"/>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3019</Words>
  <Characters>3257</Characters>
  <Lines>47</Lines>
  <Paragraphs>13</Paragraphs>
  <TotalTime>32</TotalTime>
  <ScaleCrop>false</ScaleCrop>
  <LinksUpToDate>false</LinksUpToDate>
  <CharactersWithSpaces>3349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2025-09-27T00:57:00Z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2025-09-28T07:46:54Z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AECD6F2BB7BA4919A1117AC933B5F2A0_12</vt:lpwstr>
  </property>
</Properties>
</file>