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35.24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35.240.01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L 67"/>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L 67</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5"/>
            </w:textInput>
          </w:ffData>
        </w:fldChar>
      </w:r>
      <w:bookmarkStart w:id="6" w:name="NSTD_CODE_F"/>
      <w:r>
        <w:instrText xml:space="preserve"> FORMTEXT </w:instrText>
      </w:r>
      <w:r>
        <w:fldChar w:fldCharType="separate"/>
      </w:r>
      <w:r>
        <w:t>0115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35CCD964">
      <w:pPr>
        <w:pStyle w:val="197"/>
        <w:framePr w:h="6974" w:hRule="exact" w:wrap="around" w:x="1419" w:anchorLock="1"/>
      </w:pPr>
      <w:r>
        <w:rPr>
          <w:rFonts w:hint="eastAsia"/>
        </w:rPr>
        <w:fldChar w:fldCharType="begin">
          <w:ffData>
            <w:name w:val="CSTD_NAME"/>
            <w:enabled/>
            <w:calcOnExit w:val="0"/>
            <w:textInput>
              <w:default w:val="基于大数据的生产制造全流程质量追溯技术指南"/>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基于大数据的生产制造全流程质量追溯</w:t>
      </w:r>
    </w:p>
    <w:p w14:paraId="0FD7DFF3">
      <w:pPr>
        <w:pStyle w:val="197"/>
        <w:framePr w:h="6974" w:hRule="exact" w:wrap="around" w:x="1419" w:anchorLock="1"/>
      </w:pPr>
      <w:r>
        <w:rPr>
          <w:rFonts w:hint="eastAsia"/>
        </w:rPr>
        <w:t>技术指南</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Guideline for big data-based whole-process quality traceability in manufacturing"/>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Guideline for big data-based whole-process quality traceability in manufacturing</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21C193A">
      <w:pPr>
        <w:pStyle w:val="91"/>
        <w:spacing w:after="360"/>
        <w:rPr>
          <w:rFonts w:hint="eastAsia"/>
        </w:rPr>
      </w:pPr>
      <w:bookmarkStart w:id="21" w:name="BookMark1"/>
      <w:bookmarkStart w:id="22" w:name="_Toc209894164"/>
      <w:r>
        <w:rPr>
          <w:rFonts w:hint="eastAsia"/>
          <w:spacing w:val="320"/>
        </w:rPr>
        <w:t>目</w:t>
      </w:r>
      <w:r>
        <w:rPr>
          <w:rFonts w:hint="eastAsia"/>
        </w:rPr>
        <w:t>次</w:t>
      </w:r>
    </w:p>
    <w:p w14:paraId="1F2E04CF">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"_Toc209948266" </w:instrText>
      </w:r>
      <w:r>
        <w:fldChar w:fldCharType="separate"/>
      </w:r>
      <w:r>
        <w:rPr>
          <w:rStyle w:val="32"/>
        </w:rPr>
        <w:t>前言</w:t>
      </w:r>
      <w:r>
        <w:tab/>
      </w:r>
      <w:r>
        <w:fldChar w:fldCharType="begin"/>
      </w:r>
      <w:r>
        <w:instrText xml:space="preserve"> PAGEREF _Toc209948266 \h </w:instrText>
      </w:r>
      <w:r>
        <w:fldChar w:fldCharType="separate"/>
      </w:r>
      <w:r>
        <w:t>III</w:t>
      </w:r>
      <w:r>
        <w:fldChar w:fldCharType="end"/>
      </w:r>
      <w:r>
        <w:fldChar w:fldCharType="end"/>
      </w:r>
    </w:p>
    <w:p w14:paraId="437B440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"_Toc209948267" </w:instrText>
      </w:r>
      <w:r>
        <w:fldChar w:fldCharType="separate"/>
      </w:r>
      <w:r>
        <w:rPr>
          <w:rStyle w:val="32"/>
        </w:rPr>
        <w:t>引言</w:t>
      </w:r>
      <w:r>
        <w:tab/>
      </w:r>
      <w:r>
        <w:fldChar w:fldCharType="begin"/>
      </w:r>
      <w:r>
        <w:instrText xml:space="preserve"> PAGEREF _Toc209948267 \h </w:instrText>
      </w:r>
      <w:r>
        <w:fldChar w:fldCharType="separate"/>
      </w:r>
      <w:r>
        <w:t>V</w:t>
      </w:r>
      <w:r>
        <w:fldChar w:fldCharType="end"/>
      </w:r>
      <w:r>
        <w:fldChar w:fldCharType="end"/>
      </w:r>
    </w:p>
    <w:p w14:paraId="6AEE922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"_Toc209948268" </w:instrText>
      </w:r>
      <w:r>
        <w:fldChar w:fldCharType="separate"/>
      </w:r>
      <w:r>
        <w:rPr>
          <w:rStyle w:val="32"/>
        </w:rPr>
        <w:t>1  范围</w:t>
      </w:r>
      <w:r>
        <w:tab/>
      </w:r>
      <w:r>
        <w:fldChar w:fldCharType="begin"/>
      </w:r>
      <w:r>
        <w:instrText xml:space="preserve"> PAGEREF _Toc209948268 \h </w:instrText>
      </w:r>
      <w:r>
        <w:fldChar w:fldCharType="separate"/>
      </w:r>
      <w:r>
        <w:t>1</w:t>
      </w:r>
      <w:r>
        <w:fldChar w:fldCharType="end"/>
      </w:r>
      <w:r>
        <w:fldChar w:fldCharType="end"/>
      </w:r>
    </w:p>
    <w:p w14:paraId="5D6A6797">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"_Toc209948269" </w:instrText>
      </w:r>
      <w:r>
        <w:fldChar w:fldCharType="separate"/>
      </w:r>
      <w:r>
        <w:rPr>
          <w:rStyle w:val="32"/>
        </w:rPr>
        <w:t>2  规范性引用文件</w:t>
      </w:r>
      <w:r>
        <w:tab/>
      </w:r>
      <w:r>
        <w:fldChar w:fldCharType="begin"/>
      </w:r>
      <w:r>
        <w:instrText xml:space="preserve"> PAGEREF _Toc209948269 \h </w:instrText>
      </w:r>
      <w:r>
        <w:fldChar w:fldCharType="separate"/>
      </w:r>
      <w:r>
        <w:t>1</w:t>
      </w:r>
      <w:r>
        <w:fldChar w:fldCharType="end"/>
      </w:r>
      <w:r>
        <w:fldChar w:fldCharType="end"/>
      </w:r>
    </w:p>
    <w:p w14:paraId="56150251">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"_Toc209948270" </w:instrText>
      </w:r>
      <w:r>
        <w:fldChar w:fldCharType="separate"/>
      </w:r>
      <w:r>
        <w:rPr>
          <w:rStyle w:val="32"/>
        </w:rPr>
        <w:t>3  术语和定义</w:t>
      </w:r>
      <w:r>
        <w:tab/>
      </w:r>
      <w:r>
        <w:fldChar w:fldCharType="begin"/>
      </w:r>
      <w:r>
        <w:instrText xml:space="preserve"> PAGEREF _Toc209948270 \h </w:instrText>
      </w:r>
      <w:r>
        <w:fldChar w:fldCharType="separate"/>
      </w:r>
      <w:r>
        <w:t>1</w:t>
      </w:r>
      <w:r>
        <w:fldChar w:fldCharType="end"/>
      </w:r>
      <w:r>
        <w:fldChar w:fldCharType="end"/>
      </w:r>
    </w:p>
    <w:p w14:paraId="7F06BDE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"_Toc209948271" </w:instrText>
      </w:r>
      <w:r>
        <w:fldChar w:fldCharType="separate"/>
      </w:r>
      <w:r>
        <w:rPr>
          <w:rStyle w:val="32"/>
        </w:rPr>
        <w:t>4  总体要求</w:t>
      </w:r>
      <w:r>
        <w:tab/>
      </w:r>
      <w:r>
        <w:fldChar w:fldCharType="begin"/>
      </w:r>
      <w:r>
        <w:instrText xml:space="preserve"> PAGEREF _Toc209948271 \h </w:instrText>
      </w:r>
      <w:r>
        <w:fldChar w:fldCharType="separate"/>
      </w:r>
      <w:r>
        <w:t>2</w:t>
      </w:r>
      <w:r>
        <w:fldChar w:fldCharType="end"/>
      </w:r>
      <w:r>
        <w:fldChar w:fldCharType="end"/>
      </w:r>
    </w:p>
    <w:p w14:paraId="40B151D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"_Toc209948272" </w:instrText>
      </w:r>
      <w:r>
        <w:fldChar w:fldCharType="separate"/>
      </w:r>
      <w:r>
        <w:rPr>
          <w:rStyle w:val="32"/>
        </w:rPr>
        <w:t>5  数据采集管理</w:t>
      </w:r>
      <w:r>
        <w:tab/>
      </w:r>
      <w:r>
        <w:fldChar w:fldCharType="begin"/>
      </w:r>
      <w:r>
        <w:instrText xml:space="preserve"> PAGEREF _Toc209948272 \h </w:instrText>
      </w:r>
      <w:r>
        <w:fldChar w:fldCharType="separate"/>
      </w:r>
      <w:r>
        <w:t>3</w:t>
      </w:r>
      <w:r>
        <w:fldChar w:fldCharType="end"/>
      </w:r>
      <w:r>
        <w:fldChar w:fldCharType="end"/>
      </w:r>
    </w:p>
    <w:p w14:paraId="6D9E759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"_Toc209948273" </w:instrText>
      </w:r>
      <w:r>
        <w:fldChar w:fldCharType="separate"/>
      </w:r>
      <w:r>
        <w:rPr>
          <w:rStyle w:val="32"/>
        </w:rPr>
        <w:t>6  数据存储与共享</w:t>
      </w:r>
      <w:r>
        <w:tab/>
      </w:r>
      <w:r>
        <w:fldChar w:fldCharType="begin"/>
      </w:r>
      <w:r>
        <w:instrText xml:space="preserve"> PAGEREF _Toc209948273 \h </w:instrText>
      </w:r>
      <w:r>
        <w:fldChar w:fldCharType="separate"/>
      </w:r>
      <w:r>
        <w:t>3</w:t>
      </w:r>
      <w:r>
        <w:fldChar w:fldCharType="end"/>
      </w:r>
      <w:r>
        <w:fldChar w:fldCharType="end"/>
      </w:r>
    </w:p>
    <w:p w14:paraId="7312B1D8">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"_Toc209948274" </w:instrText>
      </w:r>
      <w:r>
        <w:fldChar w:fldCharType="separate"/>
      </w:r>
      <w:r>
        <w:rPr>
          <w:rStyle w:val="32"/>
        </w:rPr>
        <w:t>7  质量追溯建模</w:t>
      </w:r>
      <w:r>
        <w:tab/>
      </w:r>
      <w:r>
        <w:fldChar w:fldCharType="begin"/>
      </w:r>
      <w:r>
        <w:instrText xml:space="preserve"> PAGEREF _Toc209948274 \h </w:instrText>
      </w:r>
      <w:r>
        <w:fldChar w:fldCharType="separate"/>
      </w:r>
      <w:r>
        <w:t>4</w:t>
      </w:r>
      <w:r>
        <w:fldChar w:fldCharType="end"/>
      </w:r>
      <w:r>
        <w:fldChar w:fldCharType="end"/>
      </w:r>
    </w:p>
    <w:p w14:paraId="2F3D931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"_Toc209948275" </w:instrText>
      </w:r>
      <w:r>
        <w:fldChar w:fldCharType="separate"/>
      </w:r>
      <w:r>
        <w:rPr>
          <w:rStyle w:val="32"/>
        </w:rPr>
        <w:t>8  追溯信息应用场景</w:t>
      </w:r>
      <w:r>
        <w:tab/>
      </w:r>
      <w:r>
        <w:fldChar w:fldCharType="begin"/>
      </w:r>
      <w:r>
        <w:instrText xml:space="preserve"> PAGEREF _Toc209948275 \h </w:instrText>
      </w:r>
      <w:r>
        <w:fldChar w:fldCharType="separate"/>
      </w:r>
      <w:r>
        <w:t>5</w:t>
      </w:r>
      <w:r>
        <w:fldChar w:fldCharType="end"/>
      </w:r>
      <w:r>
        <w:fldChar w:fldCharType="end"/>
      </w:r>
    </w:p>
    <w:p w14:paraId="6840E1A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"_Toc209948276" </w:instrText>
      </w:r>
      <w:r>
        <w:fldChar w:fldCharType="separate"/>
      </w:r>
      <w:r>
        <w:rPr>
          <w:rStyle w:val="32"/>
        </w:rPr>
        <w:t>9  信息安全</w:t>
      </w:r>
      <w:r>
        <w:tab/>
      </w:r>
      <w:r>
        <w:fldChar w:fldCharType="begin"/>
      </w:r>
      <w:r>
        <w:instrText xml:space="preserve"> PAGEREF _Toc209948276 \h </w:instrText>
      </w:r>
      <w:r>
        <w:fldChar w:fldCharType="separate"/>
      </w:r>
      <w:r>
        <w:t>6</w:t>
      </w:r>
      <w:r>
        <w:fldChar w:fldCharType="end"/>
      </w:r>
      <w:r>
        <w:fldChar w:fldCharType="end"/>
      </w:r>
    </w:p>
    <w:p w14:paraId="1C1D86A8">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"_Toc209948277" </w:instrText>
      </w:r>
      <w:r>
        <w:fldChar w:fldCharType="separate"/>
      </w:r>
      <w:r>
        <w:rPr>
          <w:rStyle w:val="32"/>
        </w:rPr>
        <w:t>10  系统运行维护</w:t>
      </w:r>
      <w:r>
        <w:tab/>
      </w:r>
      <w:r>
        <w:fldChar w:fldCharType="begin"/>
      </w:r>
      <w:r>
        <w:instrText xml:space="preserve"> PAGEREF _Toc209948277 \h </w:instrText>
      </w:r>
      <w:r>
        <w:fldChar w:fldCharType="separate"/>
      </w:r>
      <w:r>
        <w:t>7</w:t>
      </w:r>
      <w:r>
        <w:fldChar w:fldCharType="end"/>
      </w:r>
      <w:r>
        <w:fldChar w:fldCharType="end"/>
      </w:r>
    </w:p>
    <w:p w14:paraId="33C39D58">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"_Toc209948278" </w:instrText>
      </w:r>
      <w:r>
        <w:fldChar w:fldCharType="separate"/>
      </w:r>
      <w:r>
        <w:rPr>
          <w:rStyle w:val="32"/>
        </w:rPr>
        <w:t>参考文献</w:t>
      </w:r>
      <w:r>
        <w:tab/>
      </w:r>
      <w:r>
        <w:fldChar w:fldCharType="begin"/>
      </w:r>
      <w:r>
        <w:instrText xml:space="preserve"> PAGEREF _Toc209948278 \h </w:instrText>
      </w:r>
      <w:r>
        <w:fldChar w:fldCharType="separate"/>
      </w:r>
      <w:r>
        <w:t>8</w:t>
      </w:r>
      <w:r>
        <w:fldChar w:fldCharType="end"/>
      </w:r>
      <w:r>
        <w:fldChar w:fldCharType="end"/>
      </w:r>
    </w:p>
    <w:p w14:paraId="2A1DEB0A">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8266"/>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本文件起草单位：浙江极象科技有限公司。</w:t>
      </w:r>
    </w:p>
    <w:p w14:paraId="42BC1C2C">
      <w:pPr>
        <w:pStyle w:val="56"/>
        <w:spacing w:line="360" w:lineRule="auto"/>
        <w:ind w:firstLine="420"/>
      </w:pPr>
      <w:r>
        <w:rPr>
          <w:rFonts w:hint="eastAsia"/>
        </w:rPr>
        <w:t>本文件主要起草人：陈世杰。</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bookmarkStart w:id="73" w:name="_GoBack"/>
      <w:bookmarkEnd w:id="73"/>
    </w:p>
    <w:bookmarkEnd w:id="24"/>
    <w:p w14:paraId="4104DD8B">
      <w:pPr>
        <w:pStyle w:val="89"/>
        <w:spacing w:after="360"/>
      </w:pPr>
      <w:bookmarkStart w:id="25" w:name="_Toc209894165"/>
      <w:bookmarkStart w:id="26" w:name="_Toc209948267"/>
      <w:bookmarkStart w:id="27" w:name="BookMark3"/>
      <w:r>
        <w:rPr>
          <w:spacing w:val="320"/>
        </w:rPr>
        <w:t>引</w:t>
      </w:r>
      <w:r>
        <w:t>言</w:t>
      </w:r>
      <w:bookmarkEnd w:id="25"/>
      <w:bookmarkEnd w:id="26"/>
    </w:p>
    <w:p w14:paraId="79F87F79">
      <w:pPr>
        <w:pStyle w:val="56"/>
        <w:spacing w:line="360" w:lineRule="auto"/>
        <w:ind w:firstLine="420"/>
      </w:pPr>
      <w:r>
        <w:rPr>
          <w:rFonts w:hint="eastAsia"/>
        </w:rPr>
        <w:t>在全球制造业向智能化、数字化和高质量发展转型的背景下，产品质量不仅是企业核心竞争力的重要体现，也是保障消费者权益和行业可持续发展的关键环节。传统的质量追溯体系大多局限于局部环节，缺乏对全流程、多维度数据的整合分析，难以满足现代制造业对透明化、可追溯和可验证的质量管理需求。</w:t>
      </w:r>
    </w:p>
    <w:p w14:paraId="4D3F30A1">
      <w:pPr>
        <w:pStyle w:val="56"/>
        <w:spacing w:line="360" w:lineRule="auto"/>
        <w:ind w:firstLine="420"/>
      </w:pPr>
      <w:r>
        <w:rPr>
          <w:rFonts w:hint="eastAsia"/>
        </w:rPr>
        <w:t>大数据技术的迅速发展为生产制造全过程质量追溯提供了新的解决思路。通过对原材料、工艺过程、设备运行、检验检测、仓储物流、销售与售后服务等全生命周期数据的采集、存储和分析，可以实现产品质量信息的全流程可追溯。大数据驱动的质量追溯体系，不仅能够精准定位质量问题发生的环节，还能通过模式识别与预测分析，为企业提供决策支持，推动制造过程的优化与升级。</w:t>
      </w:r>
    </w:p>
    <w:p w14:paraId="11CDA8E6">
      <w:pPr>
        <w:pStyle w:val="56"/>
        <w:spacing w:line="360" w:lineRule="auto"/>
        <w:ind w:firstLine="420"/>
      </w:pPr>
      <w:r>
        <w:rPr>
          <w:rFonts w:hint="eastAsia"/>
        </w:rPr>
        <w:t>近年来，国家和行业陆续出台了一系列关于智能制造、质量管理和数据治理的政策文件，强调利用大数据、云计算和人工智能等新一代信息技术提升质量追溯能力。然而，目前在实际应用中，仍存在数据标准不统一、跨系统共享难度大、追溯分析方法不规范、信息安全与隐私保护不足等问题，影响了追溯体系的有效性和推广应用。</w:t>
      </w:r>
    </w:p>
    <w:p w14:paraId="22951145">
      <w:pPr>
        <w:pStyle w:val="56"/>
        <w:spacing w:line="360" w:lineRule="auto"/>
        <w:ind w:firstLine="420"/>
      </w:pPr>
      <w:r>
        <w:rPr>
          <w:rFonts w:hint="eastAsia"/>
        </w:rPr>
        <w:t>制定本指南的目的在于明确基于大数据的生产制造全流程质量追溯的总体要求，规范数据采集、存储、共享、建模与分析的方法，提出典型应用场景和安全保障措施，从而提升质量追溯体系的科学性、规范性和可操作性。本文件既是制造企业开展质量追溯体系建设的参考依据，也是行业监管和政策制定的重要技术支撑。</w:t>
      </w:r>
    </w:p>
    <w:p w14:paraId="42EAE8EF">
      <w:pPr>
        <w:pStyle w:val="56"/>
        <w:spacing w:line="360" w:lineRule="auto"/>
        <w:ind w:firstLine="420"/>
      </w:pPr>
      <w:r>
        <w:rPr>
          <w:rFonts w:hint="eastAsia"/>
        </w:rPr>
        <w:t>本文件适用于各类生产制造企业开展大数据质量追溯体系建设和应用，也可为相关行业的质量管理、标准制定和科研工作提供参考。</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70C727E8">
          <w:pPr>
            <w:pStyle w:val="177"/>
            <w:spacing w:after="0"/>
          </w:pPr>
          <w:bookmarkStart w:id="29" w:name="NEW_STAND_NAME"/>
          <w:r>
            <w:rPr>
              <w:rFonts w:hint="eastAsia"/>
            </w:rPr>
            <w:t>基于大数据的生产制造全流程质量追溯</w:t>
          </w:r>
        </w:p>
        <w:p w14:paraId="08ED5E01">
          <w:pPr>
            <w:pStyle w:val="177"/>
            <w:spacing w:before="0"/>
          </w:pPr>
          <w:r>
            <w:rPr>
              <w:rFonts w:hint="eastAsia"/>
            </w:rPr>
            <w:t>技术指南</w:t>
          </w:r>
        </w:p>
      </w:sdtContent>
    </w:sdt>
    <w:bookmarkEnd w:id="29"/>
    <w:p w14:paraId="153BF6ED">
      <w:pPr>
        <w:pStyle w:val="104"/>
        <w:spacing w:before="240" w:after="240" w:line="360" w:lineRule="auto"/>
      </w:pPr>
      <w:bookmarkStart w:id="30" w:name="_Toc26986771"/>
      <w:bookmarkStart w:id="31" w:name="_Toc97192964"/>
      <w:bookmarkStart w:id="32" w:name="_Toc24884218"/>
      <w:bookmarkStart w:id="33" w:name="_Toc209894166"/>
      <w:bookmarkStart w:id="34" w:name="_Toc26986530"/>
      <w:bookmarkStart w:id="35" w:name="_Toc26648465"/>
      <w:bookmarkStart w:id="36" w:name="_Toc17233325"/>
      <w:bookmarkStart w:id="37" w:name="_Toc24884211"/>
      <w:bookmarkStart w:id="38" w:name="_Toc26718930"/>
      <w:bookmarkStart w:id="39" w:name="_Toc209948268"/>
      <w:bookmarkStart w:id="40" w:name="_Toc17233333"/>
      <w:r>
        <w:rPr>
          <w:rFonts w:hint="eastAsia"/>
        </w:rPr>
        <w:t>范围</w:t>
      </w:r>
      <w:bookmarkEnd w:id="30"/>
      <w:bookmarkEnd w:id="31"/>
      <w:bookmarkEnd w:id="32"/>
      <w:bookmarkEnd w:id="33"/>
      <w:bookmarkEnd w:id="34"/>
      <w:bookmarkEnd w:id="35"/>
      <w:bookmarkEnd w:id="36"/>
      <w:bookmarkEnd w:id="37"/>
      <w:bookmarkEnd w:id="38"/>
      <w:bookmarkEnd w:id="39"/>
      <w:bookmarkEnd w:id="40"/>
    </w:p>
    <w:p w14:paraId="4BADA34C">
      <w:pPr>
        <w:pStyle w:val="56"/>
        <w:spacing w:line="360" w:lineRule="auto"/>
        <w:ind w:firstLine="420"/>
      </w:pPr>
      <w:bookmarkStart w:id="41" w:name="_Toc17233326"/>
      <w:bookmarkStart w:id="42" w:name="_Toc24884212"/>
      <w:bookmarkStart w:id="43" w:name="_Toc26648466"/>
      <w:bookmarkStart w:id="44" w:name="_Toc24884219"/>
      <w:bookmarkStart w:id="45" w:name="_Toc17233334"/>
      <w:r>
        <w:rPr>
          <w:rFonts w:hint="eastAsia"/>
        </w:rPr>
        <w:t>本文件规定了基于大数据的生产制造全流程质量追溯的总体要求、数据采集管理、数据存储与共享、质量追溯建模、追溯信息应用场景、信息安全及系统运行维护等方面的内容与要求。</w:t>
      </w:r>
    </w:p>
    <w:p w14:paraId="48CDED1C">
      <w:pPr>
        <w:pStyle w:val="56"/>
        <w:spacing w:line="360" w:lineRule="auto"/>
        <w:ind w:firstLine="420"/>
      </w:pPr>
      <w:r>
        <w:rPr>
          <w:rFonts w:hint="eastAsia"/>
        </w:rPr>
        <w:t>本文件适用于生产制造企业在产品全生命周期中建立和应用基于大数据的质量追溯体系，包括原材料采购、生产加工、检验检测、仓储物流、销售与售后等环节。</w:t>
      </w:r>
    </w:p>
    <w:p w14:paraId="387C9C2B">
      <w:pPr>
        <w:pStyle w:val="56"/>
        <w:spacing w:line="360" w:lineRule="auto"/>
        <w:ind w:firstLine="420"/>
      </w:pPr>
      <w:r>
        <w:rPr>
          <w:rFonts w:hint="eastAsia"/>
        </w:rPr>
        <w:t>本文件亦可为行业监管部门、科研院所及第三方质量管理与服务机构开展相关工作提供参考。</w:t>
      </w:r>
    </w:p>
    <w:p w14:paraId="1F7FEEB2">
      <w:pPr>
        <w:pStyle w:val="104"/>
        <w:spacing w:before="240" w:after="240" w:line="360" w:lineRule="auto"/>
      </w:pPr>
      <w:bookmarkStart w:id="46" w:name="_Toc26718931"/>
      <w:bookmarkStart w:id="47" w:name="_Toc209894167"/>
      <w:bookmarkStart w:id="48" w:name="_Toc209948269"/>
      <w:bookmarkStart w:id="49" w:name="_Toc26986531"/>
      <w:bookmarkStart w:id="50" w:name="_Toc97192965"/>
      <w:bookmarkStart w:id="51" w:name="_Toc26986772"/>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56E7D8">
      <w:pPr>
        <w:pStyle w:val="56"/>
        <w:spacing w:line="360" w:lineRule="auto"/>
        <w:ind w:firstLine="420"/>
      </w:pPr>
      <w:r>
        <w:rPr>
          <w:rFonts w:hint="eastAsia"/>
        </w:rPr>
        <w:t>GB/T 1.1—2020 标准化工作导则  第1部分:标准化文件的结构和起草规则</w:t>
      </w:r>
    </w:p>
    <w:p w14:paraId="13DB9151">
      <w:pPr>
        <w:pStyle w:val="56"/>
        <w:spacing w:line="360" w:lineRule="auto"/>
        <w:ind w:firstLine="420"/>
      </w:pPr>
      <w:r>
        <w:t>GB/T 19000</w:t>
      </w:r>
      <w:r>
        <w:rPr>
          <w:rFonts w:hint="eastAsia"/>
        </w:rPr>
        <w:t>—</w:t>
      </w:r>
      <w:r>
        <w:t>2016</w:t>
      </w:r>
      <w:r>
        <w:rPr>
          <w:rFonts w:hint="eastAsia"/>
        </w:rPr>
        <w:t xml:space="preserve"> 质量管理体系  基础和术语</w:t>
      </w:r>
    </w:p>
    <w:p w14:paraId="2A82C91F">
      <w:pPr>
        <w:pStyle w:val="56"/>
        <w:spacing w:line="360" w:lineRule="auto"/>
        <w:ind w:firstLine="420"/>
      </w:pPr>
      <w:r>
        <w:t>GB/T 19001</w:t>
      </w:r>
      <w:r>
        <w:rPr>
          <w:rFonts w:hint="eastAsia"/>
        </w:rPr>
        <w:t>—</w:t>
      </w:r>
      <w:r>
        <w:t>2016</w:t>
      </w:r>
      <w:r>
        <w:rPr>
          <w:rFonts w:hint="eastAsia"/>
        </w:rPr>
        <w:t xml:space="preserve"> 质量管理体系  要求</w:t>
      </w:r>
    </w:p>
    <w:p w14:paraId="4E5AE7F4">
      <w:pPr>
        <w:pStyle w:val="56"/>
        <w:spacing w:line="360" w:lineRule="auto"/>
        <w:ind w:firstLine="420"/>
      </w:pPr>
      <w:r>
        <w:t>GB/T 22239</w:t>
      </w:r>
      <w:r>
        <w:rPr>
          <w:rFonts w:hint="eastAsia"/>
        </w:rPr>
        <w:t>—</w:t>
      </w:r>
      <w:r>
        <w:t>2019</w:t>
      </w:r>
      <w:r>
        <w:rPr>
          <w:rFonts w:hint="eastAsia"/>
        </w:rPr>
        <w:t xml:space="preserve"> 信息安全技术  网络安全等级保护基本要求</w:t>
      </w:r>
    </w:p>
    <w:p w14:paraId="6962992E">
      <w:pPr>
        <w:pStyle w:val="104"/>
        <w:spacing w:before="240" w:after="240" w:line="360" w:lineRule="auto"/>
      </w:pPr>
      <w:bookmarkStart w:id="52" w:name="_Toc209894168"/>
      <w:bookmarkStart w:id="53" w:name="_Toc97192966"/>
      <w:bookmarkStart w:id="54" w:name="_Toc209948270"/>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794744F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质量追溯 </w:t>
      </w:r>
      <w:r>
        <w:rPr>
          <w:rFonts w:ascii="黑体" w:hAnsi="黑体" w:eastAsia="黑体"/>
        </w:rPr>
        <w:t>quality traceability</w:t>
      </w:r>
    </w:p>
    <w:p w14:paraId="3E2EA7C7">
      <w:pPr>
        <w:pStyle w:val="56"/>
        <w:spacing w:line="360" w:lineRule="auto"/>
        <w:ind w:firstLine="420"/>
      </w:pPr>
      <w:r>
        <w:rPr>
          <w:rFonts w:hint="eastAsia"/>
        </w:rPr>
        <w:t>在产品全生命周期内，对其质量相关数据进行记录、查询和追踪的能力，用于明确质量问题来源并实现责任追溯。</w:t>
      </w:r>
    </w:p>
    <w:p w14:paraId="5CF43C0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大数据 </w:t>
      </w:r>
      <w:r>
        <w:rPr>
          <w:rFonts w:ascii="黑体" w:hAnsi="黑体" w:eastAsia="黑体"/>
        </w:rPr>
        <w:t>big data</w:t>
      </w:r>
    </w:p>
    <w:p w14:paraId="20AF3853">
      <w:pPr>
        <w:pStyle w:val="56"/>
        <w:spacing w:line="360" w:lineRule="auto"/>
        <w:ind w:firstLine="420"/>
      </w:pPr>
      <w:r>
        <w:rPr>
          <w:rFonts w:hint="eastAsia"/>
        </w:rPr>
        <w:t>具有数据规模巨大、类型多样、增长快速和价值密度低等特征的数据集合，需借助先进的信息处理技术进行采集、存储、分析和应用。</w:t>
      </w:r>
    </w:p>
    <w:p w14:paraId="5F23ED3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数据采集 </w:t>
      </w:r>
      <w:r>
        <w:rPr>
          <w:rFonts w:ascii="黑体" w:hAnsi="黑体" w:eastAsia="黑体"/>
        </w:rPr>
        <w:t>data acquisition</w:t>
      </w:r>
    </w:p>
    <w:p w14:paraId="004FEA9E">
      <w:pPr>
        <w:pStyle w:val="56"/>
        <w:spacing w:line="360" w:lineRule="auto"/>
        <w:ind w:firstLine="420"/>
      </w:pPr>
      <w:r>
        <w:rPr>
          <w:rFonts w:hint="eastAsia"/>
        </w:rPr>
        <w:t>通过传感器、信息系统或人工输入等方式，对生产制造过程中形成的各类结构化与非结构化数据进行收集的过程。</w:t>
      </w:r>
    </w:p>
    <w:p w14:paraId="68BC095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数据存储与共享 </w:t>
      </w:r>
      <w:r>
        <w:rPr>
          <w:rFonts w:ascii="黑体" w:hAnsi="黑体" w:eastAsia="黑体"/>
        </w:rPr>
        <w:t>data storage and sharing</w:t>
      </w:r>
    </w:p>
    <w:p w14:paraId="10BF7DA4">
      <w:pPr>
        <w:pStyle w:val="56"/>
        <w:spacing w:line="360" w:lineRule="auto"/>
        <w:ind w:firstLine="420"/>
      </w:pPr>
      <w:r>
        <w:rPr>
          <w:rFonts w:hint="eastAsia"/>
        </w:rPr>
        <w:t>将采集到的数据安全存储于数据库或云平台，并通过标准化接口和权限管理实现多方共享和调用的过程。</w:t>
      </w:r>
    </w:p>
    <w:p w14:paraId="55684C5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追溯建模 </w:t>
      </w:r>
      <w:r>
        <w:rPr>
          <w:rFonts w:ascii="黑体" w:hAnsi="黑体" w:eastAsia="黑体"/>
        </w:rPr>
        <w:t>traceability modeling</w:t>
      </w:r>
    </w:p>
    <w:p w14:paraId="1D46BC52">
      <w:pPr>
        <w:pStyle w:val="56"/>
        <w:spacing w:line="360" w:lineRule="auto"/>
        <w:ind w:firstLine="420"/>
      </w:pPr>
      <w:r>
        <w:rPr>
          <w:rFonts w:hint="eastAsia"/>
        </w:rPr>
        <w:t>基于大数据方法，对质量相关数据进行建模与关联分析的过程，用于实现产品全生命周期的质量追踪与问题定位。</w:t>
      </w:r>
    </w:p>
    <w:p w14:paraId="27EB6B9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信息安全 </w:t>
      </w:r>
      <w:r>
        <w:rPr>
          <w:rFonts w:ascii="黑体" w:hAnsi="黑体" w:eastAsia="黑体"/>
        </w:rPr>
        <w:t>information security</w:t>
      </w:r>
    </w:p>
    <w:p w14:paraId="12062132">
      <w:pPr>
        <w:pStyle w:val="56"/>
        <w:spacing w:line="360" w:lineRule="auto"/>
        <w:ind w:firstLine="420"/>
      </w:pPr>
      <w:r>
        <w:rPr>
          <w:rFonts w:hint="eastAsia"/>
        </w:rPr>
        <w:t>确保数据在采集、传输、存储与应用过程中保持机密性、完整性和可用性，防止未授权访问、篡改或泄露。</w:t>
      </w:r>
    </w:p>
    <w:p w14:paraId="647CB98B">
      <w:pPr>
        <w:pStyle w:val="104"/>
        <w:spacing w:before="240" w:after="240" w:line="360" w:lineRule="auto"/>
      </w:pPr>
      <w:bookmarkStart w:id="56" w:name="_Toc209894169"/>
      <w:bookmarkStart w:id="57" w:name="_Toc209948271"/>
      <w:r>
        <w:rPr>
          <w:rFonts w:hint="eastAsia"/>
        </w:rPr>
        <w:t>总体要求</w:t>
      </w:r>
      <w:bookmarkEnd w:id="56"/>
      <w:bookmarkEnd w:id="57"/>
    </w:p>
    <w:p w14:paraId="1009D036">
      <w:pPr>
        <w:pStyle w:val="105"/>
        <w:spacing w:before="120" w:after="120" w:line="360" w:lineRule="auto"/>
      </w:pPr>
      <w:r>
        <w:rPr>
          <w:rFonts w:hint="eastAsia"/>
        </w:rPr>
        <w:t>全面性</w:t>
      </w:r>
    </w:p>
    <w:p w14:paraId="63855698">
      <w:pPr>
        <w:pStyle w:val="56"/>
        <w:spacing w:line="360" w:lineRule="auto"/>
        <w:ind w:firstLine="420"/>
      </w:pPr>
      <w:r>
        <w:rPr>
          <w:rFonts w:hint="eastAsia"/>
        </w:rPr>
        <w:t>追溯体系应覆盖产品全生命周期，包括原材料采购、生产加工、检验检测、仓储物流、销售与售后服务等环节，确保每个环节均有完整的数据记录与追踪链条。</w:t>
      </w:r>
    </w:p>
    <w:p w14:paraId="0430F948">
      <w:pPr>
        <w:pStyle w:val="105"/>
        <w:spacing w:before="120" w:after="120" w:line="360" w:lineRule="auto"/>
      </w:pPr>
      <w:r>
        <w:rPr>
          <w:rFonts w:hint="eastAsia"/>
        </w:rPr>
        <w:t>标准化</w:t>
      </w:r>
    </w:p>
    <w:p w14:paraId="65D7F6E7">
      <w:pPr>
        <w:pStyle w:val="56"/>
        <w:spacing w:line="360" w:lineRule="auto"/>
        <w:ind w:firstLine="420"/>
      </w:pPr>
      <w:r>
        <w:rPr>
          <w:rFonts w:hint="eastAsia"/>
        </w:rPr>
        <w:t>数据采集、存储和交换应采用统一的标准与接口规范，保证不同系统、不同环节之间的数据能够互联互通，避免信息孤岛。</w:t>
      </w:r>
    </w:p>
    <w:p w14:paraId="790F3BD5">
      <w:pPr>
        <w:pStyle w:val="105"/>
        <w:spacing w:before="120" w:after="120" w:line="360" w:lineRule="auto"/>
      </w:pPr>
      <w:r>
        <w:rPr>
          <w:rFonts w:hint="eastAsia"/>
        </w:rPr>
        <w:t>真实性</w:t>
      </w:r>
    </w:p>
    <w:p w14:paraId="58776452">
      <w:pPr>
        <w:pStyle w:val="56"/>
        <w:spacing w:line="360" w:lineRule="auto"/>
        <w:ind w:firstLine="420"/>
      </w:pPr>
      <w:r>
        <w:rPr>
          <w:rFonts w:hint="eastAsia"/>
        </w:rPr>
        <w:t>追溯数据应来源可靠，采集过程应符合真实、客观、可验证的原则，确保信息不被篡改或伪造。</w:t>
      </w:r>
    </w:p>
    <w:p w14:paraId="675A5284">
      <w:pPr>
        <w:pStyle w:val="105"/>
        <w:spacing w:before="120" w:after="120" w:line="360" w:lineRule="auto"/>
      </w:pPr>
      <w:r>
        <w:rPr>
          <w:rFonts w:hint="eastAsia"/>
        </w:rPr>
        <w:t>时效性</w:t>
      </w:r>
    </w:p>
    <w:p w14:paraId="0F1C8CC4">
      <w:pPr>
        <w:pStyle w:val="56"/>
        <w:spacing w:line="360" w:lineRule="auto"/>
        <w:ind w:firstLine="420"/>
      </w:pPr>
      <w:r>
        <w:rPr>
          <w:rFonts w:hint="eastAsia"/>
        </w:rPr>
        <w:t>追溯体系应能够实现关键质量数据的实时采集与更新，保证在质量问题发生时能够快速溯源与处置。</w:t>
      </w:r>
    </w:p>
    <w:p w14:paraId="1B350E28">
      <w:pPr>
        <w:pStyle w:val="105"/>
        <w:spacing w:before="120" w:after="120" w:line="360" w:lineRule="auto"/>
      </w:pPr>
      <w:r>
        <w:rPr>
          <w:rFonts w:hint="eastAsia"/>
        </w:rPr>
        <w:t>安全性</w:t>
      </w:r>
    </w:p>
    <w:p w14:paraId="5D6CC7C8">
      <w:pPr>
        <w:pStyle w:val="56"/>
        <w:spacing w:line="360" w:lineRule="auto"/>
        <w:ind w:firstLine="420"/>
      </w:pPr>
      <w:r>
        <w:rPr>
          <w:rFonts w:hint="eastAsia"/>
        </w:rPr>
        <w:t>系统应建立严格的信息安全与隐私保护机制，对数据存储、访问和共享进行权限控制和加密保护。</w:t>
      </w:r>
    </w:p>
    <w:p w14:paraId="7891D2C5">
      <w:pPr>
        <w:pStyle w:val="105"/>
        <w:spacing w:before="120" w:after="120" w:line="360" w:lineRule="auto"/>
      </w:pPr>
      <w:r>
        <w:rPr>
          <w:rFonts w:hint="eastAsia"/>
        </w:rPr>
        <w:t>可视化与智能化</w:t>
      </w:r>
    </w:p>
    <w:p w14:paraId="0D4FC309">
      <w:pPr>
        <w:pStyle w:val="56"/>
        <w:spacing w:line="360" w:lineRule="auto"/>
        <w:ind w:firstLine="420"/>
      </w:pPr>
      <w:r>
        <w:rPr>
          <w:rFonts w:hint="eastAsia"/>
        </w:rPr>
        <w:t>应利用数据分析、建模与可视化工具，使追溯信息直观呈现，并通过人工智能、大数据分析实现趋势预测与风险预警。</w:t>
      </w:r>
    </w:p>
    <w:p w14:paraId="581EAE02">
      <w:pPr>
        <w:pStyle w:val="105"/>
        <w:spacing w:before="120" w:after="120" w:line="360" w:lineRule="auto"/>
      </w:pPr>
      <w:r>
        <w:rPr>
          <w:rFonts w:hint="eastAsia"/>
        </w:rPr>
        <w:t>持续改进</w:t>
      </w:r>
    </w:p>
    <w:p w14:paraId="311204EC">
      <w:pPr>
        <w:pStyle w:val="56"/>
        <w:spacing w:line="360" w:lineRule="auto"/>
        <w:ind w:firstLine="420"/>
      </w:pPr>
      <w:r>
        <w:rPr>
          <w:rFonts w:hint="eastAsia"/>
        </w:rPr>
        <w:t>追溯体系应具备动态优化机制，定期评估运行效果，根据新技术和新需求不断完善，提升整体运行水平。</w:t>
      </w:r>
    </w:p>
    <w:p w14:paraId="4AC3F7A8">
      <w:pPr>
        <w:pStyle w:val="104"/>
        <w:spacing w:before="240" w:after="240" w:line="360" w:lineRule="auto"/>
      </w:pPr>
      <w:bookmarkStart w:id="58" w:name="_Toc209894170"/>
      <w:bookmarkStart w:id="59" w:name="_Toc209948272"/>
      <w:r>
        <w:rPr>
          <w:rFonts w:hint="eastAsia"/>
        </w:rPr>
        <w:t>数据采集管理</w:t>
      </w:r>
      <w:bookmarkEnd w:id="58"/>
      <w:bookmarkEnd w:id="59"/>
    </w:p>
    <w:p w14:paraId="2C9AC78E">
      <w:pPr>
        <w:pStyle w:val="105"/>
        <w:spacing w:before="120" w:after="120" w:line="360" w:lineRule="auto"/>
      </w:pPr>
      <w:r>
        <w:rPr>
          <w:rFonts w:hint="eastAsia"/>
        </w:rPr>
        <w:t>一般要求</w:t>
      </w:r>
    </w:p>
    <w:p w14:paraId="48E67065">
      <w:pPr>
        <w:pStyle w:val="56"/>
        <w:spacing w:line="360" w:lineRule="auto"/>
        <w:ind w:firstLine="420"/>
      </w:pPr>
      <w:r>
        <w:rPr>
          <w:rFonts w:hint="eastAsia"/>
        </w:rPr>
        <w:t>数据采集应覆盖原材料、生产工艺、设备运行、检验检测、仓储物流和售后服务等全过程。采集方式包括传感器采集、自动化信息系统采集和人工输入。采集数据应符合准确性、完整性和可追溯性要求。</w:t>
      </w:r>
    </w:p>
    <w:p w14:paraId="0BB313AA">
      <w:pPr>
        <w:pStyle w:val="105"/>
        <w:spacing w:before="120" w:after="120" w:line="360" w:lineRule="auto"/>
      </w:pPr>
      <w:r>
        <w:rPr>
          <w:rFonts w:hint="eastAsia"/>
        </w:rPr>
        <w:t>数据分类</w:t>
      </w:r>
    </w:p>
    <w:p w14:paraId="70061C79">
      <w:pPr>
        <w:pStyle w:val="56"/>
        <w:spacing w:line="360" w:lineRule="auto"/>
        <w:ind w:firstLine="420"/>
      </w:pPr>
      <w:r>
        <w:rPr>
          <w:rFonts w:hint="eastAsia"/>
        </w:rPr>
        <w:t>采集数据应分为结构化数据、半结构化数据和非结构化数据。分类管理有助于提高数据的可处理性和应用价值。</w:t>
      </w:r>
    </w:p>
    <w:p w14:paraId="6E903BF4">
      <w:pPr>
        <w:pStyle w:val="105"/>
        <w:spacing w:before="120" w:after="120" w:line="360" w:lineRule="auto"/>
      </w:pPr>
      <w:r>
        <w:rPr>
          <w:rFonts w:hint="eastAsia"/>
        </w:rPr>
        <w:t>数据标准化</w:t>
      </w:r>
    </w:p>
    <w:p w14:paraId="2E58F714">
      <w:pPr>
        <w:pStyle w:val="56"/>
        <w:spacing w:line="360" w:lineRule="auto"/>
        <w:ind w:firstLine="420"/>
      </w:pPr>
      <w:r>
        <w:rPr>
          <w:rFonts w:hint="eastAsia"/>
        </w:rPr>
        <w:t>采集数据应采用统一的编码体系和数据格式，确保跨环节、跨系统之间的兼容性。必要时，应遵循国家标准和行业标准，提升数据共享与互操作能力。</w:t>
      </w:r>
    </w:p>
    <w:p w14:paraId="22974001">
      <w:pPr>
        <w:pStyle w:val="105"/>
        <w:spacing w:before="120" w:after="120" w:line="360" w:lineRule="auto"/>
      </w:pPr>
      <w:r>
        <w:rPr>
          <w:rFonts w:hint="eastAsia"/>
        </w:rPr>
        <w:t>数据质量控制</w:t>
      </w:r>
    </w:p>
    <w:p w14:paraId="1F7F26E1">
      <w:pPr>
        <w:pStyle w:val="56"/>
        <w:spacing w:line="360" w:lineRule="auto"/>
        <w:ind w:firstLine="420"/>
      </w:pPr>
      <w:r>
        <w:rPr>
          <w:rFonts w:hint="eastAsia"/>
        </w:rPr>
        <w:t>应建立数据校验与清洗机制，剔除异常数据和错误数据。对采集设备，应定期校准和检测，确保数据采集的准确性与稳定性。</w:t>
      </w:r>
    </w:p>
    <w:p w14:paraId="54F88AA8">
      <w:pPr>
        <w:pStyle w:val="105"/>
        <w:spacing w:before="120" w:after="120" w:line="360" w:lineRule="auto"/>
      </w:pPr>
      <w:r>
        <w:rPr>
          <w:rFonts w:hint="eastAsia"/>
        </w:rPr>
        <w:t>数据权限与管理</w:t>
      </w:r>
    </w:p>
    <w:p w14:paraId="5DEC3827">
      <w:pPr>
        <w:pStyle w:val="56"/>
        <w:spacing w:line="360" w:lineRule="auto"/>
        <w:ind w:firstLine="420"/>
      </w:pPr>
      <w:r>
        <w:rPr>
          <w:rFonts w:hint="eastAsia"/>
        </w:rPr>
        <w:t>采集的数据应按敏感程度分级管理，明确各类用户的数据访问权限。应建立数据采集日志，确保采集过程和数据修改行为可追溯。</w:t>
      </w:r>
    </w:p>
    <w:p w14:paraId="27EAA8A9">
      <w:pPr>
        <w:pStyle w:val="105"/>
        <w:spacing w:before="120" w:after="120" w:line="360" w:lineRule="auto"/>
      </w:pPr>
      <w:r>
        <w:rPr>
          <w:rFonts w:hint="eastAsia"/>
        </w:rPr>
        <w:t>数据生命周期管理</w:t>
      </w:r>
    </w:p>
    <w:p w14:paraId="27888929">
      <w:pPr>
        <w:pStyle w:val="56"/>
        <w:spacing w:line="360" w:lineRule="auto"/>
        <w:ind w:firstLine="420"/>
      </w:pPr>
      <w:r>
        <w:rPr>
          <w:rFonts w:hint="eastAsia"/>
        </w:rPr>
        <w:t>应明确采集数据的存储期限、归档方式和销毁机制，保证数据在全生命周期内的合规性与安全性。</w:t>
      </w:r>
    </w:p>
    <w:p w14:paraId="55C1494A">
      <w:pPr>
        <w:pStyle w:val="104"/>
        <w:spacing w:before="240" w:after="240" w:line="360" w:lineRule="auto"/>
      </w:pPr>
      <w:bookmarkStart w:id="60" w:name="_Toc209894171"/>
      <w:bookmarkStart w:id="61" w:name="_Toc209948273"/>
      <w:r>
        <w:rPr>
          <w:rFonts w:hint="eastAsia"/>
        </w:rPr>
        <w:t>数据存储与共享</w:t>
      </w:r>
      <w:bookmarkEnd w:id="60"/>
      <w:bookmarkEnd w:id="61"/>
    </w:p>
    <w:p w14:paraId="775DF5D1">
      <w:pPr>
        <w:pStyle w:val="105"/>
        <w:spacing w:before="120" w:after="120" w:line="360" w:lineRule="auto"/>
      </w:pPr>
      <w:r>
        <w:rPr>
          <w:rFonts w:hint="eastAsia"/>
        </w:rPr>
        <w:t>一般要求</w:t>
      </w:r>
    </w:p>
    <w:p w14:paraId="6AAC4B7C">
      <w:pPr>
        <w:pStyle w:val="56"/>
        <w:spacing w:line="360" w:lineRule="auto"/>
        <w:ind w:firstLine="420"/>
      </w:pPr>
      <w:r>
        <w:rPr>
          <w:rFonts w:hint="eastAsia"/>
        </w:rPr>
        <w:t>存储与共享体系应以安全、稳定、可扩展为原则，能够兼容不同类型的数据（结构化、半结构化和非结构化），并确保关键质量数据在传输与使用过程中保持完整与可追溯。</w:t>
      </w:r>
    </w:p>
    <w:p w14:paraId="0B14DDD0">
      <w:pPr>
        <w:pStyle w:val="105"/>
        <w:spacing w:before="120" w:after="120" w:line="360" w:lineRule="auto"/>
      </w:pPr>
      <w:r>
        <w:rPr>
          <w:rFonts w:hint="eastAsia"/>
        </w:rPr>
        <w:t>数据存储方式</w:t>
      </w:r>
    </w:p>
    <w:p w14:paraId="3A8E1874">
      <w:pPr>
        <w:pStyle w:val="56"/>
        <w:spacing w:line="360" w:lineRule="auto"/>
        <w:ind w:firstLine="420"/>
      </w:pPr>
      <w:r>
        <w:rPr>
          <w:rFonts w:hint="eastAsia"/>
        </w:rPr>
        <w:t>在数据存储方面，应根据不同应用需求选择适宜的方式：</w:t>
      </w:r>
    </w:p>
    <w:p w14:paraId="3B415578">
      <w:pPr>
        <w:pStyle w:val="132"/>
        <w:spacing w:line="360" w:lineRule="auto"/>
      </w:pPr>
      <w:r>
        <w:rPr>
          <w:rFonts w:hint="eastAsia"/>
        </w:rPr>
        <w:t>数据库存储：主要适用于结构化数据，如生产参数、检测结果、供应商信息等，具有成熟稳定、便于检索和统计分析的特点；</w:t>
      </w:r>
    </w:p>
    <w:p w14:paraId="3412E7FC">
      <w:pPr>
        <w:pStyle w:val="132"/>
        <w:spacing w:line="360" w:lineRule="auto"/>
      </w:pPr>
      <w:r>
        <w:rPr>
          <w:rFonts w:hint="eastAsia"/>
        </w:rPr>
        <w:t>分布式存储：适合管理大规模、多源异构数据，能够支持高并发访问与负载均衡，满足复杂制造系统的实时性需求；</w:t>
      </w:r>
    </w:p>
    <w:p w14:paraId="2BDF414D">
      <w:pPr>
        <w:pStyle w:val="132"/>
        <w:spacing w:line="360" w:lineRule="auto"/>
      </w:pPr>
      <w:r>
        <w:rPr>
          <w:rFonts w:hint="eastAsia"/>
        </w:rPr>
        <w:t>云存储：适用于需要跨地域、多组织的数据共享场景，支持弹性扩展和远程访问，但依赖于网络环境和安全保障措施。</w:t>
      </w:r>
    </w:p>
    <w:p w14:paraId="519FEFAC">
      <w:pPr>
        <w:pStyle w:val="105"/>
        <w:spacing w:before="120" w:after="120" w:line="360" w:lineRule="auto"/>
      </w:pPr>
      <w:r>
        <w:rPr>
          <w:rFonts w:hint="eastAsia"/>
        </w:rPr>
        <w:t>数据共享机制</w:t>
      </w:r>
    </w:p>
    <w:p w14:paraId="7FBA6ED3">
      <w:pPr>
        <w:pStyle w:val="56"/>
        <w:spacing w:line="360" w:lineRule="auto"/>
        <w:ind w:firstLine="420"/>
      </w:pPr>
      <w:r>
        <w:rPr>
          <w:rFonts w:hint="eastAsia"/>
        </w:rPr>
        <w:t>在数据共享方面，应建立统一的接口规范和安全机制，以保证跨系统、跨企业间的数据高效互操作：</w:t>
      </w:r>
    </w:p>
    <w:p w14:paraId="17C98EC1">
      <w:pPr>
        <w:pStyle w:val="132"/>
        <w:spacing w:line="360" w:lineRule="auto"/>
      </w:pPr>
      <w:r>
        <w:rPr>
          <w:rFonts w:hint="eastAsia"/>
        </w:rPr>
        <w:t>API 接口：适用于不同系统间的数据实时调用，灵活性高，但必须统一接口标准以保证兼容性；</w:t>
      </w:r>
    </w:p>
    <w:p w14:paraId="16AD341B">
      <w:pPr>
        <w:pStyle w:val="132"/>
        <w:spacing w:line="360" w:lineRule="auto"/>
      </w:pPr>
      <w:r>
        <w:rPr>
          <w:rFonts w:hint="eastAsia"/>
        </w:rPr>
        <w:t>数据交换平台：用于集中化的跨企业、跨环节数据交换，数据标准化程度高，便于统一管理；</w:t>
      </w:r>
    </w:p>
    <w:p w14:paraId="653F60D2">
      <w:pPr>
        <w:pStyle w:val="132"/>
        <w:spacing w:line="360" w:lineRule="auto"/>
      </w:pPr>
      <w:r>
        <w:rPr>
          <w:rFonts w:hint="eastAsia"/>
        </w:rPr>
        <w:t>区块链共享：适合涉及多方参与和关键质量数据存证的场景，能够有效防止篡改，提升数据的可信度。</w:t>
      </w:r>
    </w:p>
    <w:p w14:paraId="78D9F80F">
      <w:pPr>
        <w:pStyle w:val="105"/>
        <w:spacing w:before="120" w:after="120" w:line="360" w:lineRule="auto"/>
      </w:pPr>
      <w:r>
        <w:rPr>
          <w:rFonts w:hint="eastAsia"/>
        </w:rPr>
        <w:t>数据安全管理</w:t>
      </w:r>
    </w:p>
    <w:p w14:paraId="5D0E5986">
      <w:pPr>
        <w:pStyle w:val="56"/>
        <w:spacing w:line="360" w:lineRule="auto"/>
        <w:ind w:firstLine="420"/>
      </w:pPr>
      <w:r>
        <w:rPr>
          <w:rFonts w:hint="eastAsia"/>
        </w:rPr>
        <w:t>数据在存储和共享过程中，应始终保证机密性、完整性和可用性。应采取加密传输、权限控制、访问审计等手段，对跨组织共享的数据实行严格的身份认证和访问授权。</w:t>
      </w:r>
    </w:p>
    <w:p w14:paraId="6A470142">
      <w:pPr>
        <w:pStyle w:val="105"/>
        <w:spacing w:before="120" w:after="120" w:line="360" w:lineRule="auto"/>
      </w:pPr>
      <w:r>
        <w:rPr>
          <w:rFonts w:hint="eastAsia"/>
        </w:rPr>
        <w:t>数据备份与恢复</w:t>
      </w:r>
    </w:p>
    <w:p w14:paraId="41083EEE">
      <w:pPr>
        <w:pStyle w:val="56"/>
        <w:spacing w:line="360" w:lineRule="auto"/>
        <w:ind w:firstLine="420"/>
      </w:pPr>
      <w:r>
        <w:rPr>
          <w:rFonts w:hint="eastAsia"/>
        </w:rPr>
        <w:t>为防止数据丢失，应建立多层级的数据备份机制，包括本地与云端备份。关键数据应实现实时备份，并具备灾难恢复能力，以保障系统在突发情况下的业务连续性。</w:t>
      </w:r>
    </w:p>
    <w:p w14:paraId="18804746">
      <w:pPr>
        <w:pStyle w:val="105"/>
        <w:spacing w:before="120" w:after="120" w:line="360" w:lineRule="auto"/>
      </w:pPr>
      <w:r>
        <w:rPr>
          <w:rFonts w:hint="eastAsia"/>
        </w:rPr>
        <w:t>数据标准化与兼容性</w:t>
      </w:r>
    </w:p>
    <w:p w14:paraId="786966E2">
      <w:pPr>
        <w:pStyle w:val="56"/>
        <w:spacing w:line="360" w:lineRule="auto"/>
        <w:ind w:firstLine="420"/>
      </w:pPr>
      <w:r>
        <w:rPr>
          <w:rFonts w:hint="eastAsia"/>
        </w:rPr>
        <w:t>存储与共享的数据应符合国家与行业相关标准，确保编码、格式和结构的一致性。对于跨组织的数据交互，应建立统一的数据字典和接口协议。</w:t>
      </w:r>
    </w:p>
    <w:p w14:paraId="4DF48D52">
      <w:pPr>
        <w:pStyle w:val="104"/>
        <w:spacing w:before="240" w:after="240" w:line="360" w:lineRule="auto"/>
      </w:pPr>
      <w:bookmarkStart w:id="62" w:name="_Toc209894172"/>
      <w:bookmarkStart w:id="63" w:name="_Toc209948274"/>
      <w:r>
        <w:rPr>
          <w:rFonts w:hint="eastAsia"/>
        </w:rPr>
        <w:t>质量追溯建模</w:t>
      </w:r>
      <w:bookmarkEnd w:id="62"/>
      <w:bookmarkEnd w:id="63"/>
    </w:p>
    <w:p w14:paraId="2974EB1E">
      <w:pPr>
        <w:pStyle w:val="105"/>
        <w:spacing w:before="120" w:after="120" w:line="360" w:lineRule="auto"/>
      </w:pPr>
      <w:r>
        <w:rPr>
          <w:rFonts w:hint="eastAsia"/>
        </w:rPr>
        <w:t>一般要求</w:t>
      </w:r>
    </w:p>
    <w:p w14:paraId="056C95E0">
      <w:pPr>
        <w:pStyle w:val="56"/>
        <w:spacing w:line="360" w:lineRule="auto"/>
        <w:ind w:firstLine="420"/>
      </w:pPr>
      <w:r>
        <w:rPr>
          <w:rFonts w:hint="eastAsia"/>
        </w:rPr>
        <w:t>建模与分析应以质量追溯目标为导向，充分考虑数据的完整性、时效性和多样性。模型应具备可解释性，分析结果应便于实际应用和管理决策。</w:t>
      </w:r>
    </w:p>
    <w:p w14:paraId="6E8762B0">
      <w:pPr>
        <w:pStyle w:val="105"/>
        <w:spacing w:before="120" w:after="120" w:line="360" w:lineRule="auto"/>
      </w:pPr>
      <w:r>
        <w:rPr>
          <w:rFonts w:hint="eastAsia"/>
        </w:rPr>
        <w:t>数据预处理</w:t>
      </w:r>
    </w:p>
    <w:p w14:paraId="5AE1DEA4">
      <w:pPr>
        <w:pStyle w:val="56"/>
        <w:spacing w:line="360" w:lineRule="auto"/>
        <w:ind w:firstLine="420"/>
      </w:pPr>
      <w:r>
        <w:rPr>
          <w:rFonts w:hint="eastAsia"/>
        </w:rPr>
        <w:t>在建模前，应对采集数据进行清洗、去噪和标准化，确保数据真实有效。对于多源异构数据，应通过数据融合技术实现统一化处理，为建模提供一致的数据基础。</w:t>
      </w:r>
    </w:p>
    <w:p w14:paraId="44D8B944">
      <w:pPr>
        <w:pStyle w:val="105"/>
        <w:spacing w:before="120" w:after="120" w:line="360" w:lineRule="auto"/>
      </w:pPr>
      <w:r>
        <w:rPr>
          <w:rFonts w:hint="eastAsia"/>
        </w:rPr>
        <w:t>建模方法</w:t>
      </w:r>
    </w:p>
    <w:p w14:paraId="494843E3">
      <w:pPr>
        <w:pStyle w:val="56"/>
        <w:spacing w:line="360" w:lineRule="auto"/>
        <w:ind w:firstLine="420"/>
      </w:pPr>
      <w:r>
        <w:rPr>
          <w:rFonts w:hint="eastAsia"/>
        </w:rPr>
        <w:t>在选择建模方法时，应根据不同的追溯需求和数据特性加以匹配：</w:t>
      </w:r>
    </w:p>
    <w:p w14:paraId="52210DAB">
      <w:pPr>
        <w:pStyle w:val="132"/>
        <w:spacing w:line="360" w:lineRule="auto"/>
      </w:pPr>
      <w:r>
        <w:rPr>
          <w:rFonts w:hint="eastAsia"/>
        </w:rPr>
        <w:t>统计建模：如回归分析、方差分析，适用于质量参数与结果关系研究；</w:t>
      </w:r>
    </w:p>
    <w:p w14:paraId="4534C773">
      <w:pPr>
        <w:pStyle w:val="132"/>
        <w:spacing w:line="360" w:lineRule="auto"/>
      </w:pPr>
      <w:r>
        <w:rPr>
          <w:rFonts w:hint="eastAsia"/>
        </w:rPr>
        <w:t>机器学习建模：如决策树、随机森林、支持向量机，适合进行模式识别与质量预测；</w:t>
      </w:r>
    </w:p>
    <w:p w14:paraId="34B905FB">
      <w:pPr>
        <w:pStyle w:val="132"/>
        <w:spacing w:line="360" w:lineRule="auto"/>
      </w:pPr>
      <w:r>
        <w:rPr>
          <w:rFonts w:hint="eastAsia"/>
        </w:rPr>
        <w:t>深度学习建模：如神经网络、卷积网络，适合处理复杂的非结构化数据（如图像、视频）；</w:t>
      </w:r>
    </w:p>
    <w:p w14:paraId="33DD5606">
      <w:pPr>
        <w:pStyle w:val="132"/>
        <w:spacing w:line="360" w:lineRule="auto"/>
      </w:pPr>
      <w:r>
        <w:rPr>
          <w:rFonts w:hint="eastAsia"/>
        </w:rPr>
        <w:t>因果建模：通过因果关系分析，明确质量问题的根本原因；</w:t>
      </w:r>
    </w:p>
    <w:p w14:paraId="43D02321">
      <w:pPr>
        <w:pStyle w:val="132"/>
        <w:spacing w:line="360" w:lineRule="auto"/>
      </w:pPr>
      <w:r>
        <w:rPr>
          <w:rFonts w:hint="eastAsia"/>
        </w:rPr>
        <w:t>多维可视化建模：通过图表和动态交互界面，直观展示质量追溯信息。</w:t>
      </w:r>
    </w:p>
    <w:p w14:paraId="3F5DEA73">
      <w:pPr>
        <w:pStyle w:val="56"/>
        <w:spacing w:line="360" w:lineRule="auto"/>
        <w:ind w:firstLine="420"/>
      </w:pPr>
      <w:r>
        <w:rPr>
          <w:rFonts w:hint="eastAsia"/>
        </w:rPr>
        <w:t>常见建模方法见表1。</w:t>
      </w:r>
    </w:p>
    <w:p w14:paraId="04632624">
      <w:pPr>
        <w:pStyle w:val="112"/>
        <w:spacing w:before="120" w:after="120" w:line="360" w:lineRule="auto"/>
      </w:pPr>
      <w:r>
        <w:rPr>
          <w:rFonts w:hint="eastAsia"/>
        </w:rPr>
        <w:t>常见建模方法与应用示例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544"/>
        <w:gridCol w:w="3248"/>
      </w:tblGrid>
      <w:tr w14:paraId="5028A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tcPr>
          <w:p w14:paraId="7B065BBB">
            <w:pPr>
              <w:pStyle w:val="178"/>
            </w:pPr>
            <w:r>
              <w:rPr>
                <w:rFonts w:hint="eastAsia"/>
              </w:rPr>
              <w:t>建模方法</w:t>
            </w:r>
          </w:p>
        </w:tc>
        <w:tc>
          <w:tcPr>
            <w:tcW w:w="3544" w:type="dxa"/>
            <w:tcBorders>
              <w:top w:val="single" w:color="auto" w:sz="8" w:space="0"/>
              <w:bottom w:val="single" w:color="auto" w:sz="8" w:space="0"/>
            </w:tcBorders>
          </w:tcPr>
          <w:p w14:paraId="3DFA0E65">
            <w:pPr>
              <w:pStyle w:val="178"/>
            </w:pPr>
            <w:r>
              <w:rPr>
                <w:rFonts w:hint="eastAsia"/>
              </w:rPr>
              <w:t>特点</w:t>
            </w:r>
          </w:p>
        </w:tc>
        <w:tc>
          <w:tcPr>
            <w:tcW w:w="3248" w:type="dxa"/>
            <w:tcBorders>
              <w:top w:val="single" w:color="auto" w:sz="8" w:space="0"/>
              <w:bottom w:val="single" w:color="auto" w:sz="8" w:space="0"/>
            </w:tcBorders>
          </w:tcPr>
          <w:p w14:paraId="3D06FD1A">
            <w:pPr>
              <w:pStyle w:val="178"/>
            </w:pPr>
            <w:r>
              <w:rPr>
                <w:rFonts w:hint="eastAsia"/>
              </w:rPr>
              <w:t>适用场景</w:t>
            </w:r>
          </w:p>
        </w:tc>
      </w:tr>
      <w:tr w14:paraId="4CB53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tcPr>
          <w:p w14:paraId="41DE34ED">
            <w:pPr>
              <w:pStyle w:val="178"/>
            </w:pPr>
            <w:r>
              <w:rPr>
                <w:rFonts w:hint="eastAsia"/>
              </w:rPr>
              <w:t>回归分析</w:t>
            </w:r>
          </w:p>
        </w:tc>
        <w:tc>
          <w:tcPr>
            <w:tcW w:w="3544" w:type="dxa"/>
            <w:tcBorders>
              <w:top w:val="single" w:color="auto" w:sz="8" w:space="0"/>
            </w:tcBorders>
          </w:tcPr>
          <w:p w14:paraId="04A13E45">
            <w:pPr>
              <w:pStyle w:val="178"/>
            </w:pPr>
            <w:r>
              <w:rPr>
                <w:rFonts w:hint="eastAsia"/>
              </w:rPr>
              <w:t>简单直观，可量化关系</w:t>
            </w:r>
          </w:p>
        </w:tc>
        <w:tc>
          <w:tcPr>
            <w:tcW w:w="3248" w:type="dxa"/>
            <w:tcBorders>
              <w:top w:val="single" w:color="auto" w:sz="8" w:space="0"/>
            </w:tcBorders>
          </w:tcPr>
          <w:p w14:paraId="38DE8C32">
            <w:pPr>
              <w:pStyle w:val="178"/>
            </w:pPr>
            <w:r>
              <w:rPr>
                <w:rFonts w:hint="eastAsia"/>
              </w:rPr>
              <w:t>工艺参数与质量结果关系分析</w:t>
            </w:r>
          </w:p>
        </w:tc>
      </w:tr>
      <w:tr w14:paraId="17DCB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600BAB5A">
            <w:pPr>
              <w:pStyle w:val="178"/>
            </w:pPr>
            <w:r>
              <w:rPr>
                <w:rFonts w:hint="eastAsia"/>
              </w:rPr>
              <w:t>决策树/随机森林</w:t>
            </w:r>
          </w:p>
        </w:tc>
        <w:tc>
          <w:tcPr>
            <w:tcW w:w="3544" w:type="dxa"/>
          </w:tcPr>
          <w:p w14:paraId="3AB97A8E">
            <w:pPr>
              <w:pStyle w:val="178"/>
            </w:pPr>
            <w:r>
              <w:rPr>
                <w:rFonts w:hint="eastAsia"/>
              </w:rPr>
              <w:t>可解释性强，处理非线性关系</w:t>
            </w:r>
          </w:p>
        </w:tc>
        <w:tc>
          <w:tcPr>
            <w:tcW w:w="3248" w:type="dxa"/>
          </w:tcPr>
          <w:p w14:paraId="789F71C6">
            <w:pPr>
              <w:pStyle w:val="178"/>
            </w:pPr>
            <w:r>
              <w:rPr>
                <w:rFonts w:hint="eastAsia"/>
              </w:rPr>
              <w:t>缺陷分类、异常检测</w:t>
            </w:r>
          </w:p>
        </w:tc>
      </w:tr>
      <w:tr w14:paraId="0A0A1C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08838CDD">
            <w:pPr>
              <w:pStyle w:val="178"/>
            </w:pPr>
            <w:r>
              <w:rPr>
                <w:rFonts w:hint="eastAsia"/>
              </w:rPr>
              <w:t>支持向量机 (SVM)</w:t>
            </w:r>
          </w:p>
        </w:tc>
        <w:tc>
          <w:tcPr>
            <w:tcW w:w="3544" w:type="dxa"/>
          </w:tcPr>
          <w:p w14:paraId="39BFC045">
            <w:pPr>
              <w:pStyle w:val="178"/>
            </w:pPr>
            <w:r>
              <w:rPr>
                <w:rFonts w:hint="eastAsia"/>
              </w:rPr>
              <w:t>适合小样本，高维数据分析</w:t>
            </w:r>
          </w:p>
        </w:tc>
        <w:tc>
          <w:tcPr>
            <w:tcW w:w="3248" w:type="dxa"/>
          </w:tcPr>
          <w:p w14:paraId="0C3FE392">
            <w:pPr>
              <w:pStyle w:val="178"/>
            </w:pPr>
            <w:r>
              <w:rPr>
                <w:rFonts w:hint="eastAsia"/>
              </w:rPr>
              <w:t>复杂工艺条件下的质量预测</w:t>
            </w:r>
          </w:p>
        </w:tc>
      </w:tr>
      <w:tr w14:paraId="780DD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41065A7E">
            <w:pPr>
              <w:pStyle w:val="178"/>
            </w:pPr>
            <w:r>
              <w:rPr>
                <w:rFonts w:hint="eastAsia"/>
              </w:rPr>
              <w:t>神经网络/深度学习</w:t>
            </w:r>
          </w:p>
        </w:tc>
        <w:tc>
          <w:tcPr>
            <w:tcW w:w="3544" w:type="dxa"/>
          </w:tcPr>
          <w:p w14:paraId="2BCA6C0A">
            <w:pPr>
              <w:pStyle w:val="178"/>
            </w:pPr>
            <w:r>
              <w:rPr>
                <w:rFonts w:hint="eastAsia"/>
              </w:rPr>
              <w:t>处理非结构化大数据能力强</w:t>
            </w:r>
          </w:p>
        </w:tc>
        <w:tc>
          <w:tcPr>
            <w:tcW w:w="3248" w:type="dxa"/>
          </w:tcPr>
          <w:p w14:paraId="0F9F946D">
            <w:pPr>
              <w:pStyle w:val="178"/>
            </w:pPr>
            <w:r>
              <w:rPr>
                <w:rFonts w:hint="eastAsia"/>
              </w:rPr>
              <w:t>图像缺陷检测、视频质量监控</w:t>
            </w:r>
          </w:p>
        </w:tc>
      </w:tr>
      <w:tr w14:paraId="4FCAF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45E87369">
            <w:pPr>
              <w:pStyle w:val="178"/>
            </w:pPr>
            <w:r>
              <w:rPr>
                <w:rFonts w:hint="eastAsia"/>
              </w:rPr>
              <w:t>因果分析模型</w:t>
            </w:r>
          </w:p>
        </w:tc>
        <w:tc>
          <w:tcPr>
            <w:tcW w:w="3544" w:type="dxa"/>
          </w:tcPr>
          <w:p w14:paraId="01A04C34">
            <w:pPr>
              <w:pStyle w:val="178"/>
            </w:pPr>
            <w:r>
              <w:rPr>
                <w:rFonts w:hint="eastAsia"/>
              </w:rPr>
              <w:t>明确因果关系，避免伪相关性</w:t>
            </w:r>
          </w:p>
        </w:tc>
        <w:tc>
          <w:tcPr>
            <w:tcW w:w="3248" w:type="dxa"/>
          </w:tcPr>
          <w:p w14:paraId="7D981E2F">
            <w:pPr>
              <w:pStyle w:val="178"/>
            </w:pPr>
            <w:r>
              <w:rPr>
                <w:rFonts w:hint="eastAsia"/>
              </w:rPr>
              <w:t>质量问题根因分析</w:t>
            </w:r>
          </w:p>
        </w:tc>
      </w:tr>
      <w:tr w14:paraId="0C014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Pr>
          <w:p w14:paraId="37E1CAB8">
            <w:pPr>
              <w:pStyle w:val="178"/>
            </w:pPr>
            <w:r>
              <w:rPr>
                <w:rFonts w:hint="eastAsia"/>
              </w:rPr>
              <w:t>可视化建模</w:t>
            </w:r>
          </w:p>
        </w:tc>
        <w:tc>
          <w:tcPr>
            <w:tcW w:w="3544" w:type="dxa"/>
          </w:tcPr>
          <w:p w14:paraId="6C2AB5BB">
            <w:pPr>
              <w:pStyle w:val="178"/>
            </w:pPr>
            <w:r>
              <w:rPr>
                <w:rFonts w:hint="eastAsia"/>
              </w:rPr>
              <w:t>图形化展示，交互性强</w:t>
            </w:r>
          </w:p>
        </w:tc>
        <w:tc>
          <w:tcPr>
            <w:tcW w:w="3248" w:type="dxa"/>
          </w:tcPr>
          <w:p w14:paraId="3D8AAC50">
            <w:pPr>
              <w:pStyle w:val="178"/>
            </w:pPr>
            <w:r>
              <w:rPr>
                <w:rFonts w:hint="eastAsia"/>
              </w:rPr>
              <w:t>管理决策支持、质量全流程展示</w:t>
            </w:r>
          </w:p>
        </w:tc>
      </w:tr>
    </w:tbl>
    <w:p w14:paraId="180DE774">
      <w:pPr>
        <w:pStyle w:val="105"/>
        <w:spacing w:before="120" w:after="120" w:line="360" w:lineRule="auto"/>
      </w:pPr>
      <w:r>
        <w:rPr>
          <w:rFonts w:hint="eastAsia"/>
        </w:rPr>
        <w:t>分析应用</w:t>
      </w:r>
    </w:p>
    <w:p w14:paraId="6874FC91">
      <w:pPr>
        <w:pStyle w:val="56"/>
        <w:spacing w:line="360" w:lineRule="auto"/>
        <w:ind w:firstLine="420"/>
      </w:pPr>
      <w:r>
        <w:rPr>
          <w:rFonts w:hint="eastAsia"/>
        </w:rPr>
        <w:t>建模完成后，应结合应用场景进行分析与解释：</w:t>
      </w:r>
    </w:p>
    <w:p w14:paraId="042E58D6">
      <w:pPr>
        <w:pStyle w:val="56"/>
        <w:spacing w:line="360" w:lineRule="auto"/>
        <w:ind w:firstLine="420"/>
      </w:pPr>
      <w:r>
        <w:rPr>
          <w:rFonts w:hint="eastAsia"/>
        </w:rPr>
        <w:t>质量问题定位：快速溯源到原材料、工艺或设备环节；</w:t>
      </w:r>
    </w:p>
    <w:p w14:paraId="47EED3A2">
      <w:pPr>
        <w:pStyle w:val="56"/>
        <w:spacing w:line="360" w:lineRule="auto"/>
        <w:ind w:firstLine="420"/>
      </w:pPr>
      <w:r>
        <w:rPr>
          <w:rFonts w:hint="eastAsia"/>
        </w:rPr>
        <w:t>趋势预测与预警：通过时间序列分析和预测模型，提前识别潜在风险；</w:t>
      </w:r>
    </w:p>
    <w:p w14:paraId="36C24B01">
      <w:pPr>
        <w:pStyle w:val="56"/>
        <w:spacing w:line="360" w:lineRule="auto"/>
        <w:ind w:firstLine="420"/>
      </w:pPr>
      <w:r>
        <w:rPr>
          <w:rFonts w:hint="eastAsia"/>
        </w:rPr>
        <w:t>工艺优化：发现影响质量的关键因子，提出改进措施；</w:t>
      </w:r>
    </w:p>
    <w:p w14:paraId="3DF68AE3">
      <w:pPr>
        <w:pStyle w:val="56"/>
        <w:spacing w:line="360" w:lineRule="auto"/>
        <w:ind w:firstLine="420"/>
      </w:pPr>
      <w:r>
        <w:rPr>
          <w:rFonts w:hint="eastAsia"/>
        </w:rPr>
        <w:t>风险评估：对可能的质量隐患进行量化分析和分级管理。</w:t>
      </w:r>
    </w:p>
    <w:p w14:paraId="106223B1">
      <w:pPr>
        <w:pStyle w:val="105"/>
        <w:spacing w:before="120" w:after="120" w:line="360" w:lineRule="auto"/>
      </w:pPr>
      <w:r>
        <w:rPr>
          <w:rFonts w:hint="eastAsia"/>
        </w:rPr>
        <w:t>持续优化</w:t>
      </w:r>
    </w:p>
    <w:p w14:paraId="23E5B9CB">
      <w:pPr>
        <w:pStyle w:val="56"/>
        <w:spacing w:line="360" w:lineRule="auto"/>
        <w:ind w:firstLine="420"/>
      </w:pPr>
      <w:r>
        <w:rPr>
          <w:rFonts w:hint="eastAsia"/>
        </w:rPr>
        <w:t>应根据实际应用效果和新数据积累，不断对模型进行更新与优化，提升分析的准确性和适用性。</w:t>
      </w:r>
    </w:p>
    <w:p w14:paraId="5E37B0A3">
      <w:pPr>
        <w:pStyle w:val="104"/>
        <w:spacing w:before="240" w:after="240" w:line="360" w:lineRule="auto"/>
      </w:pPr>
      <w:bookmarkStart w:id="64" w:name="_Toc209894173"/>
      <w:bookmarkStart w:id="65" w:name="_Toc209948275"/>
      <w:r>
        <w:rPr>
          <w:rFonts w:hint="eastAsia"/>
        </w:rPr>
        <w:t>追溯信息应用场景</w:t>
      </w:r>
      <w:bookmarkEnd w:id="64"/>
      <w:bookmarkEnd w:id="65"/>
    </w:p>
    <w:p w14:paraId="6E388557">
      <w:pPr>
        <w:pStyle w:val="105"/>
        <w:spacing w:before="120" w:after="120" w:line="360" w:lineRule="auto"/>
      </w:pPr>
      <w:r>
        <w:rPr>
          <w:rFonts w:hint="eastAsia"/>
        </w:rPr>
        <w:t>原材料追溯</w:t>
      </w:r>
    </w:p>
    <w:p w14:paraId="096058CA">
      <w:pPr>
        <w:pStyle w:val="56"/>
        <w:spacing w:line="360" w:lineRule="auto"/>
        <w:ind w:firstLine="420"/>
      </w:pPr>
      <w:r>
        <w:rPr>
          <w:rFonts w:hint="eastAsia"/>
        </w:rPr>
        <w:t>原材料是影响产品质量的源头环节。通过采集供应商、批次号、检验结果等信息，可以在出现质量问题时迅速定位到具体原料来源，评估供应商质量稳定性，支持原材料风险管控。</w:t>
      </w:r>
    </w:p>
    <w:p w14:paraId="7F8A815A">
      <w:pPr>
        <w:pStyle w:val="105"/>
        <w:spacing w:before="120" w:after="120" w:line="360" w:lineRule="auto"/>
      </w:pPr>
      <w:r>
        <w:rPr>
          <w:rFonts w:hint="eastAsia"/>
        </w:rPr>
        <w:t>生产过程追溯</w:t>
      </w:r>
    </w:p>
    <w:p w14:paraId="7F91442A">
      <w:pPr>
        <w:pStyle w:val="56"/>
        <w:spacing w:line="360" w:lineRule="auto"/>
        <w:ind w:firstLine="420"/>
      </w:pPr>
      <w:r>
        <w:rPr>
          <w:rFonts w:hint="eastAsia"/>
        </w:rPr>
        <w:t>生产环节数据是产品质量形成的关键依据。通过采集工艺参数、设备运行状态和过程检测结果，可以追踪产品在制造环节中的质量状态，并在发现异常时快速定位问题工序，实现过程控制与优化。</w:t>
      </w:r>
    </w:p>
    <w:p w14:paraId="732BDC1C">
      <w:pPr>
        <w:pStyle w:val="105"/>
        <w:spacing w:before="120" w:after="120" w:line="360" w:lineRule="auto"/>
      </w:pPr>
      <w:r>
        <w:rPr>
          <w:rFonts w:hint="eastAsia"/>
        </w:rPr>
        <w:t>检验检测追溯</w:t>
      </w:r>
    </w:p>
    <w:p w14:paraId="74A81C0D">
      <w:pPr>
        <w:pStyle w:val="56"/>
        <w:spacing w:line="360" w:lineRule="auto"/>
        <w:ind w:firstLine="420"/>
      </w:pPr>
      <w:r>
        <w:rPr>
          <w:rFonts w:hint="eastAsia"/>
        </w:rPr>
        <w:t>检验检测数据是验证产品是否合格的重要依据。基于大数据平台，可整合检测方法、检测结果与不合格处理措施，实现检测结果的历史比对和趋势分析，防止质量隐患被忽略。</w:t>
      </w:r>
    </w:p>
    <w:p w14:paraId="3ECFCBE2">
      <w:pPr>
        <w:pStyle w:val="105"/>
        <w:spacing w:before="120" w:after="120" w:line="360" w:lineRule="auto"/>
      </w:pPr>
      <w:r>
        <w:rPr>
          <w:rFonts w:hint="eastAsia"/>
        </w:rPr>
        <w:t>物流与仓储追溯</w:t>
      </w:r>
    </w:p>
    <w:p w14:paraId="44CD6376">
      <w:pPr>
        <w:pStyle w:val="56"/>
        <w:spacing w:line="360" w:lineRule="auto"/>
        <w:ind w:firstLine="420"/>
      </w:pPr>
      <w:r>
        <w:rPr>
          <w:rFonts w:hint="eastAsia"/>
        </w:rPr>
        <w:t>产品在仓储与运输过程中容易受到温度、湿度和震动等外部条件的影响。通过物联网设备实时采集环境数据，可对物流全程进行质量监控，在发生运输异常时提供追溯依据。</w:t>
      </w:r>
    </w:p>
    <w:p w14:paraId="7F425185">
      <w:pPr>
        <w:pStyle w:val="105"/>
        <w:spacing w:before="120" w:after="120" w:line="360" w:lineRule="auto"/>
      </w:pPr>
      <w:r>
        <w:rPr>
          <w:rFonts w:hint="eastAsia"/>
        </w:rPr>
        <w:t>销售与售后追溯</w:t>
      </w:r>
    </w:p>
    <w:p w14:paraId="2E3E6197">
      <w:pPr>
        <w:pStyle w:val="56"/>
        <w:spacing w:line="360" w:lineRule="auto"/>
        <w:ind w:firstLine="420"/>
      </w:pPr>
      <w:r>
        <w:rPr>
          <w:rFonts w:hint="eastAsia"/>
        </w:rPr>
        <w:t>在产品进入市场后，消费者反馈和售后记录是质量追溯的重要补充。大数据追溯体系可将销售渠道信息、客户反馈、维修与召回数据统一管理，形成质量改进的闭环机制。</w:t>
      </w:r>
    </w:p>
    <w:p w14:paraId="73DE1A71">
      <w:pPr>
        <w:pStyle w:val="105"/>
        <w:spacing w:before="120" w:after="120" w:line="360" w:lineRule="auto"/>
      </w:pPr>
      <w:r>
        <w:rPr>
          <w:rFonts w:hint="eastAsia"/>
        </w:rPr>
        <w:t>行业监管与社会监督</w:t>
      </w:r>
    </w:p>
    <w:p w14:paraId="1575C8B0">
      <w:pPr>
        <w:pStyle w:val="56"/>
        <w:spacing w:line="360" w:lineRule="auto"/>
        <w:ind w:firstLine="420"/>
      </w:pPr>
      <w:r>
        <w:rPr>
          <w:rFonts w:hint="eastAsia"/>
        </w:rPr>
        <w:t>通过追溯体系向监管部门提供数据接口，可以支持行业监管、产品认证与市场抽查。部分数据可向社会公开，以增强消费者信任度，推动企业透明化运营。</w:t>
      </w:r>
    </w:p>
    <w:p w14:paraId="0425690E">
      <w:pPr>
        <w:pStyle w:val="104"/>
        <w:spacing w:before="240" w:after="240" w:line="360" w:lineRule="auto"/>
      </w:pPr>
      <w:bookmarkStart w:id="66" w:name="_Toc209894174"/>
      <w:bookmarkStart w:id="67" w:name="_Toc209948276"/>
      <w:r>
        <w:rPr>
          <w:rFonts w:hint="eastAsia"/>
        </w:rPr>
        <w:t>信息安全</w:t>
      </w:r>
      <w:bookmarkEnd w:id="66"/>
      <w:bookmarkEnd w:id="67"/>
    </w:p>
    <w:p w14:paraId="0E671E62">
      <w:pPr>
        <w:pStyle w:val="105"/>
        <w:spacing w:before="120" w:after="120" w:line="360" w:lineRule="auto"/>
      </w:pPr>
      <w:r>
        <w:rPr>
          <w:rFonts w:hint="eastAsia"/>
        </w:rPr>
        <w:t>一般要求</w:t>
      </w:r>
    </w:p>
    <w:p w14:paraId="25055957">
      <w:pPr>
        <w:pStyle w:val="56"/>
        <w:spacing w:line="360" w:lineRule="auto"/>
        <w:ind w:firstLine="420"/>
      </w:pPr>
      <w:r>
        <w:rPr>
          <w:rFonts w:hint="eastAsia"/>
        </w:rPr>
        <w:t>信息安全与隐私保护应遵循机密性、完整性、可用性和合规性原则。系统应建立分级安全策略，对不同敏感度的数据实施差异化保护。</w:t>
      </w:r>
    </w:p>
    <w:p w14:paraId="318A73DA">
      <w:pPr>
        <w:pStyle w:val="105"/>
        <w:spacing w:before="120" w:after="120" w:line="360" w:lineRule="auto"/>
      </w:pPr>
      <w:r>
        <w:rPr>
          <w:rFonts w:hint="eastAsia"/>
        </w:rPr>
        <w:t>数据加密与传输安全</w:t>
      </w:r>
    </w:p>
    <w:p w14:paraId="278B44FE">
      <w:pPr>
        <w:pStyle w:val="56"/>
        <w:spacing w:line="360" w:lineRule="auto"/>
        <w:ind w:firstLine="420"/>
      </w:pPr>
      <w:r>
        <w:rPr>
          <w:rFonts w:hint="eastAsia"/>
        </w:rPr>
        <w:t>在数据存储与传输过程中，应使用加密技术（如 AES、RSA）保护数据机密性，防止非法截取或泄露。网络通信应采用安全协议（如 HTTPS、VPN）保障传输安全。</w:t>
      </w:r>
    </w:p>
    <w:p w14:paraId="23320338">
      <w:pPr>
        <w:pStyle w:val="105"/>
        <w:spacing w:before="120" w:after="120" w:line="360" w:lineRule="auto"/>
      </w:pPr>
      <w:r>
        <w:rPr>
          <w:rFonts w:hint="eastAsia"/>
        </w:rPr>
        <w:t>权限控制与身份认证</w:t>
      </w:r>
    </w:p>
    <w:p w14:paraId="50B24CB7">
      <w:pPr>
        <w:pStyle w:val="56"/>
        <w:spacing w:line="360" w:lineRule="auto"/>
        <w:ind w:firstLine="420"/>
      </w:pPr>
      <w:r>
        <w:rPr>
          <w:rFonts w:hint="eastAsia"/>
        </w:rPr>
        <w:t>系统应建立基于角色的访问控制（RBAC），明确用户访问权限。对于关键操作应启用多因素身份认证，确保数据访问可控且可追溯。</w:t>
      </w:r>
    </w:p>
    <w:p w14:paraId="26B96422">
      <w:pPr>
        <w:pStyle w:val="105"/>
        <w:spacing w:before="120" w:after="120" w:line="360" w:lineRule="auto"/>
      </w:pPr>
      <w:r>
        <w:rPr>
          <w:rFonts w:hint="eastAsia"/>
        </w:rPr>
        <w:t>数据脱敏与匿名化</w:t>
      </w:r>
    </w:p>
    <w:p w14:paraId="3143369B">
      <w:pPr>
        <w:pStyle w:val="56"/>
        <w:spacing w:line="360" w:lineRule="auto"/>
        <w:ind w:firstLine="420"/>
      </w:pPr>
      <w:r>
        <w:rPr>
          <w:rFonts w:hint="eastAsia"/>
        </w:rPr>
        <w:t>在跨部门或跨企业共享时，涉及敏感信息（如客户身份、交易数据）应进行脱敏或匿名化处理，确保个人隐私和商业机密不被泄露。</w:t>
      </w:r>
    </w:p>
    <w:p w14:paraId="68D1CD16">
      <w:pPr>
        <w:pStyle w:val="105"/>
        <w:spacing w:before="120" w:after="120" w:line="360" w:lineRule="auto"/>
      </w:pPr>
      <w:r>
        <w:rPr>
          <w:rFonts w:hint="eastAsia"/>
        </w:rPr>
        <w:t>安全审计与监控</w:t>
      </w:r>
    </w:p>
    <w:p w14:paraId="53B5B875">
      <w:pPr>
        <w:pStyle w:val="56"/>
        <w:spacing w:line="360" w:lineRule="auto"/>
        <w:ind w:firstLine="420"/>
      </w:pPr>
      <w:r>
        <w:rPr>
          <w:rFonts w:hint="eastAsia"/>
        </w:rPr>
        <w:t>系统应具备安全日志和审计功能，记录数据访问、修改和共享行为。应建立入侵检测与异常行为监控机制，及时发现潜在威胁。</w:t>
      </w:r>
    </w:p>
    <w:p w14:paraId="47EE1B88">
      <w:pPr>
        <w:pStyle w:val="104"/>
        <w:spacing w:before="240" w:after="240" w:line="360" w:lineRule="auto"/>
      </w:pPr>
      <w:bookmarkStart w:id="68" w:name="_Toc209894175"/>
      <w:bookmarkStart w:id="69" w:name="_Toc209948277"/>
      <w:r>
        <w:rPr>
          <w:rFonts w:hint="eastAsia"/>
        </w:rPr>
        <w:t>系统运行维护</w:t>
      </w:r>
      <w:bookmarkEnd w:id="68"/>
      <w:bookmarkEnd w:id="69"/>
    </w:p>
    <w:p w14:paraId="303699DB">
      <w:pPr>
        <w:pStyle w:val="105"/>
        <w:spacing w:before="120" w:after="120" w:line="360" w:lineRule="auto"/>
      </w:pPr>
      <w:r>
        <w:rPr>
          <w:rFonts w:hint="eastAsia"/>
        </w:rPr>
        <w:t>一般要求</w:t>
      </w:r>
    </w:p>
    <w:p w14:paraId="39B92D84">
      <w:pPr>
        <w:pStyle w:val="56"/>
        <w:spacing w:line="360" w:lineRule="auto"/>
        <w:ind w:firstLine="420"/>
      </w:pPr>
      <w:r>
        <w:rPr>
          <w:rFonts w:hint="eastAsia"/>
        </w:rPr>
        <w:t>系统运行应遵循稳定性、可持续性和高效性原则。运维团队应建立标准化流程，确保追溯平台与相关设备在长期使用中保持安全、稳定和高效。</w:t>
      </w:r>
    </w:p>
    <w:p w14:paraId="699D2E83">
      <w:pPr>
        <w:pStyle w:val="105"/>
        <w:spacing w:before="120" w:after="120" w:line="360" w:lineRule="auto"/>
      </w:pPr>
      <w:r>
        <w:rPr>
          <w:rFonts w:hint="eastAsia"/>
        </w:rPr>
        <w:t>运维机制</w:t>
      </w:r>
    </w:p>
    <w:p w14:paraId="4E0E3A7F">
      <w:pPr>
        <w:pStyle w:val="56"/>
        <w:spacing w:line="360" w:lineRule="auto"/>
        <w:ind w:firstLine="420"/>
      </w:pPr>
      <w:r>
        <w:rPr>
          <w:rFonts w:hint="eastAsia"/>
        </w:rPr>
        <w:t>应建立日常运维制度，包括系统监控、故障排查、日志管理、性能调优等内容。对于核心数据库和云平台，应采用7×24小时实时监控机制，确保在异常发生时能够第一时间响应。</w:t>
      </w:r>
    </w:p>
    <w:p w14:paraId="3FD19F03">
      <w:pPr>
        <w:pStyle w:val="105"/>
        <w:spacing w:before="120" w:after="120" w:line="360" w:lineRule="auto"/>
      </w:pPr>
      <w:r>
        <w:rPr>
          <w:rFonts w:hint="eastAsia"/>
        </w:rPr>
        <w:t>设备与软件升级</w:t>
      </w:r>
    </w:p>
    <w:p w14:paraId="67CE0B48">
      <w:pPr>
        <w:pStyle w:val="56"/>
        <w:spacing w:line="360" w:lineRule="auto"/>
        <w:ind w:firstLine="420"/>
      </w:pPr>
      <w:r>
        <w:rPr>
          <w:rFonts w:hint="eastAsia"/>
        </w:rPr>
        <w:t>硬件设备应定期检测和维护，软件系统应及时更新补丁和版本，以修复漏洞和提升性能。升级过程中应做好数据备份与回滚方案，避免因升级失败导致系统中断。</w:t>
      </w:r>
    </w:p>
    <w:p w14:paraId="4BE61F85">
      <w:pPr>
        <w:pStyle w:val="105"/>
        <w:spacing w:before="120" w:after="120" w:line="360" w:lineRule="auto"/>
      </w:pPr>
      <w:r>
        <w:rPr>
          <w:rFonts w:hint="eastAsia"/>
        </w:rPr>
        <w:t>人员培训</w:t>
      </w:r>
    </w:p>
    <w:p w14:paraId="56540EAD">
      <w:pPr>
        <w:pStyle w:val="56"/>
        <w:spacing w:line="360" w:lineRule="auto"/>
        <w:ind w:firstLine="420"/>
      </w:pPr>
      <w:r>
        <w:rPr>
          <w:rFonts w:hint="eastAsia"/>
        </w:rPr>
        <w:t>运维人员应具备大数据平台管理、数据库维护、信息安全防护等相关知识。企业应定期开展技术培训与应急演练，确保相关人员熟悉操作流程和应急预案。</w:t>
      </w:r>
    </w:p>
    <w:p w14:paraId="03D34825">
      <w:pPr>
        <w:pStyle w:val="105"/>
        <w:spacing w:before="120" w:after="120" w:line="360" w:lineRule="auto"/>
      </w:pPr>
      <w:r>
        <w:rPr>
          <w:rFonts w:hint="eastAsia"/>
        </w:rPr>
        <w:t>故障应对</w:t>
      </w:r>
    </w:p>
    <w:p w14:paraId="5B836CE9">
      <w:pPr>
        <w:pStyle w:val="56"/>
        <w:spacing w:line="360" w:lineRule="auto"/>
        <w:ind w:firstLine="420"/>
      </w:pPr>
      <w:r>
        <w:rPr>
          <w:rFonts w:hint="eastAsia"/>
        </w:rPr>
        <w:t>应建立应急响应机制，对突发的硬件故障、软件崩溃、网络攻击等情况进行快速处置。应急响应流程包括问题识别、应急处理、原因分析、恢复运行和总结改进。</w:t>
      </w:r>
    </w:p>
    <w:p w14:paraId="0951F1A4">
      <w:pPr>
        <w:pStyle w:val="105"/>
        <w:spacing w:before="120" w:after="120" w:line="360" w:lineRule="auto"/>
      </w:pPr>
      <w:r>
        <w:rPr>
          <w:rFonts w:hint="eastAsia"/>
        </w:rPr>
        <w:t>服务外包与协作</w:t>
      </w:r>
    </w:p>
    <w:p w14:paraId="3FF7723E">
      <w:pPr>
        <w:pStyle w:val="56"/>
        <w:spacing w:line="360" w:lineRule="auto"/>
        <w:ind w:firstLine="420"/>
        <w:rPr>
          <w:rFonts w:hint="eastAsia"/>
        </w:rPr>
      </w:pPr>
      <w:r>
        <w:rPr>
          <w:rFonts w:hint="eastAsia"/>
        </w:rPr>
        <w:t>对于部分系统功能，企业可委托专业服务商运维，但必须确保外包方具备合格资质，并与企业签署数据安全与服务保障协议。</w:t>
      </w:r>
    </w:p>
    <w:bookmarkEnd w:id="28"/>
    <w:p w14:paraId="0E3864E1">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70" w:name="BookMark6"/>
    </w:p>
    <w:p w14:paraId="339389F3">
      <w:pPr>
        <w:pStyle w:val="63"/>
        <w:spacing w:after="120" w:line="360" w:lineRule="auto"/>
        <w:rPr>
          <w:rFonts w:hint="eastAsia"/>
        </w:rPr>
      </w:pPr>
      <w:bookmarkStart w:id="71" w:name="_Toc209948278"/>
      <w:r>
        <w:rPr>
          <w:rFonts w:hint="eastAsia"/>
          <w:spacing w:val="105"/>
        </w:rPr>
        <w:t>参考文</w:t>
      </w:r>
      <w:r>
        <w:rPr>
          <w:rFonts w:hint="eastAsia"/>
        </w:rPr>
        <w:t>献</w:t>
      </w:r>
      <w:bookmarkEnd w:id="71"/>
    </w:p>
    <w:p w14:paraId="084167D2">
      <w:pPr>
        <w:pStyle w:val="56"/>
        <w:spacing w:line="360" w:lineRule="auto"/>
        <w:ind w:firstLine="420"/>
        <w:rPr>
          <w:rFonts w:hint="eastAsia"/>
        </w:rPr>
      </w:pPr>
      <w:r>
        <w:t xml:space="preserve">[1] </w:t>
      </w:r>
      <w:r>
        <w:rPr>
          <w:rFonts w:hint="eastAsia"/>
        </w:rPr>
        <w:t>GB/T 35273—2020 信息安全技术  个人信息安全规范</w:t>
      </w:r>
    </w:p>
    <w:p w14:paraId="5038A872">
      <w:pPr>
        <w:pStyle w:val="56"/>
        <w:spacing w:line="360" w:lineRule="auto"/>
        <w:ind w:firstLine="420"/>
        <w:rPr>
          <w:rFonts w:hint="eastAsia"/>
        </w:rPr>
      </w:pPr>
      <w:r>
        <w:t xml:space="preserve">[2] </w:t>
      </w:r>
      <w:r>
        <w:rPr>
          <w:rFonts w:hint="eastAsia"/>
        </w:rPr>
        <w:t>GB/T 40693—2021 智能制造  工业云服务  数据管理通用要求</w:t>
      </w:r>
    </w:p>
    <w:p w14:paraId="17205AC4">
      <w:pPr>
        <w:pStyle w:val="56"/>
        <w:spacing w:line="360" w:lineRule="auto"/>
        <w:ind w:firstLine="420"/>
      </w:pPr>
      <w:r>
        <w:t xml:space="preserve">[3] </w:t>
      </w:r>
      <w:r>
        <w:rPr>
          <w:rFonts w:hint="eastAsia"/>
        </w:rPr>
        <w:t>GB/T 42134—2022 智能制造  大规模个性化定制 术语</w:t>
      </w:r>
    </w:p>
    <w:bookmarkEnd w:id="70"/>
    <w:p w14:paraId="68BF4F1E">
      <w:pPr>
        <w:pStyle w:val="56"/>
        <w:ind w:firstLine="0" w:firstLineChars="0"/>
        <w:jc w:val="center"/>
      </w:pPr>
      <w:bookmarkStart w:id="72" w:name="BookMark8"/>
      <w:r>
        <w:rPr>
          <w:rFonts w:hint="eastAsia"/>
        </w:rPr>
        <w:drawing>
          <wp:inline distT="0" distB="0" distL="0" distR="0">
            <wp:extent cx="1485900" cy="317500"/>
            <wp:effectExtent l="0" t="0" r="0" b="6350"/>
            <wp:docPr id="1861979173" name="图片 3"/>
            <wp:cNvGraphicFramePr/>
            <a:graphic xmlns:a="http://schemas.openxmlformats.org/drawingml/2006/main">
              <a:graphicData uri="http://schemas.openxmlformats.org/drawingml/2006/picture">
                <pic:pic xmlns:pic="http://schemas.openxmlformats.org/drawingml/2006/picture">
                  <pic:nvPicPr>
                    <pic:cNvPr id="1861979173"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08CD">
    <w:pPr>
      <w:pStyle w:val="51"/>
    </w:pPr>
    <w:r>
      <w:fldChar w:fldCharType="begin"/>
    </w:r>
    <w:r>
      <w:instrText xml:space="preserve"> PAGE   \* MERGEFORMAT \* MERGEFORMAT </w:instrText>
    </w:r>
    <w:r>
      <w:fldChar w:fldCharType="separate"/>
    </w:r>
    <w:r>
      <w:t>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B5EF">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24AC">
    <w:pPr>
      <w:pStyle w:val="51"/>
    </w:pPr>
    <w:r>
      <w:fldChar w:fldCharType="begin"/>
    </w:r>
    <w:r>
      <w:instrText xml:space="preserve"> PAGE   \* MERGEFORMAT \* MERGEFORMAT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8A1E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E567">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2EC18">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FA68">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19CD">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EBA9B">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F2A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36C7">
    <w:pPr>
      <w:pStyle w:val="61"/>
    </w:pPr>
    <w:r>
      <w:fldChar w:fldCharType="begin"/>
    </w:r>
    <w:r>
      <w:instrText xml:space="preserve"> STYLEREF  标准文件_文件编号  \* MERGEFORMAT </w:instrText>
    </w:r>
    <w:r>
      <w:fldChar w:fldCharType="separate"/>
    </w:r>
    <w:r>
      <w:t>T/XJBX 0115—2025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468F">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0115—2025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86EC">
    <w:pPr>
      <w:pStyle w:val="61"/>
    </w:pPr>
    <w:r>
      <w:pict>
        <v:shape id="_x0000_s1036" o:spid="_x0000_s1036"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0115—2025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91D4D">
    <w:pPr>
      <w:pStyle w:val="62"/>
    </w:pPr>
    <w:r>
      <w:fldChar w:fldCharType="begin"/>
    </w:r>
    <w:r>
      <w:instrText xml:space="preserve"> STYLEREF  标准文件_文件编号 \* MERGEFORMAT </w:instrText>
    </w:r>
    <w:r>
      <w:fldChar w:fldCharType="separate"/>
    </w:r>
    <w:r>
      <w:t>T/XJBX 0115—2025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C1B56">
    <w:pPr>
      <w:pStyle w:val="61"/>
    </w:pPr>
    <w:r>
      <w:fldChar w:fldCharType="begin"/>
    </w:r>
    <w:r>
      <w:instrText xml:space="preserve"> STYLEREF  标准文件_文件编号  \* MERGEFORMAT </w:instrText>
    </w:r>
    <w:r>
      <w:fldChar w:fldCharType="separate"/>
    </w:r>
    <w:r>
      <w:t>T/XJBX 0115—2025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22F2">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0115—2025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0527">
    <w:pPr>
      <w:pStyle w:val="61"/>
    </w:pPr>
    <w:r>
      <w:fldChar w:fldCharType="begin"/>
    </w:r>
    <w:r>
      <w:instrText xml:space="preserve"> STYLEREF  标准文件_文件编号  \* MERGEFORMAT </w:instrText>
    </w:r>
    <w:r>
      <w:fldChar w:fldCharType="separate"/>
    </w:r>
    <w:r>
      <w:t>T/XJBX 0115—2025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8C87">
    <w:pPr>
      <w:pStyle w:val="62"/>
    </w:pPr>
    <w:r>
      <w:fldChar w:fldCharType="begin"/>
    </w:r>
    <w:r>
      <w:instrText xml:space="preserve"> STYLEREF  标准文件_文件编号 \* MERGEFORMAT </w:instrText>
    </w:r>
    <w:r>
      <w:fldChar w:fldCharType="separate"/>
    </w:r>
    <w:r>
      <w:t>T/XJBX 0115—2025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2E19">
    <w:pPr>
      <w:pStyle w:val="61"/>
    </w:pPr>
    <w:r>
      <w:fldChar w:fldCharType="begin"/>
    </w:r>
    <w:r>
      <w:instrText xml:space="preserve"> STYLEREF  标准文件_文件编号  \* MERGEFORMAT </w:instrText>
    </w:r>
    <w:r>
      <w:fldChar w:fldCharType="separate"/>
    </w:r>
    <w:r>
      <w:t>T/XJBX 0115—2025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1508">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0115—2025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AB7"/>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3DE9"/>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2CB1"/>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0F7"/>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0A95"/>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346B"/>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CBF"/>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CE1"/>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8FD"/>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3B42"/>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A031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63E26F18">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15C76132">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77C3AF9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B17C5B"/>
    <w:rsid w:val="00B6674A"/>
    <w:rsid w:val="00CD3CA7"/>
    <w:rsid w:val="00F3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3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5346</Words>
  <Characters>5647</Characters>
  <Lines>50</Lines>
  <Paragraphs>14</Paragraphs>
  <TotalTime>26</TotalTime>
  <ScaleCrop>false</ScaleCrop>
  <LinksUpToDate>false</LinksUpToDate>
  <CharactersWithSpaces>5758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2025-09-27T11:07:00Z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2025-09-28T07:45:05Z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0640931CB9BB4931B3C5FB0CF724370A_12</vt:lpwstr>
  </property>
</Properties>
</file>