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21.01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21.010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J 04"/>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J 04</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11"/>
            </w:textInput>
          </w:ffData>
        </w:fldChar>
      </w:r>
      <w:bookmarkStart w:id="6" w:name="NSTD_CODE_F"/>
      <w:r>
        <w:instrText xml:space="preserve"> FORMTEXT </w:instrText>
      </w:r>
      <w:r>
        <w:fldChar w:fldCharType="separate"/>
      </w:r>
      <w:r>
        <w:t>0111</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23EE2895">
      <w:pPr>
        <w:pStyle w:val="197"/>
        <w:framePr w:h="6974" w:hRule="exact" w:wrap="around" w:x="1419" w:anchorLock="1"/>
      </w:pPr>
      <w:r>
        <w:rPr>
          <w:rFonts w:hint="eastAsia"/>
        </w:rPr>
        <w:fldChar w:fldCharType="begin">
          <w:ffData>
            <w:name w:val="CSTD_NAME"/>
            <w:enabled/>
            <w:calcOnExit w:val="0"/>
            <w:textInput>
              <w:default w:val="机电类特种设备智能检验系统技术应用规范"/>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机电类特种设备智能检验系统技术</w:t>
      </w:r>
    </w:p>
    <w:p w14:paraId="0FD7DFF3">
      <w:pPr>
        <w:pStyle w:val="197"/>
        <w:framePr w:h="6974" w:hRule="exact" w:wrap="around" w:x="1419" w:anchorLock="1"/>
      </w:pPr>
      <w:r>
        <w:rPr>
          <w:rFonts w:hint="eastAsia"/>
        </w:rPr>
        <w:t>应用规范</w:t>
      </w:r>
      <w:r>
        <w:rPr>
          <w:rFonts w:hint="eastAsia"/>
        </w:rP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application of intelligent inspection systems of electromechanical special equipment"/>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application of intelligent inspection systems of electromechanical special equipment</w:t>
      </w:r>
      <w:r>
        <w:rPr>
          <w:rFonts w:hint="eastAsia"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bookmarkStart w:id="73" w:name="_GoBack"/>
      <w:bookmarkEnd w:id="73"/>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52B6B744">
      <w:pPr>
        <w:pStyle w:val="91"/>
        <w:spacing w:after="360"/>
      </w:pPr>
      <w:bookmarkStart w:id="21" w:name="BookMark1"/>
      <w:bookmarkStart w:id="22" w:name="_Toc209907117"/>
      <w:r>
        <w:rPr>
          <w:rFonts w:hint="eastAsia"/>
          <w:spacing w:val="320"/>
        </w:rPr>
        <w:t>目</w:t>
      </w:r>
      <w:r>
        <w:rPr>
          <w:rFonts w:hint="eastAsia"/>
        </w:rPr>
        <w:t>次</w:t>
      </w:r>
    </w:p>
    <w:p w14:paraId="3E2D5491">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"_Toc209946136" </w:instrText>
      </w:r>
      <w:r>
        <w:fldChar w:fldCharType="separate"/>
      </w:r>
      <w:r>
        <w:rPr>
          <w:rStyle w:val="32"/>
        </w:rPr>
        <w:t>前言</w:t>
      </w:r>
      <w:r>
        <w:tab/>
      </w:r>
      <w:r>
        <w:fldChar w:fldCharType="begin"/>
      </w:r>
      <w:r>
        <w:instrText xml:space="preserve"> PAGEREF _Toc209946136 \h </w:instrText>
      </w:r>
      <w:r>
        <w:fldChar w:fldCharType="separate"/>
      </w:r>
      <w:r>
        <w:t>III</w:t>
      </w:r>
      <w:r>
        <w:fldChar w:fldCharType="end"/>
      </w:r>
      <w:r>
        <w:fldChar w:fldCharType="end"/>
      </w:r>
    </w:p>
    <w:p w14:paraId="6C12148B">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"_Toc209946137" </w:instrText>
      </w:r>
      <w:r>
        <w:fldChar w:fldCharType="separate"/>
      </w:r>
      <w:r>
        <w:rPr>
          <w:rStyle w:val="32"/>
        </w:rPr>
        <w:t>引言</w:t>
      </w:r>
      <w:r>
        <w:tab/>
      </w:r>
      <w:r>
        <w:fldChar w:fldCharType="begin"/>
      </w:r>
      <w:r>
        <w:instrText xml:space="preserve"> PAGEREF _Toc209946137 \h </w:instrText>
      </w:r>
      <w:r>
        <w:fldChar w:fldCharType="separate"/>
      </w:r>
      <w:r>
        <w:t>V</w:t>
      </w:r>
      <w:r>
        <w:fldChar w:fldCharType="end"/>
      </w:r>
      <w:r>
        <w:fldChar w:fldCharType="end"/>
      </w:r>
    </w:p>
    <w:p w14:paraId="0CAAF87C">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"_Toc209946138" </w:instrText>
      </w:r>
      <w:r>
        <w:fldChar w:fldCharType="separate"/>
      </w:r>
      <w:r>
        <w:rPr>
          <w:rStyle w:val="32"/>
        </w:rPr>
        <w:t>1  范围</w:t>
      </w:r>
      <w:r>
        <w:tab/>
      </w:r>
      <w:r>
        <w:fldChar w:fldCharType="begin"/>
      </w:r>
      <w:r>
        <w:instrText xml:space="preserve"> PAGEREF _Toc209946138 \h </w:instrText>
      </w:r>
      <w:r>
        <w:fldChar w:fldCharType="separate"/>
      </w:r>
      <w:r>
        <w:t>1</w:t>
      </w:r>
      <w:r>
        <w:fldChar w:fldCharType="end"/>
      </w:r>
      <w:r>
        <w:fldChar w:fldCharType="end"/>
      </w:r>
    </w:p>
    <w:p w14:paraId="160B5463">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"_Toc209946139" </w:instrText>
      </w:r>
      <w:r>
        <w:fldChar w:fldCharType="separate"/>
      </w:r>
      <w:r>
        <w:rPr>
          <w:rStyle w:val="32"/>
        </w:rPr>
        <w:t>2  规范性引用文件</w:t>
      </w:r>
      <w:r>
        <w:tab/>
      </w:r>
      <w:r>
        <w:fldChar w:fldCharType="begin"/>
      </w:r>
      <w:r>
        <w:instrText xml:space="preserve"> PAGEREF _Toc209946139 \h </w:instrText>
      </w:r>
      <w:r>
        <w:fldChar w:fldCharType="separate"/>
      </w:r>
      <w:r>
        <w:t>1</w:t>
      </w:r>
      <w:r>
        <w:fldChar w:fldCharType="end"/>
      </w:r>
      <w:r>
        <w:fldChar w:fldCharType="end"/>
      </w:r>
    </w:p>
    <w:p w14:paraId="4BB11B4D">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"_Toc209946140" </w:instrText>
      </w:r>
      <w:r>
        <w:fldChar w:fldCharType="separate"/>
      </w:r>
      <w:r>
        <w:rPr>
          <w:rStyle w:val="32"/>
        </w:rPr>
        <w:t>3  术语和定义</w:t>
      </w:r>
      <w:r>
        <w:tab/>
      </w:r>
      <w:r>
        <w:fldChar w:fldCharType="begin"/>
      </w:r>
      <w:r>
        <w:instrText xml:space="preserve"> PAGEREF _Toc209946140 \h </w:instrText>
      </w:r>
      <w:r>
        <w:fldChar w:fldCharType="separate"/>
      </w:r>
      <w:r>
        <w:t>1</w:t>
      </w:r>
      <w:r>
        <w:fldChar w:fldCharType="end"/>
      </w:r>
      <w:r>
        <w:fldChar w:fldCharType="end"/>
      </w:r>
    </w:p>
    <w:p w14:paraId="647141CC">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"_Toc209946141" </w:instrText>
      </w:r>
      <w:r>
        <w:fldChar w:fldCharType="separate"/>
      </w:r>
      <w:r>
        <w:rPr>
          <w:rStyle w:val="32"/>
        </w:rPr>
        <w:t>4  总体要求</w:t>
      </w:r>
      <w:r>
        <w:tab/>
      </w:r>
      <w:r>
        <w:fldChar w:fldCharType="begin"/>
      </w:r>
      <w:r>
        <w:instrText xml:space="preserve"> PAGEREF _Toc209946141 \h </w:instrText>
      </w:r>
      <w:r>
        <w:fldChar w:fldCharType="separate"/>
      </w:r>
      <w:r>
        <w:t>2</w:t>
      </w:r>
      <w:r>
        <w:fldChar w:fldCharType="end"/>
      </w:r>
      <w:r>
        <w:fldChar w:fldCharType="end"/>
      </w:r>
    </w:p>
    <w:p w14:paraId="67F60D5E">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"_Toc209946142" </w:instrText>
      </w:r>
      <w:r>
        <w:fldChar w:fldCharType="separate"/>
      </w:r>
      <w:r>
        <w:rPr>
          <w:rStyle w:val="32"/>
        </w:rPr>
        <w:t>5  系统架构功能</w:t>
      </w:r>
      <w:r>
        <w:tab/>
      </w:r>
      <w:r>
        <w:fldChar w:fldCharType="begin"/>
      </w:r>
      <w:r>
        <w:instrText xml:space="preserve"> PAGEREF _Toc209946142 \h </w:instrText>
      </w:r>
      <w:r>
        <w:fldChar w:fldCharType="separate"/>
      </w:r>
      <w:r>
        <w:t>3</w:t>
      </w:r>
      <w:r>
        <w:fldChar w:fldCharType="end"/>
      </w:r>
      <w:r>
        <w:fldChar w:fldCharType="end"/>
      </w:r>
    </w:p>
    <w:p w14:paraId="656BBC51">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"_Toc209946143" </w:instrText>
      </w:r>
      <w:r>
        <w:fldChar w:fldCharType="separate"/>
      </w:r>
      <w:r>
        <w:rPr>
          <w:rStyle w:val="32"/>
        </w:rPr>
        <w:t>6  数据采集处理</w:t>
      </w:r>
      <w:r>
        <w:tab/>
      </w:r>
      <w:r>
        <w:fldChar w:fldCharType="begin"/>
      </w:r>
      <w:r>
        <w:instrText xml:space="preserve"> PAGEREF _Toc209946143 \h </w:instrText>
      </w:r>
      <w:r>
        <w:fldChar w:fldCharType="separate"/>
      </w:r>
      <w:r>
        <w:t>4</w:t>
      </w:r>
      <w:r>
        <w:fldChar w:fldCharType="end"/>
      </w:r>
      <w:r>
        <w:fldChar w:fldCharType="end"/>
      </w:r>
    </w:p>
    <w:p w14:paraId="71246237">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"_Toc209946144" </w:instrText>
      </w:r>
      <w:r>
        <w:fldChar w:fldCharType="separate"/>
      </w:r>
      <w:r>
        <w:rPr>
          <w:rStyle w:val="32"/>
        </w:rPr>
        <w:t>7  智能分析</w:t>
      </w:r>
      <w:r>
        <w:tab/>
      </w:r>
      <w:r>
        <w:fldChar w:fldCharType="begin"/>
      </w:r>
      <w:r>
        <w:instrText xml:space="preserve"> PAGEREF _Toc209946144 \h </w:instrText>
      </w:r>
      <w:r>
        <w:fldChar w:fldCharType="separate"/>
      </w:r>
      <w:r>
        <w:t>5</w:t>
      </w:r>
      <w:r>
        <w:fldChar w:fldCharType="end"/>
      </w:r>
      <w:r>
        <w:fldChar w:fldCharType="end"/>
      </w:r>
    </w:p>
    <w:p w14:paraId="1BD8BC50">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"_Toc209946145" </w:instrText>
      </w:r>
      <w:r>
        <w:fldChar w:fldCharType="separate"/>
      </w:r>
      <w:r>
        <w:rPr>
          <w:rStyle w:val="32"/>
        </w:rPr>
        <w:t>8  检验流程</w:t>
      </w:r>
      <w:r>
        <w:tab/>
      </w:r>
      <w:r>
        <w:fldChar w:fldCharType="begin"/>
      </w:r>
      <w:r>
        <w:instrText xml:space="preserve"> PAGEREF _Toc209946145 \h </w:instrText>
      </w:r>
      <w:r>
        <w:fldChar w:fldCharType="separate"/>
      </w:r>
      <w:r>
        <w:t>5</w:t>
      </w:r>
      <w:r>
        <w:fldChar w:fldCharType="end"/>
      </w:r>
      <w:r>
        <w:fldChar w:fldCharType="end"/>
      </w:r>
    </w:p>
    <w:p w14:paraId="64BD04EE">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"_Toc209946146" </w:instrText>
      </w:r>
      <w:r>
        <w:fldChar w:fldCharType="separate"/>
      </w:r>
      <w:r>
        <w:rPr>
          <w:rStyle w:val="32"/>
        </w:rPr>
        <w:t>9  信息安全</w:t>
      </w:r>
      <w:r>
        <w:tab/>
      </w:r>
      <w:r>
        <w:fldChar w:fldCharType="begin"/>
      </w:r>
      <w:r>
        <w:instrText xml:space="preserve"> PAGEREF _Toc209946146 \h </w:instrText>
      </w:r>
      <w:r>
        <w:fldChar w:fldCharType="separate"/>
      </w:r>
      <w:r>
        <w:t>6</w:t>
      </w:r>
      <w:r>
        <w:fldChar w:fldCharType="end"/>
      </w:r>
      <w:r>
        <w:fldChar w:fldCharType="end"/>
      </w:r>
    </w:p>
    <w:p w14:paraId="4272FD52">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"_Toc209946147" </w:instrText>
      </w:r>
      <w:r>
        <w:fldChar w:fldCharType="separate"/>
      </w:r>
      <w:r>
        <w:rPr>
          <w:rStyle w:val="32"/>
        </w:rPr>
        <w:t>10  系统运行维护</w:t>
      </w:r>
      <w:r>
        <w:tab/>
      </w:r>
      <w:r>
        <w:fldChar w:fldCharType="begin"/>
      </w:r>
      <w:r>
        <w:instrText xml:space="preserve"> PAGEREF _Toc209946147 \h </w:instrText>
      </w:r>
      <w:r>
        <w:fldChar w:fldCharType="separate"/>
      </w:r>
      <w:r>
        <w:t>7</w:t>
      </w:r>
      <w:r>
        <w:fldChar w:fldCharType="end"/>
      </w:r>
      <w:r>
        <w:fldChar w:fldCharType="end"/>
      </w:r>
    </w:p>
    <w:p w14:paraId="506D0AFB">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"_Toc209946148" </w:instrText>
      </w:r>
      <w:r>
        <w:fldChar w:fldCharType="separate"/>
      </w:r>
      <w:r>
        <w:rPr>
          <w:rStyle w:val="32"/>
        </w:rPr>
        <w:t>参考文献</w:t>
      </w:r>
      <w:r>
        <w:tab/>
      </w:r>
      <w:r>
        <w:fldChar w:fldCharType="begin"/>
      </w:r>
      <w:r>
        <w:instrText xml:space="preserve"> PAGEREF _Toc209946148 \h </w:instrText>
      </w:r>
      <w:r>
        <w:fldChar w:fldCharType="separate"/>
      </w:r>
      <w:r>
        <w:t>9</w:t>
      </w:r>
      <w:r>
        <w:fldChar w:fldCharType="end"/>
      </w:r>
      <w:r>
        <w:fldChar w:fldCharType="end"/>
      </w:r>
    </w:p>
    <w:p w14:paraId="0B1D4496">
      <w:pPr>
        <w:pStyle w:val="91"/>
        <w:spacing w:after="360"/>
        <w:sectPr>
          <w:headerReference r:id="rId10" w:type="default"/>
          <w:footerReference r:id="rId12" w:type="default"/>
          <w:headerReference r:id="rId11"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3" w:name="_Toc209946136"/>
      <w:bookmarkStart w:id="24" w:name="BookMark2"/>
      <w:r>
        <w:rPr>
          <w:spacing w:val="320"/>
        </w:rPr>
        <w:t>前</w:t>
      </w:r>
      <w:r>
        <w:t>言</w:t>
      </w:r>
      <w:bookmarkEnd w:id="22"/>
      <w:bookmarkEnd w:id="23"/>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本文件起草单位：中车大连机车车辆有限公司。</w:t>
      </w:r>
    </w:p>
    <w:p w14:paraId="42BC1C2C">
      <w:pPr>
        <w:pStyle w:val="56"/>
        <w:spacing w:line="360" w:lineRule="auto"/>
        <w:ind w:firstLine="420"/>
      </w:pPr>
      <w:r>
        <w:rPr>
          <w:rFonts w:hint="eastAsia"/>
        </w:rPr>
        <w:t>本文件主要起草人：王海娟。</w:t>
      </w:r>
    </w:p>
    <w:p w14:paraId="4F59AFA1">
      <w:pPr>
        <w:pStyle w:val="56"/>
        <w:ind w:firstLine="420"/>
      </w:pPr>
    </w:p>
    <w:p w14:paraId="43B1A6EE">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4"/>
    <w:p w14:paraId="4104DD8B">
      <w:pPr>
        <w:pStyle w:val="89"/>
        <w:spacing w:after="360"/>
      </w:pPr>
      <w:bookmarkStart w:id="25" w:name="_Toc209907118"/>
      <w:bookmarkStart w:id="26" w:name="_Toc209946137"/>
      <w:bookmarkStart w:id="27" w:name="BookMark3"/>
      <w:r>
        <w:rPr>
          <w:spacing w:val="320"/>
        </w:rPr>
        <w:t>引</w:t>
      </w:r>
      <w:r>
        <w:t>言</w:t>
      </w:r>
      <w:bookmarkEnd w:id="25"/>
      <w:bookmarkEnd w:id="26"/>
    </w:p>
    <w:p w14:paraId="7AA425F9">
      <w:pPr>
        <w:pStyle w:val="56"/>
        <w:spacing w:line="360" w:lineRule="auto"/>
        <w:ind w:firstLine="420"/>
      </w:pPr>
      <w:r>
        <w:rPr>
          <w:rFonts w:hint="eastAsia"/>
        </w:rPr>
        <w:t>机电类特种设备广泛应用于能源、交通、建筑、制造等多个领域，其运行安全直接关系到人民生命财产安全和社会公共安全。随着设备规模的扩大和复杂度的提升，传统依赖人工的检验方式在效率、精度和实时性方面已难以满足现代安全监管和设备管理的需要。</w:t>
      </w:r>
    </w:p>
    <w:p w14:paraId="08A4CBF9">
      <w:pPr>
        <w:pStyle w:val="56"/>
        <w:spacing w:line="360" w:lineRule="auto"/>
        <w:ind w:firstLine="420"/>
      </w:pPr>
      <w:r>
        <w:rPr>
          <w:rFonts w:hint="eastAsia"/>
        </w:rPr>
        <w:t>近年来，物联网、大数据、人工智能和云计算等新一代信息技术快速发展，为机电类特种设备的检验工作提供了新的解决方案。通过传感器、检测仪器和信息化平台的协同应用，可以实现对设备运行状态的实时监测与数据采集，并利用智能分析技术辅助检验人员进行判断和决策，从而显著提升检验的科学性与智能化水平。</w:t>
      </w:r>
    </w:p>
    <w:p w14:paraId="52FBA661">
      <w:pPr>
        <w:pStyle w:val="56"/>
        <w:spacing w:line="360" w:lineRule="auto"/>
        <w:ind w:firstLine="420"/>
      </w:pPr>
      <w:r>
        <w:rPr>
          <w:rFonts w:hint="eastAsia"/>
        </w:rPr>
        <w:t>然而，在智能检验系统的应用过程中，仍存在技术标准不统一、数据处理不规范、信息安全保障不足和应用场景碎片化等问题。这些问题在一定程度上制约了智能检验系统的推广和普及，也影响了检验结果的可靠性与权威性。</w:t>
      </w:r>
    </w:p>
    <w:p w14:paraId="536754F1">
      <w:pPr>
        <w:pStyle w:val="56"/>
        <w:spacing w:line="360" w:lineRule="auto"/>
        <w:ind w:firstLine="420"/>
      </w:pPr>
      <w:r>
        <w:rPr>
          <w:rFonts w:hint="eastAsia"/>
        </w:rPr>
        <w:t>制定本文件的目的在于，明确机电类特种设备智能检验系统的总体要求，规范系统架构与功能，统一数据采集、处理和分析方法，提出检验流程与应用场景的技术规范，并对信息安全、系统运行和监督改进提出要求。本文件的实施，将有助于推动机电类特种设备检验工作的标准化、智能化和信息化水平，提升设备安全运行保障能力。</w:t>
      </w:r>
    </w:p>
    <w:p w14:paraId="50D9A392">
      <w:pPr>
        <w:pStyle w:val="56"/>
        <w:spacing w:line="360" w:lineRule="auto"/>
        <w:ind w:firstLine="420"/>
      </w:pPr>
      <w:r>
        <w:rPr>
          <w:rFonts w:hint="eastAsia"/>
        </w:rPr>
        <w:t>本文件适用于机电类特种设备智能检验系统的建设、应用与管理，也可为设备制造企业、检验检测机构和行业监管部门提供参考。</w:t>
      </w:r>
    </w:p>
    <w:p w14:paraId="1F60BA12">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7"/>
    <w:p w14:paraId="12C43CC1">
      <w:pPr>
        <w:spacing w:line="20" w:lineRule="exact"/>
        <w:jc w:val="center"/>
        <w:rPr>
          <w:rFonts w:ascii="黑体" w:hAnsi="黑体" w:eastAsia="黑体"/>
          <w:sz w:val="32"/>
          <w:szCs w:val="32"/>
        </w:rPr>
      </w:pPr>
      <w:bookmarkStart w:id="28"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5418207D">
          <w:pPr>
            <w:pStyle w:val="177"/>
            <w:spacing w:after="0"/>
          </w:pPr>
          <w:bookmarkStart w:id="29" w:name="NEW_STAND_NAME"/>
          <w:r>
            <w:rPr>
              <w:rFonts w:hint="eastAsia"/>
            </w:rPr>
            <w:t>机电类特种设备智能检验系统技术</w:t>
          </w:r>
        </w:p>
        <w:p w14:paraId="08ED5E01">
          <w:pPr>
            <w:pStyle w:val="177"/>
            <w:spacing w:before="0"/>
          </w:pPr>
          <w:r>
            <w:rPr>
              <w:rFonts w:hint="eastAsia"/>
            </w:rPr>
            <w:t>应用规范</w:t>
          </w:r>
        </w:p>
      </w:sdtContent>
    </w:sdt>
    <w:bookmarkEnd w:id="29"/>
    <w:p w14:paraId="153BF6ED">
      <w:pPr>
        <w:pStyle w:val="104"/>
        <w:spacing w:before="240" w:after="240" w:line="360" w:lineRule="auto"/>
      </w:pPr>
      <w:bookmarkStart w:id="30" w:name="_Toc17233325"/>
      <w:bookmarkStart w:id="31" w:name="_Toc26718930"/>
      <w:bookmarkStart w:id="32" w:name="_Toc97192964"/>
      <w:bookmarkStart w:id="33" w:name="_Toc209907119"/>
      <w:bookmarkStart w:id="34" w:name="_Toc17233333"/>
      <w:bookmarkStart w:id="35" w:name="_Toc24884218"/>
      <w:bookmarkStart w:id="36" w:name="_Toc24884211"/>
      <w:bookmarkStart w:id="37" w:name="_Toc26648465"/>
      <w:bookmarkStart w:id="38" w:name="_Toc26986530"/>
      <w:bookmarkStart w:id="39" w:name="_Toc26986771"/>
      <w:bookmarkStart w:id="40" w:name="_Toc209946138"/>
      <w:r>
        <w:rPr>
          <w:rFonts w:hint="eastAsia"/>
        </w:rPr>
        <w:t>范围</w:t>
      </w:r>
      <w:bookmarkEnd w:id="30"/>
      <w:bookmarkEnd w:id="31"/>
      <w:bookmarkEnd w:id="32"/>
      <w:bookmarkEnd w:id="33"/>
      <w:bookmarkEnd w:id="34"/>
      <w:bookmarkEnd w:id="35"/>
      <w:bookmarkEnd w:id="36"/>
      <w:bookmarkEnd w:id="37"/>
      <w:bookmarkEnd w:id="38"/>
      <w:bookmarkEnd w:id="39"/>
      <w:bookmarkEnd w:id="40"/>
    </w:p>
    <w:p w14:paraId="4BD2F587">
      <w:pPr>
        <w:pStyle w:val="56"/>
        <w:spacing w:line="360" w:lineRule="auto"/>
        <w:ind w:firstLine="420"/>
      </w:pPr>
      <w:bookmarkStart w:id="41" w:name="_Toc17233326"/>
      <w:bookmarkStart w:id="42" w:name="_Toc24884219"/>
      <w:bookmarkStart w:id="43" w:name="_Toc24884212"/>
      <w:bookmarkStart w:id="44" w:name="_Toc26648466"/>
      <w:bookmarkStart w:id="45" w:name="_Toc17233334"/>
      <w:r>
        <w:rPr>
          <w:rFonts w:hint="eastAsia"/>
        </w:rPr>
        <w:t>本文件规定了机电类特种设备智能检验系统的总体要求、系统架构功能、数据采集处理、智能分析、检验流程、信息安全及系统运行维护等方面的内容。</w:t>
      </w:r>
    </w:p>
    <w:p w14:paraId="73941AEA">
      <w:pPr>
        <w:pStyle w:val="56"/>
        <w:spacing w:line="360" w:lineRule="auto"/>
        <w:ind w:firstLine="420"/>
      </w:pPr>
      <w:r>
        <w:rPr>
          <w:rFonts w:hint="eastAsia"/>
        </w:rPr>
        <w:t>本文件适用于机电类特种设备智能检验系统的设计、建设、运行与维护工作，包括电梯、起重机械、锅炉、压力容器、厂内机动车辆等典型机电类特种设备的智能化检验应用。</w:t>
      </w:r>
    </w:p>
    <w:p w14:paraId="387C9C2B">
      <w:pPr>
        <w:pStyle w:val="56"/>
        <w:spacing w:line="360" w:lineRule="auto"/>
        <w:ind w:firstLine="420"/>
      </w:pPr>
      <w:r>
        <w:rPr>
          <w:rFonts w:hint="eastAsia"/>
        </w:rPr>
        <w:t>本文件亦可为设备制造单位、检验检测机构、科研院所和行业监管部门开展相关工作提供参考。</w:t>
      </w:r>
    </w:p>
    <w:p w14:paraId="1F7FEEB2">
      <w:pPr>
        <w:pStyle w:val="104"/>
        <w:spacing w:before="240" w:after="240" w:line="360" w:lineRule="auto"/>
      </w:pPr>
      <w:bookmarkStart w:id="46" w:name="_Toc26986772"/>
      <w:bookmarkStart w:id="47" w:name="_Toc26986531"/>
      <w:bookmarkStart w:id="48" w:name="_Toc97192965"/>
      <w:bookmarkStart w:id="49" w:name="_Toc209946139"/>
      <w:bookmarkStart w:id="50" w:name="_Toc26718931"/>
      <w:bookmarkStart w:id="51" w:name="_Toc209907120"/>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7F166C9">
      <w:pPr>
        <w:pStyle w:val="56"/>
        <w:spacing w:line="360" w:lineRule="auto"/>
        <w:ind w:firstLine="420"/>
      </w:pPr>
      <w:r>
        <w:rPr>
          <w:rFonts w:hint="eastAsia"/>
        </w:rPr>
        <w:t>GB/T 1.1—2020 标准化工作导则  第1部分:标准化文件的结构和起草规则</w:t>
      </w:r>
    </w:p>
    <w:p w14:paraId="571DA082">
      <w:pPr>
        <w:pStyle w:val="56"/>
        <w:spacing w:line="360" w:lineRule="auto"/>
        <w:ind w:firstLine="420"/>
      </w:pPr>
      <w:r>
        <w:rPr>
          <w:rFonts w:hint="eastAsia"/>
        </w:rPr>
        <w:t>GB/T 2900.1—2008 电工术语  基本术语</w:t>
      </w:r>
    </w:p>
    <w:p w14:paraId="562DF3A6">
      <w:pPr>
        <w:pStyle w:val="56"/>
        <w:spacing w:line="360" w:lineRule="auto"/>
        <w:ind w:firstLine="420"/>
      </w:pPr>
      <w:r>
        <w:rPr>
          <w:rFonts w:hint="eastAsia"/>
        </w:rPr>
        <w:t>GB/T 3811—2008 起重机设计规范</w:t>
      </w:r>
    </w:p>
    <w:p w14:paraId="2FA9D5C0">
      <w:pPr>
        <w:pStyle w:val="56"/>
        <w:spacing w:line="360" w:lineRule="auto"/>
        <w:ind w:firstLine="420"/>
      </w:pPr>
      <w:r>
        <w:t>GB/T 10058</w:t>
      </w:r>
      <w:r>
        <w:rPr>
          <w:rFonts w:hint="eastAsia"/>
        </w:rPr>
        <w:t>—</w:t>
      </w:r>
      <w:r>
        <w:t>2023</w:t>
      </w:r>
      <w:r>
        <w:rPr>
          <w:rFonts w:hint="eastAsia"/>
        </w:rPr>
        <w:t xml:space="preserve"> 电梯技术条件</w:t>
      </w:r>
    </w:p>
    <w:p w14:paraId="6962992E">
      <w:pPr>
        <w:pStyle w:val="104"/>
        <w:spacing w:before="240" w:after="240" w:line="360" w:lineRule="auto"/>
      </w:pPr>
      <w:bookmarkStart w:id="52" w:name="_Toc97192966"/>
      <w:bookmarkStart w:id="53" w:name="_Toc209907121"/>
      <w:bookmarkStart w:id="54" w:name="_Toc209946140"/>
      <w:r>
        <w:rPr>
          <w:rFonts w:hint="eastAsia"/>
          <w:szCs w:val="21"/>
        </w:rPr>
        <w:t>术语和定义</w:t>
      </w:r>
      <w:bookmarkEnd w:id="52"/>
      <w:bookmarkEnd w:id="53"/>
      <w:bookmarkEnd w:id="54"/>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5" w:name="_Toc26986532"/>
          <w:bookmarkEnd w:id="55"/>
          <w:r>
            <w:t>下列术语和定义适用于本文件。</w:t>
          </w:r>
        </w:p>
      </w:sdtContent>
    </w:sdt>
    <w:p w14:paraId="6A39B82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机电类特种设备 </w:t>
      </w:r>
      <w:r>
        <w:rPr>
          <w:rFonts w:ascii="黑体" w:hAnsi="黑体" w:eastAsia="黑体"/>
        </w:rPr>
        <w:t>electromechanical special equipment</w:t>
      </w:r>
    </w:p>
    <w:p w14:paraId="435AAD73">
      <w:pPr>
        <w:pStyle w:val="56"/>
        <w:spacing w:line="360" w:lineRule="auto"/>
        <w:ind w:firstLine="420"/>
      </w:pPr>
      <w:r>
        <w:rPr>
          <w:rFonts w:hint="eastAsia"/>
        </w:rPr>
        <w:t>指在生产、建设和生活中应用广泛，涉及公共安全并需实施严格检验检测的机电设备，包括电梯、起重机械、锅炉、压力容器、厂内机动车辆等。</w:t>
      </w:r>
    </w:p>
    <w:p w14:paraId="5269AD8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智能检验系统 </w:t>
      </w:r>
      <w:r>
        <w:rPr>
          <w:rFonts w:ascii="黑体" w:hAnsi="黑体" w:eastAsia="黑体"/>
        </w:rPr>
        <w:t>intelligent inspection system</w:t>
      </w:r>
    </w:p>
    <w:p w14:paraId="3B33B5DE">
      <w:pPr>
        <w:pStyle w:val="56"/>
        <w:spacing w:line="360" w:lineRule="auto"/>
        <w:ind w:firstLine="420"/>
      </w:pPr>
      <w:r>
        <w:rPr>
          <w:rFonts w:hint="eastAsia"/>
        </w:rPr>
        <w:t>基于物联网、人工智能和大数据技术，对特种设备运行状态进行实时监测、数据采集、分析处理，并辅助检验人员进行判断和决策的综合性系统。</w:t>
      </w:r>
    </w:p>
    <w:p w14:paraId="53EA9E3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数据采集 </w:t>
      </w:r>
      <w:r>
        <w:rPr>
          <w:rFonts w:ascii="黑体" w:hAnsi="黑体" w:eastAsia="黑体"/>
        </w:rPr>
        <w:t>data acquisition</w:t>
      </w:r>
    </w:p>
    <w:p w14:paraId="6AC3D60E">
      <w:pPr>
        <w:pStyle w:val="56"/>
        <w:spacing w:line="360" w:lineRule="auto"/>
        <w:ind w:firstLine="420"/>
      </w:pPr>
      <w:r>
        <w:rPr>
          <w:rFonts w:hint="eastAsia"/>
        </w:rPr>
        <w:t>利用传感器、检测仪器或信息系统，对设备运行过程中产生的温度、压力、振动、速度、电流等数据进行实时获取的过程。</w:t>
      </w:r>
    </w:p>
    <w:p w14:paraId="21F44AD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数据处理 </w:t>
      </w:r>
      <w:r>
        <w:rPr>
          <w:rFonts w:ascii="黑体" w:hAnsi="黑体" w:eastAsia="黑体"/>
        </w:rPr>
        <w:t>data processing</w:t>
      </w:r>
    </w:p>
    <w:p w14:paraId="33E8A1B4">
      <w:pPr>
        <w:pStyle w:val="56"/>
        <w:spacing w:line="360" w:lineRule="auto"/>
        <w:ind w:firstLine="420"/>
      </w:pPr>
      <w:r>
        <w:rPr>
          <w:rFonts w:hint="eastAsia"/>
        </w:rPr>
        <w:t>对采集到的数据进行清洗、标准化、存储和分析的过程，以确保数据的准确性、完整性和可用性。</w:t>
      </w:r>
    </w:p>
    <w:p w14:paraId="590A958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智能分析 </w:t>
      </w:r>
      <w:r>
        <w:rPr>
          <w:rFonts w:ascii="黑体" w:hAnsi="黑体" w:eastAsia="黑体"/>
        </w:rPr>
        <w:t>intelligent analysis</w:t>
      </w:r>
    </w:p>
    <w:p w14:paraId="0617C5F9">
      <w:pPr>
        <w:pStyle w:val="56"/>
        <w:spacing w:line="360" w:lineRule="auto"/>
        <w:ind w:firstLine="420"/>
      </w:pPr>
      <w:r>
        <w:rPr>
          <w:rFonts w:hint="eastAsia"/>
        </w:rPr>
        <w:t>应用人工智能算法和大数据技术，对特种设备运行数据进行建模、预测和诊断，从而识别潜在故障、评估风险并提供决策支持。</w:t>
      </w:r>
    </w:p>
    <w:p w14:paraId="4653983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辅助决策 </w:t>
      </w:r>
      <w:r>
        <w:rPr>
          <w:rFonts w:ascii="黑体" w:hAnsi="黑体" w:eastAsia="黑体"/>
        </w:rPr>
        <w:t>decision support</w:t>
      </w:r>
    </w:p>
    <w:p w14:paraId="1002F3D0">
      <w:pPr>
        <w:pStyle w:val="56"/>
        <w:spacing w:line="360" w:lineRule="auto"/>
        <w:ind w:firstLine="420"/>
      </w:pPr>
      <w:r>
        <w:rPr>
          <w:rFonts w:hint="eastAsia"/>
        </w:rPr>
        <w:t>智能检验系统基于数据分析结果，向检验人员提供优化建议和参考结论，以提升检验的科学性和效率。</w:t>
      </w:r>
    </w:p>
    <w:p w14:paraId="0C9F21B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信息安全 </w:t>
      </w:r>
      <w:r>
        <w:rPr>
          <w:rFonts w:ascii="黑体" w:hAnsi="黑体" w:eastAsia="黑体"/>
        </w:rPr>
        <w:t>information security</w:t>
      </w:r>
    </w:p>
    <w:p w14:paraId="12062132">
      <w:pPr>
        <w:pStyle w:val="56"/>
        <w:spacing w:line="360" w:lineRule="auto"/>
        <w:ind w:firstLine="420"/>
      </w:pPr>
      <w:r>
        <w:rPr>
          <w:rFonts w:hint="eastAsia"/>
        </w:rPr>
        <w:t>保障检验系统在运行过程中数据和信息的机密性、完整性和可用性，防止未授权访问、篡改和泄露。</w:t>
      </w:r>
    </w:p>
    <w:p w14:paraId="2D4DA0AF">
      <w:pPr>
        <w:pStyle w:val="104"/>
        <w:spacing w:before="240" w:after="240" w:line="360" w:lineRule="auto"/>
      </w:pPr>
      <w:bookmarkStart w:id="56" w:name="_Toc209907122"/>
      <w:bookmarkStart w:id="57" w:name="_Toc209946141"/>
      <w:r>
        <w:rPr>
          <w:rFonts w:hint="eastAsia"/>
        </w:rPr>
        <w:t>总体要求</w:t>
      </w:r>
      <w:bookmarkEnd w:id="56"/>
      <w:bookmarkEnd w:id="57"/>
    </w:p>
    <w:p w14:paraId="0661391D">
      <w:pPr>
        <w:pStyle w:val="105"/>
        <w:spacing w:before="120" w:after="120" w:line="360" w:lineRule="auto"/>
      </w:pPr>
      <w:r>
        <w:rPr>
          <w:rFonts w:hint="eastAsia"/>
        </w:rPr>
        <w:t>合规性要求</w:t>
      </w:r>
    </w:p>
    <w:p w14:paraId="5AD8CB5A">
      <w:pPr>
        <w:pStyle w:val="56"/>
        <w:spacing w:line="360" w:lineRule="auto"/>
        <w:ind w:firstLine="420"/>
      </w:pPr>
      <w:r>
        <w:rPr>
          <w:rFonts w:hint="eastAsia"/>
        </w:rPr>
        <w:t>智能检验系统的建设与应用应严格遵循国家法律法规、行业标准和特种设备安全技术规范，确保检验活动合法合规。</w:t>
      </w:r>
    </w:p>
    <w:p w14:paraId="32B56424">
      <w:pPr>
        <w:pStyle w:val="105"/>
        <w:spacing w:before="120" w:after="120" w:line="360" w:lineRule="auto"/>
      </w:pPr>
      <w:r>
        <w:rPr>
          <w:rFonts w:hint="eastAsia"/>
        </w:rPr>
        <w:t>全过程覆盖</w:t>
      </w:r>
    </w:p>
    <w:p w14:paraId="73CF94A3">
      <w:pPr>
        <w:pStyle w:val="56"/>
        <w:spacing w:line="360" w:lineRule="auto"/>
        <w:ind w:firstLine="420"/>
      </w:pPr>
      <w:r>
        <w:rPr>
          <w:rFonts w:hint="eastAsia"/>
        </w:rPr>
        <w:t>系统应覆盖设备检验的全过程，包括数据采集、处理、分析、辅助决策和结果存档，实现闭环管理。</w:t>
      </w:r>
    </w:p>
    <w:p w14:paraId="1FEEE9F3">
      <w:pPr>
        <w:pStyle w:val="105"/>
        <w:spacing w:before="120" w:after="120" w:line="360" w:lineRule="auto"/>
      </w:pPr>
      <w:r>
        <w:rPr>
          <w:rFonts w:hint="eastAsia"/>
        </w:rPr>
        <w:t>系统集成性</w:t>
      </w:r>
    </w:p>
    <w:p w14:paraId="2B91C6CD">
      <w:pPr>
        <w:pStyle w:val="56"/>
        <w:spacing w:line="360" w:lineRule="auto"/>
        <w:ind w:firstLine="420"/>
      </w:pPr>
      <w:r>
        <w:rPr>
          <w:rFonts w:hint="eastAsia"/>
        </w:rPr>
        <w:t>系统应具备良好的集成能力，能够与检验机构内部业务系统、政府监管平台和设备制造商数据平台实现互联互通，避免信息孤岛。</w:t>
      </w:r>
    </w:p>
    <w:p w14:paraId="7DE84980">
      <w:pPr>
        <w:pStyle w:val="105"/>
        <w:spacing w:before="120" w:after="120" w:line="360" w:lineRule="auto"/>
      </w:pPr>
      <w:r>
        <w:rPr>
          <w:rFonts w:hint="eastAsia"/>
        </w:rPr>
        <w:t>实时性与准确性</w:t>
      </w:r>
    </w:p>
    <w:p w14:paraId="5358BC51">
      <w:pPr>
        <w:pStyle w:val="56"/>
        <w:spacing w:line="360" w:lineRule="auto"/>
        <w:ind w:firstLine="420"/>
      </w:pPr>
      <w:r>
        <w:rPr>
          <w:rFonts w:hint="eastAsia"/>
        </w:rPr>
        <w:t>系统应具备高实时性和高精度的数据采集与处理能力，保证检验数据的真实性和可追溯性。</w:t>
      </w:r>
    </w:p>
    <w:p w14:paraId="6418DA5E">
      <w:pPr>
        <w:pStyle w:val="105"/>
        <w:spacing w:before="120" w:after="120" w:line="360" w:lineRule="auto"/>
      </w:pPr>
      <w:r>
        <w:rPr>
          <w:rFonts w:hint="eastAsia"/>
        </w:rPr>
        <w:t>安全性与可靠性</w:t>
      </w:r>
    </w:p>
    <w:p w14:paraId="287E3938">
      <w:pPr>
        <w:pStyle w:val="56"/>
        <w:spacing w:line="360" w:lineRule="auto"/>
        <w:ind w:firstLine="420"/>
      </w:pPr>
      <w:r>
        <w:rPr>
          <w:rFonts w:hint="eastAsia"/>
        </w:rPr>
        <w:t>系统在设计和运行中应确保数据与设备的安全，具备防攻击、防篡改、防泄露的能力，并具备冗余设计以保证稳定运行。</w:t>
      </w:r>
    </w:p>
    <w:p w14:paraId="15FC3FA0">
      <w:pPr>
        <w:pStyle w:val="105"/>
        <w:spacing w:before="120" w:after="120" w:line="360" w:lineRule="auto"/>
      </w:pPr>
      <w:r>
        <w:rPr>
          <w:rFonts w:hint="eastAsia"/>
        </w:rPr>
        <w:t>智能化与可扩展性</w:t>
      </w:r>
    </w:p>
    <w:p w14:paraId="0921AC67">
      <w:pPr>
        <w:pStyle w:val="56"/>
        <w:spacing w:line="360" w:lineRule="auto"/>
        <w:ind w:firstLine="420"/>
      </w:pPr>
      <w:r>
        <w:rPr>
          <w:rFonts w:hint="eastAsia"/>
        </w:rPr>
        <w:t>系统应充分利用人工智能、机器学习等先进技术，提升检验的智能化水平；同时应具备模块化设计，支持功能扩展与技术升级。</w:t>
      </w:r>
    </w:p>
    <w:p w14:paraId="7DE23D38">
      <w:pPr>
        <w:pStyle w:val="105"/>
        <w:spacing w:before="120" w:after="120" w:line="360" w:lineRule="auto"/>
      </w:pPr>
      <w:r>
        <w:rPr>
          <w:rFonts w:hint="eastAsia"/>
        </w:rPr>
        <w:t>持续改进</w:t>
      </w:r>
    </w:p>
    <w:p w14:paraId="311204EC">
      <w:pPr>
        <w:pStyle w:val="56"/>
        <w:spacing w:line="360" w:lineRule="auto"/>
        <w:ind w:firstLine="420"/>
      </w:pPr>
      <w:r>
        <w:rPr>
          <w:rFonts w:hint="eastAsia"/>
        </w:rPr>
        <w:t>系统应建立动态评估与优化机制，根据检验实践经验和技术进步，不断完善功能和优化性能，提升整体应用效果。</w:t>
      </w:r>
    </w:p>
    <w:p w14:paraId="548517B0">
      <w:pPr>
        <w:pStyle w:val="104"/>
        <w:spacing w:before="240" w:after="240" w:line="360" w:lineRule="auto"/>
      </w:pPr>
      <w:bookmarkStart w:id="58" w:name="_Toc209907123"/>
      <w:bookmarkStart w:id="59" w:name="_Toc209946142"/>
      <w:r>
        <w:rPr>
          <w:rFonts w:hint="eastAsia"/>
        </w:rPr>
        <w:t>系统架构功能</w:t>
      </w:r>
      <w:bookmarkEnd w:id="58"/>
      <w:bookmarkEnd w:id="59"/>
    </w:p>
    <w:p w14:paraId="6623B306">
      <w:pPr>
        <w:pStyle w:val="105"/>
        <w:spacing w:before="120" w:after="120" w:line="360" w:lineRule="auto"/>
      </w:pPr>
      <w:r>
        <w:rPr>
          <w:rFonts w:hint="eastAsia"/>
        </w:rPr>
        <w:t>系统架构</w:t>
      </w:r>
    </w:p>
    <w:p w14:paraId="11CA537B">
      <w:pPr>
        <w:pStyle w:val="56"/>
        <w:spacing w:line="360" w:lineRule="auto"/>
        <w:ind w:firstLine="420"/>
      </w:pPr>
      <w:r>
        <w:rPr>
          <w:rFonts w:hint="eastAsia"/>
        </w:rPr>
        <w:t>系统架构应采用分层与模块化设计，主要包括感知层、网络层、平台层和应用层：</w:t>
      </w:r>
    </w:p>
    <w:p w14:paraId="45DC5B98">
      <w:pPr>
        <w:pStyle w:val="132"/>
        <w:spacing w:line="360" w:lineRule="auto"/>
      </w:pPr>
      <w:r>
        <w:rPr>
          <w:rFonts w:hint="eastAsia"/>
        </w:rPr>
        <w:t>感知层负责传感器与检测设备的数据采集；网络层负责数据传输与通信安全；</w:t>
      </w:r>
    </w:p>
    <w:p w14:paraId="0712477E">
      <w:pPr>
        <w:pStyle w:val="132"/>
        <w:spacing w:line="360" w:lineRule="auto"/>
      </w:pPr>
      <w:r>
        <w:rPr>
          <w:rFonts w:hint="eastAsia"/>
        </w:rPr>
        <w:t>平台层负责数据处理、存储与分析；</w:t>
      </w:r>
    </w:p>
    <w:p w14:paraId="0297E31F">
      <w:pPr>
        <w:pStyle w:val="132"/>
        <w:spacing w:line="360" w:lineRule="auto"/>
      </w:pPr>
      <w:r>
        <w:rPr>
          <w:rFonts w:hint="eastAsia"/>
        </w:rPr>
        <w:t>应用层负责用户交互、辅助决策与信息共享。</w:t>
      </w:r>
    </w:p>
    <w:p w14:paraId="0BCE9DCE">
      <w:pPr>
        <w:pStyle w:val="105"/>
        <w:spacing w:before="120" w:after="120" w:line="360" w:lineRule="auto"/>
      </w:pPr>
      <w:r>
        <w:rPr>
          <w:rFonts w:hint="eastAsia"/>
        </w:rPr>
        <w:t>核心功能</w:t>
      </w:r>
    </w:p>
    <w:p w14:paraId="108899BE">
      <w:pPr>
        <w:pStyle w:val="56"/>
        <w:spacing w:line="360" w:lineRule="auto"/>
        <w:ind w:firstLine="420"/>
      </w:pPr>
      <w:r>
        <w:rPr>
          <w:rFonts w:hint="eastAsia"/>
        </w:rPr>
        <w:t>系统应具备以下核心功能：</w:t>
      </w:r>
    </w:p>
    <w:p w14:paraId="10A9DEFC">
      <w:pPr>
        <w:pStyle w:val="132"/>
        <w:spacing w:line="360" w:lineRule="auto"/>
      </w:pPr>
      <w:r>
        <w:rPr>
          <w:rFonts w:hint="eastAsia"/>
        </w:rPr>
        <w:t>数据采集与管理：实现设备运行状态参数的实时采集与存储；</w:t>
      </w:r>
    </w:p>
    <w:p w14:paraId="1D26A044">
      <w:pPr>
        <w:pStyle w:val="132"/>
        <w:spacing w:line="360" w:lineRule="auto"/>
      </w:pPr>
      <w:r>
        <w:rPr>
          <w:rFonts w:hint="eastAsia"/>
        </w:rPr>
        <w:t>智能分析与诊断：通过算法模型识别潜在故障和风险；</w:t>
      </w:r>
    </w:p>
    <w:p w14:paraId="1F376FD1">
      <w:pPr>
        <w:pStyle w:val="132"/>
        <w:spacing w:line="360" w:lineRule="auto"/>
      </w:pPr>
      <w:r>
        <w:rPr>
          <w:rFonts w:hint="eastAsia"/>
        </w:rPr>
        <w:t>辅助决策支持：为检验人员提供检验结论与处理建议；</w:t>
      </w:r>
    </w:p>
    <w:p w14:paraId="463117FB">
      <w:pPr>
        <w:pStyle w:val="132"/>
        <w:spacing w:line="360" w:lineRule="auto"/>
      </w:pPr>
      <w:r>
        <w:rPr>
          <w:rFonts w:hint="eastAsia"/>
        </w:rPr>
        <w:t>可视化展示：以图表、曲线和报表形式展示设备运行与检验情况；</w:t>
      </w:r>
    </w:p>
    <w:p w14:paraId="0061A186">
      <w:pPr>
        <w:pStyle w:val="132"/>
        <w:spacing w:line="360" w:lineRule="auto"/>
      </w:pPr>
      <w:r>
        <w:rPr>
          <w:rFonts w:hint="eastAsia"/>
        </w:rPr>
        <w:t>预警与报警：对超限数据和潜在风险进行实时报警提示。</w:t>
      </w:r>
    </w:p>
    <w:p w14:paraId="53F35869">
      <w:pPr>
        <w:pStyle w:val="105"/>
        <w:spacing w:before="120" w:after="120" w:line="360" w:lineRule="auto"/>
      </w:pPr>
      <w:r>
        <w:rPr>
          <w:rFonts w:hint="eastAsia"/>
        </w:rPr>
        <w:t>性能指标</w:t>
      </w:r>
    </w:p>
    <w:p w14:paraId="3993903B">
      <w:pPr>
        <w:pStyle w:val="56"/>
        <w:spacing w:line="360" w:lineRule="auto"/>
        <w:ind w:firstLine="420"/>
      </w:pPr>
      <w:r>
        <w:rPr>
          <w:rFonts w:hint="eastAsia"/>
        </w:rPr>
        <w:t>系统性能应满足以下指标：</w:t>
      </w:r>
    </w:p>
    <w:p w14:paraId="41C67C74">
      <w:pPr>
        <w:pStyle w:val="132"/>
        <w:spacing w:line="360" w:lineRule="auto"/>
      </w:pPr>
      <w:r>
        <w:rPr>
          <w:rFonts w:hint="eastAsia"/>
        </w:rPr>
        <w:t>数据采集实时性：延迟不应超过 1 秒；</w:t>
      </w:r>
    </w:p>
    <w:p w14:paraId="2447BA60">
      <w:pPr>
        <w:pStyle w:val="132"/>
        <w:spacing w:line="360" w:lineRule="auto"/>
      </w:pPr>
      <w:r>
        <w:rPr>
          <w:rFonts w:hint="eastAsia"/>
        </w:rPr>
        <w:t>数据处理能力：应支持海量数据的并行处理与分析；</w:t>
      </w:r>
    </w:p>
    <w:p w14:paraId="32453A6F">
      <w:pPr>
        <w:pStyle w:val="132"/>
        <w:spacing w:line="360" w:lineRule="auto"/>
      </w:pPr>
      <w:r>
        <w:rPr>
          <w:rFonts w:hint="eastAsia"/>
        </w:rPr>
        <w:t>系统可靠性：全年可用率不应低于 99.9%；</w:t>
      </w:r>
    </w:p>
    <w:p w14:paraId="2E2740E6">
      <w:pPr>
        <w:pStyle w:val="132"/>
        <w:spacing w:line="360" w:lineRule="auto"/>
      </w:pPr>
      <w:r>
        <w:rPr>
          <w:rFonts w:hint="eastAsia"/>
        </w:rPr>
        <w:t>扩展能力：应支持新增设备与功能模块的快速接入。</w:t>
      </w:r>
    </w:p>
    <w:p w14:paraId="7607FC85">
      <w:pPr>
        <w:pStyle w:val="105"/>
        <w:spacing w:before="120" w:after="120" w:line="360" w:lineRule="auto"/>
      </w:pPr>
      <w:r>
        <w:rPr>
          <w:rFonts w:hint="eastAsia"/>
        </w:rPr>
        <w:t>用户交互</w:t>
      </w:r>
    </w:p>
    <w:p w14:paraId="57D52FD7">
      <w:pPr>
        <w:pStyle w:val="56"/>
        <w:spacing w:line="360" w:lineRule="auto"/>
        <w:ind w:firstLine="420"/>
      </w:pPr>
      <w:r>
        <w:rPr>
          <w:rFonts w:hint="eastAsia"/>
        </w:rPr>
        <w:t>系统应提供友好的用户界面和交互方式：</w:t>
      </w:r>
    </w:p>
    <w:p w14:paraId="1F3F997C">
      <w:pPr>
        <w:pStyle w:val="132"/>
        <w:spacing w:line="360" w:lineRule="auto"/>
      </w:pPr>
      <w:r>
        <w:rPr>
          <w:rFonts w:hint="eastAsia"/>
        </w:rPr>
        <w:t>支持 PC 端和移动端访问；</w:t>
      </w:r>
    </w:p>
    <w:p w14:paraId="5828E80E">
      <w:pPr>
        <w:pStyle w:val="132"/>
        <w:spacing w:line="360" w:lineRule="auto"/>
      </w:pPr>
      <w:r>
        <w:rPr>
          <w:rFonts w:hint="eastAsia"/>
        </w:rPr>
        <w:t>具备多角色管理功能；</w:t>
      </w:r>
    </w:p>
    <w:p w14:paraId="2B6F6923">
      <w:pPr>
        <w:pStyle w:val="132"/>
        <w:spacing w:line="360" w:lineRule="auto"/>
      </w:pPr>
      <w:r>
        <w:rPr>
          <w:rFonts w:hint="eastAsia"/>
        </w:rPr>
        <w:t>应支持多语言界面和个性化配置。</w:t>
      </w:r>
    </w:p>
    <w:p w14:paraId="503DD989">
      <w:pPr>
        <w:pStyle w:val="105"/>
        <w:spacing w:before="120" w:after="120" w:line="360" w:lineRule="auto"/>
      </w:pPr>
      <w:r>
        <w:rPr>
          <w:rFonts w:hint="eastAsia"/>
        </w:rPr>
        <w:t>接口与互操作性</w:t>
      </w:r>
    </w:p>
    <w:p w14:paraId="5C06D1C8">
      <w:pPr>
        <w:pStyle w:val="56"/>
        <w:spacing w:line="360" w:lineRule="auto"/>
        <w:ind w:firstLine="420"/>
      </w:pPr>
      <w:r>
        <w:rPr>
          <w:rFonts w:hint="eastAsia"/>
        </w:rPr>
        <w:t>系统应支持标准化接口，确保与其他业务系统、行业平台的互联互通：</w:t>
      </w:r>
    </w:p>
    <w:p w14:paraId="7EAD2C1F">
      <w:pPr>
        <w:pStyle w:val="132"/>
        <w:spacing w:line="360" w:lineRule="auto"/>
      </w:pPr>
      <w:r>
        <w:rPr>
          <w:rFonts w:hint="eastAsia"/>
        </w:rPr>
        <w:t>采用 API 或 Web Service 实现数据交换；</w:t>
      </w:r>
    </w:p>
    <w:p w14:paraId="6FCF4332">
      <w:pPr>
        <w:pStyle w:val="132"/>
        <w:spacing w:line="360" w:lineRule="auto"/>
      </w:pPr>
      <w:r>
        <w:rPr>
          <w:rFonts w:hint="eastAsia"/>
        </w:rPr>
        <w:t>符合国家或行业制定的数据标准和接口规范，确保互操作性。</w:t>
      </w:r>
    </w:p>
    <w:p w14:paraId="43711724">
      <w:pPr>
        <w:pStyle w:val="105"/>
        <w:spacing w:before="120" w:after="120" w:line="360" w:lineRule="auto"/>
      </w:pPr>
      <w:r>
        <w:rPr>
          <w:rFonts w:hint="eastAsia"/>
        </w:rPr>
        <w:t>安全防护</w:t>
      </w:r>
    </w:p>
    <w:p w14:paraId="297041CC">
      <w:pPr>
        <w:pStyle w:val="56"/>
        <w:spacing w:line="360" w:lineRule="auto"/>
        <w:ind w:firstLine="420"/>
      </w:pPr>
      <w:r>
        <w:rPr>
          <w:rFonts w:hint="eastAsia"/>
        </w:rPr>
        <w:t>在系统架构设计中，应全面考虑信息安全：</w:t>
      </w:r>
    </w:p>
    <w:p w14:paraId="287EA541">
      <w:pPr>
        <w:pStyle w:val="132"/>
        <w:spacing w:line="360" w:lineRule="auto"/>
      </w:pPr>
      <w:r>
        <w:rPr>
          <w:rFonts w:hint="eastAsia"/>
        </w:rPr>
        <w:t>采用分级权限控制和多因素认证机制；</w:t>
      </w:r>
    </w:p>
    <w:p w14:paraId="3C0C7313">
      <w:pPr>
        <w:pStyle w:val="132"/>
        <w:spacing w:line="360" w:lineRule="auto"/>
      </w:pPr>
      <w:r>
        <w:rPr>
          <w:rFonts w:hint="eastAsia"/>
        </w:rPr>
        <w:t>关键数据传输应进行加密；</w:t>
      </w:r>
    </w:p>
    <w:p w14:paraId="38940DEC">
      <w:pPr>
        <w:pStyle w:val="132"/>
        <w:spacing w:line="360" w:lineRule="auto"/>
      </w:pPr>
      <w:r>
        <w:rPr>
          <w:rFonts w:hint="eastAsia"/>
        </w:rPr>
        <w:t>应具备日志追溯和访问审计功能。</w:t>
      </w:r>
    </w:p>
    <w:p w14:paraId="3A10076A">
      <w:pPr>
        <w:pStyle w:val="104"/>
        <w:spacing w:before="240" w:after="240" w:line="360" w:lineRule="auto"/>
      </w:pPr>
      <w:bookmarkStart w:id="60" w:name="_Toc209907124"/>
      <w:bookmarkStart w:id="61" w:name="_Toc209946143"/>
      <w:r>
        <w:rPr>
          <w:rFonts w:hint="eastAsia"/>
        </w:rPr>
        <w:t>数据采集处理</w:t>
      </w:r>
      <w:bookmarkEnd w:id="60"/>
      <w:bookmarkEnd w:id="61"/>
    </w:p>
    <w:p w14:paraId="7B5D00A6">
      <w:pPr>
        <w:pStyle w:val="105"/>
        <w:spacing w:before="120" w:after="120" w:line="360" w:lineRule="auto"/>
      </w:pPr>
      <w:r>
        <w:rPr>
          <w:rFonts w:hint="eastAsia"/>
        </w:rPr>
        <w:t>数据采集方式</w:t>
      </w:r>
    </w:p>
    <w:p w14:paraId="39EEDB7D">
      <w:pPr>
        <w:pStyle w:val="56"/>
        <w:spacing w:line="360" w:lineRule="auto"/>
        <w:ind w:firstLine="420"/>
      </w:pPr>
      <w:r>
        <w:rPr>
          <w:rFonts w:hint="eastAsia"/>
        </w:rPr>
        <w:t>系统应结合不同设备的特性，采用多种采集方式，包括传感器实时采集、检测仪器自动采集、人工辅助录入以及视频图像识别。自动化采集应作为主要方式，以减少人为因素干扰。</w:t>
      </w:r>
    </w:p>
    <w:p w14:paraId="5CB31645">
      <w:pPr>
        <w:pStyle w:val="105"/>
        <w:spacing w:before="120" w:after="120" w:line="360" w:lineRule="auto"/>
      </w:pPr>
      <w:r>
        <w:rPr>
          <w:rFonts w:hint="eastAsia"/>
        </w:rPr>
        <w:t>数据采集精度</w:t>
      </w:r>
    </w:p>
    <w:p w14:paraId="5D6A308D">
      <w:pPr>
        <w:pStyle w:val="56"/>
        <w:spacing w:line="360" w:lineRule="auto"/>
        <w:ind w:firstLine="420"/>
      </w:pPr>
      <w:r>
        <w:rPr>
          <w:rFonts w:hint="eastAsia"/>
        </w:rPr>
        <w:t>采集设备和传感器对温度、压力、振动、电流等关键参数的误差，应控制在规定范围内。对于高风险设备，应采用高精度采集设备并定期进行校准。</w:t>
      </w:r>
    </w:p>
    <w:p w14:paraId="13F9C2A1">
      <w:pPr>
        <w:pStyle w:val="105"/>
        <w:spacing w:before="120" w:after="120" w:line="360" w:lineRule="auto"/>
      </w:pPr>
      <w:r>
        <w:rPr>
          <w:rFonts w:hint="eastAsia"/>
        </w:rPr>
        <w:t>数据采集频率</w:t>
      </w:r>
    </w:p>
    <w:p w14:paraId="6FAC4A97">
      <w:pPr>
        <w:pStyle w:val="56"/>
        <w:spacing w:line="360" w:lineRule="auto"/>
        <w:ind w:firstLine="420"/>
      </w:pPr>
      <w:r>
        <w:rPr>
          <w:rFonts w:hint="eastAsia"/>
        </w:rPr>
        <w:t>采集频率应根据设备运行特性和风险等级设定。普通设备的数据采集周期可以为分钟级，高风险或重点设备宜采用秒级采集。对实时监测项目，应确保数据采集连续不中断。</w:t>
      </w:r>
    </w:p>
    <w:p w14:paraId="559581CD">
      <w:pPr>
        <w:pStyle w:val="105"/>
        <w:spacing w:before="120" w:after="120" w:line="360" w:lineRule="auto"/>
      </w:pPr>
      <w:r>
        <w:rPr>
          <w:rFonts w:hint="eastAsia"/>
        </w:rPr>
        <w:t>数据处理与存储</w:t>
      </w:r>
    </w:p>
    <w:p w14:paraId="37B847F7">
      <w:pPr>
        <w:pStyle w:val="56"/>
        <w:spacing w:line="360" w:lineRule="auto"/>
        <w:ind w:firstLine="420"/>
      </w:pPr>
      <w:r>
        <w:rPr>
          <w:rFonts w:hint="eastAsia"/>
        </w:rPr>
        <w:t>采集的数据应进行清洗、校验和标准化，剔除异常值和冗余数据，并统一编码格式。</w:t>
      </w:r>
    </w:p>
    <w:p w14:paraId="63A1802B">
      <w:pPr>
        <w:pStyle w:val="56"/>
        <w:spacing w:line="360" w:lineRule="auto"/>
        <w:ind w:firstLine="420"/>
      </w:pPr>
      <w:r>
        <w:rPr>
          <w:rFonts w:hint="eastAsia"/>
        </w:rPr>
        <w:t>处理后的数据应存储于数据库或云平台中，具备高并发处理和快速查询能力。</w:t>
      </w:r>
    </w:p>
    <w:p w14:paraId="47561416">
      <w:pPr>
        <w:pStyle w:val="105"/>
        <w:spacing w:before="120" w:after="120" w:line="360" w:lineRule="auto"/>
      </w:pPr>
      <w:r>
        <w:rPr>
          <w:rFonts w:hint="eastAsia"/>
        </w:rPr>
        <w:t>数据质量控制</w:t>
      </w:r>
    </w:p>
    <w:p w14:paraId="23C81F76">
      <w:pPr>
        <w:pStyle w:val="56"/>
        <w:spacing w:line="360" w:lineRule="auto"/>
        <w:ind w:firstLine="420"/>
      </w:pPr>
      <w:r>
        <w:rPr>
          <w:rFonts w:hint="eastAsia"/>
        </w:rPr>
        <w:t>系统应建立数据质量控制机制。采集过程应全程记录，保证可追溯。</w:t>
      </w:r>
    </w:p>
    <w:p w14:paraId="4C4D65C9">
      <w:pPr>
        <w:pStyle w:val="56"/>
        <w:spacing w:line="360" w:lineRule="auto"/>
        <w:ind w:firstLine="420"/>
      </w:pPr>
      <w:r>
        <w:rPr>
          <w:rFonts w:hint="eastAsia"/>
        </w:rPr>
        <w:t>采集设备应定期检定与维护，必要时进行比对和抽检，以确保数据的准确性与一致性。</w:t>
      </w:r>
    </w:p>
    <w:p w14:paraId="41CF9004">
      <w:pPr>
        <w:pStyle w:val="105"/>
        <w:spacing w:before="120" w:after="120" w:line="360" w:lineRule="auto"/>
      </w:pPr>
      <w:r>
        <w:rPr>
          <w:rFonts w:hint="eastAsia"/>
        </w:rPr>
        <w:t>数据备份与恢复</w:t>
      </w:r>
    </w:p>
    <w:p w14:paraId="52D4C9CF">
      <w:pPr>
        <w:pStyle w:val="56"/>
        <w:spacing w:line="360" w:lineRule="auto"/>
        <w:ind w:firstLine="420"/>
      </w:pPr>
      <w:r>
        <w:rPr>
          <w:rFonts w:hint="eastAsia"/>
        </w:rPr>
        <w:t>系统应建立多级数据备份机制，包括本地备份与异地灾备。数据备份周期不应超过24小时，重要数据应实现实时或准实时备份，并具备在突发情况下快速恢复的能力。</w:t>
      </w:r>
    </w:p>
    <w:p w14:paraId="18F33E40">
      <w:pPr>
        <w:pStyle w:val="105"/>
        <w:spacing w:before="120" w:after="120" w:line="360" w:lineRule="auto"/>
      </w:pPr>
      <w:r>
        <w:rPr>
          <w:rFonts w:hint="eastAsia"/>
        </w:rPr>
        <w:t>数据共享与接口</w:t>
      </w:r>
    </w:p>
    <w:p w14:paraId="7C559850">
      <w:pPr>
        <w:pStyle w:val="56"/>
        <w:spacing w:line="360" w:lineRule="auto"/>
        <w:ind w:firstLine="420"/>
      </w:pPr>
      <w:r>
        <w:rPr>
          <w:rFonts w:hint="eastAsia"/>
        </w:rPr>
        <w:t>处理后的数据应通过标准化接口实现共享，支持与检验机构、监管部门和设备制造商的数据互通。应建立分级权限管理机制，确保共享过程符合国家和行业的安全标准。</w:t>
      </w:r>
    </w:p>
    <w:p w14:paraId="554485A6">
      <w:pPr>
        <w:pStyle w:val="104"/>
        <w:spacing w:before="240" w:after="240" w:line="360" w:lineRule="auto"/>
      </w:pPr>
      <w:bookmarkStart w:id="62" w:name="_Toc209907125"/>
      <w:bookmarkStart w:id="63" w:name="_Toc209946144"/>
      <w:r>
        <w:rPr>
          <w:rFonts w:hint="eastAsia"/>
        </w:rPr>
        <w:t>智能分析</w:t>
      </w:r>
      <w:bookmarkEnd w:id="62"/>
      <w:bookmarkEnd w:id="63"/>
    </w:p>
    <w:p w14:paraId="0C8F1F19">
      <w:pPr>
        <w:pStyle w:val="105"/>
        <w:spacing w:before="120" w:after="120" w:line="360" w:lineRule="auto"/>
      </w:pPr>
      <w:r>
        <w:rPr>
          <w:rFonts w:hint="eastAsia"/>
        </w:rPr>
        <w:t>分析方法</w:t>
      </w:r>
    </w:p>
    <w:p w14:paraId="69A8AEBD">
      <w:pPr>
        <w:pStyle w:val="56"/>
        <w:spacing w:line="360" w:lineRule="auto"/>
        <w:ind w:firstLine="420"/>
      </w:pPr>
      <w:r>
        <w:rPr>
          <w:rFonts w:hint="eastAsia"/>
        </w:rPr>
        <w:t>系统应支持多种数据分析方法，包括统计分析、机器学习建模、模式识别与预测算法等。对结构复杂或运行环境特殊的设备，应结合专家知识库进行综合分析。</w:t>
      </w:r>
    </w:p>
    <w:p w14:paraId="68B84549">
      <w:pPr>
        <w:pStyle w:val="105"/>
        <w:spacing w:before="120" w:after="120" w:line="360" w:lineRule="auto"/>
      </w:pPr>
      <w:r>
        <w:rPr>
          <w:rFonts w:hint="eastAsia"/>
        </w:rPr>
        <w:t>故障诊断</w:t>
      </w:r>
    </w:p>
    <w:p w14:paraId="0046EB19">
      <w:pPr>
        <w:pStyle w:val="56"/>
        <w:spacing w:line="360" w:lineRule="auto"/>
        <w:ind w:firstLine="420"/>
      </w:pPr>
      <w:r>
        <w:rPr>
          <w:rFonts w:hint="eastAsia"/>
        </w:rPr>
        <w:t>系统应具备故障诊断能力。通过对设备运行数据的对比分析，识别异常特征，判断潜在故障类型与位置，并为检验人员提供诊断参考意见。</w:t>
      </w:r>
    </w:p>
    <w:p w14:paraId="48D09126">
      <w:pPr>
        <w:pStyle w:val="105"/>
        <w:spacing w:before="120" w:after="120" w:line="360" w:lineRule="auto"/>
      </w:pPr>
      <w:r>
        <w:rPr>
          <w:rFonts w:hint="eastAsia"/>
        </w:rPr>
        <w:t>风险预测与预警</w:t>
      </w:r>
    </w:p>
    <w:p w14:paraId="045D3D5E">
      <w:pPr>
        <w:pStyle w:val="56"/>
        <w:spacing w:line="360" w:lineRule="auto"/>
        <w:ind w:firstLine="420"/>
      </w:pPr>
      <w:r>
        <w:rPr>
          <w:rFonts w:hint="eastAsia"/>
        </w:rPr>
        <w:t>系统应建立风险预测模型，对关键参数进行趋势分析，预测设备可能发生的失效或安全风险。当监测数据接近或超过预设阈值时，应自动发出预警提示。</w:t>
      </w:r>
    </w:p>
    <w:p w14:paraId="3546E68A">
      <w:pPr>
        <w:pStyle w:val="105"/>
        <w:spacing w:before="120" w:after="120" w:line="360" w:lineRule="auto"/>
      </w:pPr>
      <w:r>
        <w:rPr>
          <w:rFonts w:hint="eastAsia"/>
        </w:rPr>
        <w:t>辅助决策支持</w:t>
      </w:r>
    </w:p>
    <w:p w14:paraId="7C06FB98">
      <w:pPr>
        <w:pStyle w:val="56"/>
        <w:spacing w:line="360" w:lineRule="auto"/>
        <w:ind w:firstLine="420"/>
      </w:pPr>
      <w:r>
        <w:rPr>
          <w:rFonts w:hint="eastAsia"/>
        </w:rPr>
        <w:t>系统应根据分析结果，向检验人员和管理人员提供辅助决策支持。例如提出维修建议、检验频次调整方案或更换部件的必要性，提升检验结论的科学性与可操作性。</w:t>
      </w:r>
    </w:p>
    <w:p w14:paraId="13930904">
      <w:pPr>
        <w:pStyle w:val="105"/>
        <w:spacing w:before="120" w:after="120" w:line="360" w:lineRule="auto"/>
      </w:pPr>
      <w:r>
        <w:rPr>
          <w:rFonts w:hint="eastAsia"/>
        </w:rPr>
        <w:t>可视化展示</w:t>
      </w:r>
    </w:p>
    <w:p w14:paraId="0ACDA9D6">
      <w:pPr>
        <w:pStyle w:val="56"/>
        <w:spacing w:line="360" w:lineRule="auto"/>
        <w:ind w:firstLine="420"/>
      </w:pPr>
      <w:r>
        <w:rPr>
          <w:rFonts w:hint="eastAsia"/>
        </w:rPr>
        <w:t>系统应具备数据可视化功能。分析结果应以图表、趋势曲线、仪表盘或热力图等形式直观呈现，便于检验人员快速理解与使用。</w:t>
      </w:r>
    </w:p>
    <w:p w14:paraId="0648C9DE">
      <w:pPr>
        <w:pStyle w:val="105"/>
        <w:spacing w:before="120" w:after="120" w:line="360" w:lineRule="auto"/>
      </w:pPr>
      <w:r>
        <w:rPr>
          <w:rFonts w:hint="eastAsia"/>
        </w:rPr>
        <w:t>知识库与经验积累</w:t>
      </w:r>
    </w:p>
    <w:p w14:paraId="7FA72A91">
      <w:pPr>
        <w:pStyle w:val="56"/>
        <w:spacing w:line="360" w:lineRule="auto"/>
        <w:ind w:firstLine="420"/>
      </w:pPr>
      <w:r>
        <w:rPr>
          <w:rFonts w:hint="eastAsia"/>
        </w:rPr>
        <w:t>系统应逐步建立和完善知识库，将历次检验数据、故障案例与处理经验纳入其中，形成可持续学习与改进的机制，为后续分析与决策提供支持。</w:t>
      </w:r>
    </w:p>
    <w:p w14:paraId="019E6414">
      <w:pPr>
        <w:pStyle w:val="104"/>
        <w:spacing w:before="240" w:after="240" w:line="360" w:lineRule="auto"/>
      </w:pPr>
      <w:bookmarkStart w:id="64" w:name="_Toc209946145"/>
      <w:bookmarkStart w:id="65" w:name="_Toc209907126"/>
      <w:r>
        <w:rPr>
          <w:rFonts w:hint="eastAsia"/>
        </w:rPr>
        <w:t>检验流程</w:t>
      </w:r>
      <w:bookmarkEnd w:id="64"/>
      <w:bookmarkEnd w:id="65"/>
    </w:p>
    <w:p w14:paraId="47C3779E">
      <w:pPr>
        <w:pStyle w:val="105"/>
        <w:spacing w:before="120" w:after="120" w:line="360" w:lineRule="auto"/>
      </w:pPr>
      <w:r>
        <w:rPr>
          <w:rFonts w:hint="eastAsia"/>
        </w:rPr>
        <w:t>通用流程</w:t>
      </w:r>
    </w:p>
    <w:p w14:paraId="30D0B790">
      <w:pPr>
        <w:pStyle w:val="56"/>
        <w:spacing w:line="360" w:lineRule="auto"/>
        <w:ind w:firstLine="420"/>
      </w:pPr>
      <w:r>
        <w:rPr>
          <w:rFonts w:hint="eastAsia"/>
        </w:rPr>
        <w:t>系统在通用应用中应覆盖检验全流程，包括任务下达、数据采集、分析诊断、结果生成与归档。所有流程应实现信息化管理，确保检验任务可追溯、可核查。</w:t>
      </w:r>
    </w:p>
    <w:p w14:paraId="0376964A">
      <w:pPr>
        <w:pStyle w:val="105"/>
        <w:spacing w:before="120" w:after="120" w:line="360" w:lineRule="auto"/>
      </w:pPr>
      <w:r>
        <w:rPr>
          <w:rFonts w:hint="eastAsia"/>
        </w:rPr>
        <w:t>电梯检验应用</w:t>
      </w:r>
    </w:p>
    <w:p w14:paraId="77703ED7">
      <w:pPr>
        <w:pStyle w:val="56"/>
        <w:spacing w:line="360" w:lineRule="auto"/>
        <w:ind w:firstLine="420"/>
      </w:pPr>
      <w:r>
        <w:rPr>
          <w:rFonts w:hint="eastAsia"/>
        </w:rPr>
        <w:t>电梯检验应重点监测制动系统、曳引系统、限速器、安全钳、门锁装置等关键部件。系统应支持实时运行参数监控与历史数据对比，辅助判断电梯运行安全性。</w:t>
      </w:r>
    </w:p>
    <w:p w14:paraId="161EC112">
      <w:pPr>
        <w:pStyle w:val="105"/>
        <w:spacing w:before="120" w:after="120" w:line="360" w:lineRule="auto"/>
      </w:pPr>
      <w:r>
        <w:rPr>
          <w:rFonts w:hint="eastAsia"/>
        </w:rPr>
        <w:t>起重机械检验应用</w:t>
      </w:r>
    </w:p>
    <w:p w14:paraId="34E19B84">
      <w:pPr>
        <w:pStyle w:val="56"/>
        <w:spacing w:line="360" w:lineRule="auto"/>
        <w:ind w:firstLine="420"/>
      </w:pPr>
      <w:r>
        <w:rPr>
          <w:rFonts w:hint="eastAsia"/>
        </w:rPr>
        <w:t>起重机械检验应关注钢丝绳、吊钩、制动器、限位器、超载保护装置等关键环节。系统应具备动态载荷检测和结构应力分析功能，以评估设备的运行安全风险。</w:t>
      </w:r>
    </w:p>
    <w:p w14:paraId="088BA144">
      <w:pPr>
        <w:pStyle w:val="105"/>
        <w:spacing w:before="120" w:after="120" w:line="360" w:lineRule="auto"/>
      </w:pPr>
      <w:r>
        <w:rPr>
          <w:rFonts w:hint="eastAsia"/>
        </w:rPr>
        <w:t>压力容器检验应用</w:t>
      </w:r>
    </w:p>
    <w:p w14:paraId="6FB65CFB">
      <w:pPr>
        <w:pStyle w:val="56"/>
        <w:spacing w:line="360" w:lineRule="auto"/>
        <w:ind w:firstLine="420"/>
      </w:pPr>
      <w:r>
        <w:rPr>
          <w:rFonts w:hint="eastAsia"/>
        </w:rPr>
        <w:t>压力容器检验应包括外观检查、厚度测量、耐压试验和焊缝检测。系统应支持超声波、射线和磁粉等多种检测技术的集成与数据管理，确保检测结果完整、准确。</w:t>
      </w:r>
    </w:p>
    <w:p w14:paraId="79B0A643">
      <w:pPr>
        <w:pStyle w:val="105"/>
        <w:spacing w:before="120" w:after="120" w:line="360" w:lineRule="auto"/>
      </w:pPr>
      <w:r>
        <w:rPr>
          <w:rFonts w:hint="eastAsia"/>
        </w:rPr>
        <w:t>锅炉检验应用</w:t>
      </w:r>
    </w:p>
    <w:p w14:paraId="08E745E4">
      <w:pPr>
        <w:pStyle w:val="56"/>
        <w:spacing w:line="360" w:lineRule="auto"/>
        <w:ind w:firstLine="420"/>
      </w:pPr>
      <w:r>
        <w:rPr>
          <w:rFonts w:hint="eastAsia"/>
        </w:rPr>
        <w:t>锅炉检验应侧重于燃烧系统、水冷壁、受热面、过热器和安全阀等部位。系统应支持温度、压力与燃烧效率的实时监测，并结合历史运行数据进行趋势预测。</w:t>
      </w:r>
    </w:p>
    <w:p w14:paraId="241571FB">
      <w:pPr>
        <w:pStyle w:val="105"/>
        <w:spacing w:before="120" w:after="120" w:line="360" w:lineRule="auto"/>
      </w:pPr>
      <w:r>
        <w:rPr>
          <w:rFonts w:hint="eastAsia"/>
        </w:rPr>
        <w:t>厂内机动车辆检验应用</w:t>
      </w:r>
    </w:p>
    <w:p w14:paraId="65C25F9B">
      <w:pPr>
        <w:pStyle w:val="56"/>
        <w:spacing w:line="360" w:lineRule="auto"/>
        <w:ind w:firstLine="420"/>
      </w:pPr>
      <w:r>
        <w:rPr>
          <w:rFonts w:hint="eastAsia"/>
        </w:rPr>
        <w:t>厂内机动车辆检验应重点关注制动系统、转向系统、动力装置与安全防护装置。系统应支持行驶工况模拟与性能测试，辅助判断其运行安全性与稳定性。</w:t>
      </w:r>
    </w:p>
    <w:p w14:paraId="1BD39CBA">
      <w:pPr>
        <w:pStyle w:val="105"/>
        <w:spacing w:before="120" w:after="120" w:line="360" w:lineRule="auto"/>
      </w:pPr>
      <w:r>
        <w:rPr>
          <w:rFonts w:hint="eastAsia"/>
        </w:rPr>
        <w:t>特殊场景应用</w:t>
      </w:r>
    </w:p>
    <w:p w14:paraId="7CE514B8">
      <w:pPr>
        <w:pStyle w:val="56"/>
        <w:spacing w:line="360" w:lineRule="auto"/>
        <w:ind w:firstLine="420"/>
      </w:pPr>
      <w:r>
        <w:rPr>
          <w:rFonts w:hint="eastAsia"/>
        </w:rPr>
        <w:t>对特殊场景如高温、高压、低温、腐蚀性环境下的设备，应结合传感器与专用检测工具，制定差异化的检验流程，并在系统中设定专门的应用模块。</w:t>
      </w:r>
    </w:p>
    <w:p w14:paraId="3A844AB0">
      <w:pPr>
        <w:pStyle w:val="104"/>
        <w:spacing w:before="240" w:after="240" w:line="360" w:lineRule="auto"/>
      </w:pPr>
      <w:bookmarkStart w:id="66" w:name="_Toc209907127"/>
      <w:bookmarkStart w:id="67" w:name="_Toc209946146"/>
      <w:r>
        <w:rPr>
          <w:rFonts w:hint="eastAsia"/>
        </w:rPr>
        <w:t>信息安全</w:t>
      </w:r>
      <w:bookmarkEnd w:id="66"/>
      <w:bookmarkEnd w:id="67"/>
    </w:p>
    <w:p w14:paraId="1B49CB06">
      <w:pPr>
        <w:pStyle w:val="105"/>
        <w:spacing w:before="120" w:after="120" w:line="360" w:lineRule="auto"/>
      </w:pPr>
      <w:r>
        <w:rPr>
          <w:rFonts w:hint="eastAsia"/>
        </w:rPr>
        <w:t>数据加密</w:t>
      </w:r>
    </w:p>
    <w:p w14:paraId="78FE5774">
      <w:pPr>
        <w:pStyle w:val="56"/>
        <w:spacing w:line="360" w:lineRule="auto"/>
        <w:ind w:firstLine="420"/>
      </w:pPr>
      <w:r>
        <w:rPr>
          <w:rFonts w:hint="eastAsia"/>
        </w:rPr>
        <w:t>系统运行过程中涉及的数据应在传输和存储环节采用加密措施。传输过程应使用 SSL/TLS、VPN 等安全协议，存储过程应采用符合国家标准的加密算法，以确保数据的机密性和完整性。</w:t>
      </w:r>
    </w:p>
    <w:p w14:paraId="281579DA">
      <w:pPr>
        <w:pStyle w:val="105"/>
        <w:spacing w:before="120" w:after="120" w:line="360" w:lineRule="auto"/>
      </w:pPr>
      <w:r>
        <w:rPr>
          <w:rFonts w:hint="eastAsia"/>
        </w:rPr>
        <w:t>身份认证与权限管理</w:t>
      </w:r>
    </w:p>
    <w:p w14:paraId="5AF05E62">
      <w:pPr>
        <w:pStyle w:val="56"/>
        <w:spacing w:line="360" w:lineRule="auto"/>
        <w:ind w:firstLine="420"/>
      </w:pPr>
      <w:r>
        <w:rPr>
          <w:rFonts w:hint="eastAsia"/>
        </w:rPr>
        <w:t>系统应建立严格的身份认证机制，推荐采用多因素认证。用户权限应依据岗位职责实行分级管理，执行最小权限原则，防止超范围访问和未授权操作。</w:t>
      </w:r>
    </w:p>
    <w:p w14:paraId="0CF5614A">
      <w:pPr>
        <w:pStyle w:val="105"/>
        <w:spacing w:before="120" w:after="120" w:line="360" w:lineRule="auto"/>
      </w:pPr>
      <w:r>
        <w:rPr>
          <w:rFonts w:hint="eastAsia"/>
        </w:rPr>
        <w:t>日志记录与审计</w:t>
      </w:r>
    </w:p>
    <w:p w14:paraId="3CA20AF5">
      <w:pPr>
        <w:pStyle w:val="56"/>
        <w:spacing w:line="360" w:lineRule="auto"/>
        <w:ind w:firstLine="420"/>
      </w:pPr>
      <w:r>
        <w:rPr>
          <w:rFonts w:hint="eastAsia"/>
        </w:rPr>
        <w:t>系统应具备完整的日志功能，涵盖数据采集、访问、修改、传输等操作。日志文件应具备防篡改措施，并进行定期审计，以实现安全事件的追溯与责任划分。</w:t>
      </w:r>
    </w:p>
    <w:p w14:paraId="07531ADD">
      <w:pPr>
        <w:pStyle w:val="105"/>
        <w:spacing w:before="120" w:after="120" w:line="360" w:lineRule="auto"/>
      </w:pPr>
      <w:r>
        <w:rPr>
          <w:rFonts w:hint="eastAsia"/>
        </w:rPr>
        <w:t>隐私保护</w:t>
      </w:r>
    </w:p>
    <w:p w14:paraId="1A3A4A22">
      <w:pPr>
        <w:pStyle w:val="56"/>
        <w:spacing w:line="360" w:lineRule="auto"/>
        <w:ind w:firstLine="420"/>
      </w:pPr>
      <w:r>
        <w:rPr>
          <w:rFonts w:hint="eastAsia"/>
        </w:rPr>
        <w:t>涉及设备使用方、检验人员及其他相关主体的个人或敏感信息，应采取脱敏或匿名化处理。系统在对外提供或共享信息时，应遵循相关法律法规，避免隐私信息泄露与滥用。</w:t>
      </w:r>
    </w:p>
    <w:p w14:paraId="6C78E0AF">
      <w:pPr>
        <w:pStyle w:val="105"/>
        <w:spacing w:before="120" w:after="120" w:line="360" w:lineRule="auto"/>
      </w:pPr>
      <w:r>
        <w:rPr>
          <w:rFonts w:hint="eastAsia"/>
        </w:rPr>
        <w:t>安全防护措施</w:t>
      </w:r>
    </w:p>
    <w:p w14:paraId="745087A4">
      <w:pPr>
        <w:pStyle w:val="56"/>
        <w:spacing w:line="360" w:lineRule="auto"/>
        <w:ind w:firstLine="420"/>
      </w:pPr>
      <w:r>
        <w:rPr>
          <w:rFonts w:hint="eastAsia"/>
        </w:rPr>
        <w:t>系统应部署入侵检测、防病毒、防篡改及抗拒绝服务攻击机制，建立安全漏洞扫描和补丁更新机制，确保系统在运行全过程中的安全性与稳定性。</w:t>
      </w:r>
    </w:p>
    <w:p w14:paraId="0A90FB87">
      <w:pPr>
        <w:pStyle w:val="105"/>
        <w:spacing w:before="120" w:after="120" w:line="360" w:lineRule="auto"/>
      </w:pPr>
      <w:r>
        <w:rPr>
          <w:rFonts w:hint="eastAsia"/>
        </w:rPr>
        <w:t>应急响应</w:t>
      </w:r>
    </w:p>
    <w:p w14:paraId="76281D3D">
      <w:pPr>
        <w:pStyle w:val="56"/>
        <w:spacing w:line="360" w:lineRule="auto"/>
        <w:ind w:firstLine="420"/>
      </w:pPr>
      <w:r>
        <w:rPr>
          <w:rFonts w:hint="eastAsia"/>
        </w:rPr>
        <w:t>系统应建立完善的信息安全应急响应机制。在发生安全事件时，应立即启动应急预案，采取隔离、修复和恢复措施，并在事件结束后进行复盘和整改，防止同类问题再次发生。</w:t>
      </w:r>
    </w:p>
    <w:p w14:paraId="556F23E0">
      <w:pPr>
        <w:pStyle w:val="104"/>
        <w:spacing w:before="240" w:after="240" w:line="360" w:lineRule="auto"/>
      </w:pPr>
      <w:bookmarkStart w:id="68" w:name="_Toc209946147"/>
      <w:bookmarkStart w:id="69" w:name="_Toc209907128"/>
      <w:r>
        <w:rPr>
          <w:rFonts w:hint="eastAsia"/>
        </w:rPr>
        <w:t>系统运行维护</w:t>
      </w:r>
      <w:bookmarkEnd w:id="68"/>
      <w:bookmarkEnd w:id="69"/>
    </w:p>
    <w:p w14:paraId="1EC7B451">
      <w:pPr>
        <w:pStyle w:val="105"/>
        <w:spacing w:before="120" w:after="120" w:line="360" w:lineRule="auto"/>
      </w:pPr>
      <w:r>
        <w:rPr>
          <w:rFonts w:hint="eastAsia"/>
        </w:rPr>
        <w:t>运行管理</w:t>
      </w:r>
    </w:p>
    <w:p w14:paraId="6E5D4504">
      <w:pPr>
        <w:pStyle w:val="56"/>
        <w:spacing w:line="360" w:lineRule="auto"/>
        <w:ind w:firstLine="420"/>
      </w:pPr>
      <w:r>
        <w:rPr>
          <w:rFonts w:hint="eastAsia"/>
        </w:rPr>
        <w:t>系统运行应由专门的管理部门或人员负责，建立统一的运行管理制度。运行管理应包括系统监控、任务调度、性能优化和资源分配等，确保系统长期稳定运行。</w:t>
      </w:r>
    </w:p>
    <w:p w14:paraId="6DFF2E8F">
      <w:pPr>
        <w:pStyle w:val="105"/>
        <w:spacing w:before="120" w:after="120" w:line="360" w:lineRule="auto"/>
      </w:pPr>
      <w:r>
        <w:rPr>
          <w:rFonts w:hint="eastAsia"/>
        </w:rPr>
        <w:t>日常维护</w:t>
      </w:r>
    </w:p>
    <w:p w14:paraId="71AA055A">
      <w:pPr>
        <w:pStyle w:val="56"/>
        <w:spacing w:line="360" w:lineRule="auto"/>
        <w:ind w:firstLine="420"/>
      </w:pPr>
      <w:r>
        <w:rPr>
          <w:rFonts w:hint="eastAsia"/>
        </w:rPr>
        <w:t>系统应建立定期维护制度，包括硬件检测、软件更新、数据库优化和日志清理。维护工作应形成记录并归档，便于后续追溯与检查。</w:t>
      </w:r>
    </w:p>
    <w:p w14:paraId="6228B981">
      <w:pPr>
        <w:pStyle w:val="105"/>
        <w:spacing w:before="120" w:after="120" w:line="360" w:lineRule="auto"/>
      </w:pPr>
      <w:r>
        <w:rPr>
          <w:rFonts w:hint="eastAsia"/>
        </w:rPr>
        <w:t>故障处理</w:t>
      </w:r>
    </w:p>
    <w:p w14:paraId="4F6184E5">
      <w:pPr>
        <w:pStyle w:val="56"/>
        <w:spacing w:line="360" w:lineRule="auto"/>
        <w:ind w:firstLine="420"/>
      </w:pPr>
      <w:r>
        <w:rPr>
          <w:rFonts w:hint="eastAsia"/>
        </w:rPr>
        <w:t>在系统出现故障或异常时，应及时进行定位和修复。故障处理应遵循标准化流程，重大故障应及时上报并形成事故报告。系统应具备冗余和容错设计，以降低故障影响。</w:t>
      </w:r>
    </w:p>
    <w:p w14:paraId="4B0CF6C4">
      <w:pPr>
        <w:pStyle w:val="105"/>
        <w:spacing w:before="120" w:after="120" w:line="360" w:lineRule="auto"/>
      </w:pPr>
      <w:r>
        <w:rPr>
          <w:rFonts w:hint="eastAsia"/>
        </w:rPr>
        <w:t>升级与优化</w:t>
      </w:r>
    </w:p>
    <w:p w14:paraId="4B6397F1">
      <w:pPr>
        <w:pStyle w:val="56"/>
        <w:spacing w:line="360" w:lineRule="auto"/>
        <w:ind w:firstLine="420"/>
      </w:pPr>
      <w:r>
        <w:rPr>
          <w:rFonts w:hint="eastAsia"/>
        </w:rPr>
        <w:t>系统应根据技术发展和实际需求，定期进行升级与优化。升级内容包括硬件设备更新、算法优化、功能扩展及界面改进。升级过程应避免影响系统正常运行，并做好版本管理与回退措施。</w:t>
      </w:r>
    </w:p>
    <w:p w14:paraId="210B3A33">
      <w:pPr>
        <w:pStyle w:val="105"/>
        <w:spacing w:before="120" w:after="120" w:line="360" w:lineRule="auto"/>
      </w:pPr>
      <w:r>
        <w:rPr>
          <w:rFonts w:hint="eastAsia"/>
        </w:rPr>
        <w:t>人员培训</w:t>
      </w:r>
    </w:p>
    <w:p w14:paraId="46C48940">
      <w:pPr>
        <w:pStyle w:val="56"/>
        <w:spacing w:line="360" w:lineRule="auto"/>
        <w:ind w:firstLine="420"/>
      </w:pPr>
      <w:r>
        <w:rPr>
          <w:rFonts w:hint="eastAsia"/>
        </w:rPr>
        <w:t>运行与维护人员应接受定期培训，掌握系统操作流程、维护方法和应急处置技能。培训应覆盖新功能应用、安全管理和数据保护等方面，确保运维人员具备合格的技术水平。</w:t>
      </w:r>
    </w:p>
    <w:p w14:paraId="24C00111">
      <w:pPr>
        <w:pStyle w:val="105"/>
        <w:spacing w:before="120" w:after="120" w:line="360" w:lineRule="auto"/>
      </w:pPr>
      <w:r>
        <w:rPr>
          <w:rFonts w:hint="eastAsia"/>
        </w:rPr>
        <w:t>应急保障</w:t>
      </w:r>
    </w:p>
    <w:p w14:paraId="4B37AC12">
      <w:pPr>
        <w:pStyle w:val="56"/>
        <w:spacing w:line="360" w:lineRule="auto"/>
        <w:ind w:firstLine="420"/>
      </w:pPr>
      <w:r>
        <w:rPr>
          <w:rFonts w:hint="eastAsia"/>
        </w:rPr>
        <w:t>系统应建立应急保障机制，包括备用服务器、数据恢复方案和应急通讯手段。在突发事件发生时，应能迅速切换至备用系统，保证检验工作连续性。</w:t>
      </w:r>
    </w:p>
    <w:bookmarkEnd w:id="28"/>
    <w:p w14:paraId="40C08E57">
      <w:pPr>
        <w:pStyle w:val="56"/>
        <w:spacing w:line="360" w:lineRule="auto"/>
        <w:ind w:firstLine="420"/>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pPr>
      <w:bookmarkStart w:id="70" w:name="BookMark6"/>
    </w:p>
    <w:p w14:paraId="16B640B3">
      <w:pPr>
        <w:pStyle w:val="63"/>
        <w:spacing w:after="120" w:line="360" w:lineRule="auto"/>
      </w:pPr>
      <w:bookmarkStart w:id="71" w:name="_Toc209946148"/>
      <w:r>
        <w:rPr>
          <w:rFonts w:hint="eastAsia"/>
          <w:spacing w:val="105"/>
        </w:rPr>
        <w:t>参考文</w:t>
      </w:r>
      <w:r>
        <w:rPr>
          <w:rFonts w:hint="eastAsia"/>
        </w:rPr>
        <w:t>献</w:t>
      </w:r>
      <w:bookmarkEnd w:id="71"/>
    </w:p>
    <w:p w14:paraId="5FC2729B">
      <w:pPr>
        <w:pStyle w:val="56"/>
        <w:spacing w:line="360" w:lineRule="auto"/>
        <w:ind w:firstLine="420"/>
      </w:pPr>
      <w:r>
        <w:t xml:space="preserve">[1] </w:t>
      </w:r>
      <w:r>
        <w:rPr>
          <w:rFonts w:hint="eastAsia"/>
        </w:rPr>
        <w:t>GB/T 15706—2012 机械安全  设计通则  风险评估与风险减小</w:t>
      </w:r>
    </w:p>
    <w:p w14:paraId="41B39467">
      <w:pPr>
        <w:pStyle w:val="56"/>
        <w:spacing w:line="360" w:lineRule="auto"/>
        <w:ind w:firstLine="420"/>
      </w:pPr>
      <w:r>
        <w:t xml:space="preserve">[2] </w:t>
      </w:r>
      <w:r>
        <w:rPr>
          <w:rFonts w:hint="eastAsia"/>
        </w:rPr>
        <w:t>GB/T 19001—2016 质量管理体系 要求</w:t>
      </w:r>
    </w:p>
    <w:p w14:paraId="21510312">
      <w:pPr>
        <w:pStyle w:val="56"/>
        <w:spacing w:line="360" w:lineRule="auto"/>
        <w:ind w:firstLine="420"/>
      </w:pPr>
      <w:r>
        <w:t xml:space="preserve">[3] </w:t>
      </w:r>
      <w:r>
        <w:rPr>
          <w:rFonts w:hint="eastAsia"/>
        </w:rPr>
        <w:t>GB/T 22080—2016 信息技术  安全技术  信息安全管理体系 要求</w:t>
      </w:r>
    </w:p>
    <w:p w14:paraId="3BEF803D">
      <w:pPr>
        <w:pStyle w:val="56"/>
        <w:spacing w:line="360" w:lineRule="auto"/>
        <w:ind w:firstLine="420"/>
      </w:pPr>
      <w:r>
        <w:t xml:space="preserve">[4] </w:t>
      </w:r>
      <w:r>
        <w:rPr>
          <w:rFonts w:hint="eastAsia"/>
        </w:rPr>
        <w:t>GB/T 23000—2017 信息化和工业化融合管理体系  基础和术语</w:t>
      </w:r>
    </w:p>
    <w:p w14:paraId="55456C0E">
      <w:pPr>
        <w:pStyle w:val="56"/>
        <w:spacing w:line="360" w:lineRule="auto"/>
        <w:ind w:firstLine="420"/>
      </w:pPr>
      <w:r>
        <w:t xml:space="preserve">[5] </w:t>
      </w:r>
      <w:r>
        <w:rPr>
          <w:rFonts w:hint="eastAsia"/>
        </w:rPr>
        <w:t xml:space="preserve">GB/T 42134—2022 智能制造 </w:t>
      </w:r>
      <w:r>
        <w:t xml:space="preserve"> </w:t>
      </w:r>
      <w:r>
        <w:rPr>
          <w:rFonts w:hint="eastAsia"/>
        </w:rPr>
        <w:t>大规模个性化定制  术语</w:t>
      </w:r>
    </w:p>
    <w:bookmarkEnd w:id="70"/>
    <w:p w14:paraId="28AEC200">
      <w:pPr>
        <w:pStyle w:val="56"/>
        <w:spacing w:line="360" w:lineRule="auto"/>
        <w:ind w:firstLine="0" w:firstLineChars="0"/>
        <w:jc w:val="center"/>
      </w:pPr>
      <w:bookmarkStart w:id="72" w:name="BookMark8"/>
      <w:r>
        <w:rPr>
          <w:rFonts w:hint="eastAsia"/>
        </w:rPr>
        <w:drawing>
          <wp:inline distT="0" distB="0" distL="0" distR="0">
            <wp:extent cx="1485900" cy="317500"/>
            <wp:effectExtent l="0" t="0" r="0" b="6350"/>
            <wp:docPr id="1528938123" name="图片 3"/>
            <wp:cNvGraphicFramePr/>
            <a:graphic xmlns:a="http://schemas.openxmlformats.org/drawingml/2006/main">
              <a:graphicData uri="http://schemas.openxmlformats.org/drawingml/2006/picture">
                <pic:pic xmlns:pic="http://schemas.openxmlformats.org/drawingml/2006/picture">
                  <pic:nvPicPr>
                    <pic:cNvPr id="1528938123" name="图片 3"/>
                    <pic:cNvPicPr/>
                  </pic:nvPicPr>
                  <pic:blipFill>
                    <a:blip r:embed="rId3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2"/>
    </w:p>
    <w:sectPr>
      <w:headerReference r:id="rId26" w:type="default"/>
      <w:footerReference r:id="rId28" w:type="default"/>
      <w:headerReference r:id="rId27" w:type="even"/>
      <w:footerReference r:id="rId29"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0FDAA">
    <w:pPr>
      <w:pStyle w:val="51"/>
    </w:pPr>
    <w:r>
      <w:fldChar w:fldCharType="begin"/>
    </w:r>
    <w:r>
      <w:instrText xml:space="preserve"> PAGE   \* MERGEFORMAT \* MERGEFORMAT </w:instrText>
    </w:r>
    <w:r>
      <w:fldChar w:fldCharType="separate"/>
    </w:r>
    <w:r>
      <w:t>8</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B98F7">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28E08">
    <w:pPr>
      <w:pStyle w:val="51"/>
    </w:pPr>
    <w:r>
      <w:fldChar w:fldCharType="begin"/>
    </w:r>
    <w:r>
      <w:instrText xml:space="preserve"> PAGE   \* MERGEFORMAT \* MERGEFORMAT </w:instrText>
    </w:r>
    <w:r>
      <w:fldChar w:fldCharType="separate"/>
    </w:r>
    <w: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E3C9B">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F13C8">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A506C">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4753F">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24D32">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319D6">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B53AD">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A14CE">
    <w:pPr>
      <w:pStyle w:val="61"/>
    </w:pPr>
    <w:r>
      <w:fldChar w:fldCharType="begin"/>
    </w:r>
    <w:r>
      <w:instrText xml:space="preserve"> STYLEREF  标准文件_文件编号  \* MERGEFORMAT </w:instrText>
    </w:r>
    <w:r>
      <w:fldChar w:fldCharType="separate"/>
    </w:r>
    <w:r>
      <w:t>T/XJBX 0111—2025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19178">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0111—2025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ED8A0">
    <w:pPr>
      <w:pStyle w:val="61"/>
    </w:pPr>
    <w:r>
      <w:fldChar w:fldCharType="begin"/>
    </w:r>
    <w:r>
      <w:instrText xml:space="preserve"> STYLEREF  标准文件_文件编号  \* MERGEFORMAT </w:instrText>
    </w:r>
    <w:r>
      <w:fldChar w:fldCharType="separate"/>
    </w:r>
    <w:r>
      <w:t>T/XJBX 0111—2025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29371">
    <w:pPr>
      <w:pStyle w:val="62"/>
    </w:pPr>
    <w:r>
      <w:fldChar w:fldCharType="begin"/>
    </w:r>
    <w:r>
      <w:instrText xml:space="preserve"> STYLEREF  标准文件_文件编号 \* MERGEFORMAT </w:instrText>
    </w:r>
    <w:r>
      <w:fldChar w:fldCharType="separate"/>
    </w:r>
    <w:r>
      <w:t>T/XJBX 0111—2025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D07D9">
    <w:pPr>
      <w:pStyle w:val="61"/>
    </w:pPr>
    <w:r>
      <w:fldChar w:fldCharType="begin"/>
    </w:r>
    <w:r>
      <w:instrText xml:space="preserve"> STYLEREF  标准文件_文件编号  \* MERGEFORMAT </w:instrText>
    </w:r>
    <w:r>
      <w:fldChar w:fldCharType="separate"/>
    </w:r>
    <w:r>
      <w:t>T/XJBX 0111—2025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0DA2">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0111—2025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9F86C">
    <w:pPr>
      <w:pStyle w:val="61"/>
    </w:pPr>
    <w:r>
      <w:fldChar w:fldCharType="begin"/>
    </w:r>
    <w:r>
      <w:instrText xml:space="preserve"> STYLEREF  标准文件_文件编号  \* MERGEFORMAT </w:instrText>
    </w:r>
    <w:r>
      <w:fldChar w:fldCharType="separate"/>
    </w:r>
    <w:r>
      <w:t>T/XJBX 0111—2025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16CB0">
    <w:pPr>
      <w:pStyle w:val="62"/>
    </w:pPr>
    <w:r>
      <w:fldChar w:fldCharType="begin"/>
    </w:r>
    <w:r>
      <w:instrText xml:space="preserve"> STYLEREF  标准文件_文件编号 \* MERGEFORMAT </w:instrText>
    </w:r>
    <w:r>
      <w:fldChar w:fldCharType="separate"/>
    </w:r>
    <w:r>
      <w:t>T/XJBX 0111—2025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E2827">
    <w:pPr>
      <w:pStyle w:val="61"/>
    </w:pPr>
    <w:r>
      <w:fldChar w:fldCharType="begin"/>
    </w:r>
    <w:r>
      <w:instrText xml:space="preserve"> STYLEREF  标准文件_文件编号  \* MERGEFORMAT </w:instrText>
    </w:r>
    <w:r>
      <w:fldChar w:fldCharType="separate"/>
    </w:r>
    <w:r>
      <w:t>T/XJBX 0111—2025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E351A">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0111—2025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71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qQUAkGwkBiwAAAA="/>
  </w:docVars>
  <w:rsids>
    <w:rsidRoot w:val="00110741"/>
    <w:rsid w:val="0000040A"/>
    <w:rsid w:val="00000A94"/>
    <w:rsid w:val="00001972"/>
    <w:rsid w:val="00001D9A"/>
    <w:rsid w:val="000069B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895"/>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4D98"/>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177"/>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15C7"/>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5321"/>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6AD"/>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BE1"/>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2E8F"/>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3AC"/>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5DBF"/>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22"/>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CA7"/>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372"/>
    <w:rsid w:val="00D1067E"/>
    <w:rsid w:val="00D10F50"/>
    <w:rsid w:val="00D11272"/>
    <w:rsid w:val="00D11660"/>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AE4"/>
    <w:rsid w:val="00D71F25"/>
    <w:rsid w:val="00D72A9C"/>
    <w:rsid w:val="00D77031"/>
    <w:rsid w:val="00D84941"/>
    <w:rsid w:val="00D84B2F"/>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0696D"/>
    <w:rsid w:val="00E11A85"/>
    <w:rsid w:val="00E12495"/>
    <w:rsid w:val="00E15CCD"/>
    <w:rsid w:val="00E202EF"/>
    <w:rsid w:val="00E210B5"/>
    <w:rsid w:val="00E2552F"/>
    <w:rsid w:val="00E3137A"/>
    <w:rsid w:val="00E32CCF"/>
    <w:rsid w:val="00E34A98"/>
    <w:rsid w:val="00E35D1E"/>
    <w:rsid w:val="00E364F9"/>
    <w:rsid w:val="00E365FA"/>
    <w:rsid w:val="00E36789"/>
    <w:rsid w:val="00E44466"/>
    <w:rsid w:val="00E44A83"/>
    <w:rsid w:val="00E502C1"/>
    <w:rsid w:val="00E502DD"/>
    <w:rsid w:val="00E50D3A"/>
    <w:rsid w:val="00E51387"/>
    <w:rsid w:val="00E51E68"/>
    <w:rsid w:val="00E52EFD"/>
    <w:rsid w:val="00E5408A"/>
    <w:rsid w:val="00E56800"/>
    <w:rsid w:val="00E60C63"/>
    <w:rsid w:val="00E62FF9"/>
    <w:rsid w:val="00E635D6"/>
    <w:rsid w:val="00E639BC"/>
    <w:rsid w:val="00E65141"/>
    <w:rsid w:val="00E664CC"/>
    <w:rsid w:val="00E70388"/>
    <w:rsid w:val="00E70F92"/>
    <w:rsid w:val="00E74313"/>
    <w:rsid w:val="00E74C54"/>
    <w:rsid w:val="00E77A03"/>
    <w:rsid w:val="00E77D0D"/>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7AAD"/>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97D1B"/>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9A86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glossaryDocument" Target="glossary/document.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3.jpeg"/><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32E4E4F7">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3811F776">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7BB2B77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1C7568"/>
    <w:rsid w:val="003C7F1A"/>
    <w:rsid w:val="005715F4"/>
    <w:rsid w:val="007C2BE1"/>
    <w:rsid w:val="007E46DD"/>
    <w:rsid w:val="008A4D07"/>
    <w:rsid w:val="009B6447"/>
    <w:rsid w:val="00B63E55"/>
    <w:rsid w:val="00B6674A"/>
    <w:rsid w:val="00CD3CA7"/>
    <w:rsid w:val="00E0696D"/>
    <w:rsid w:val="00E66D2E"/>
    <w:rsid w:val="00F97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5273</Words>
  <Characters>5656</Characters>
  <Lines>50</Lines>
  <Paragraphs>14</Paragraphs>
  <TotalTime>39</TotalTime>
  <ScaleCrop>false</ScaleCrop>
  <LinksUpToDate>false</LinksUpToDate>
  <CharactersWithSpaces>5790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2025-09-27T11:29:00Z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2025-09-28T07:41:23Z</dcterms:modified>
  <dc:title>团体标准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730374064A2148BB9906E870038A45BF_12</vt:lpwstr>
  </property>
</Properties>
</file>