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44D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B1A6CB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FC99B0B">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91.010.2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91.010.20</w:t>
            </w:r>
            <w:r>
              <w:rPr>
                <w:rFonts w:ascii="黑体" w:hAnsi="黑体" w:eastAsia="黑体"/>
                <w:sz w:val="21"/>
                <w:szCs w:val="21"/>
              </w:rPr>
              <w:fldChar w:fldCharType="end"/>
            </w:r>
            <w:bookmarkEnd w:id="0"/>
          </w:p>
        </w:tc>
      </w:tr>
      <w:tr w14:paraId="54C42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C37C91F">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76F0B8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32B83E0">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1A19399E">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A 10"/>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A 10</w:t>
            </w:r>
            <w:r>
              <w:rPr>
                <w:rFonts w:ascii="黑体" w:hAnsi="黑体" w:eastAsia="黑体"/>
                <w:sz w:val="21"/>
                <w:szCs w:val="21"/>
              </w:rPr>
              <w:fldChar w:fldCharType="end"/>
            </w:r>
            <w:bookmarkEnd w:id="2"/>
          </w:p>
        </w:tc>
      </w:tr>
    </w:tbl>
    <w:p w14:paraId="055F17D2">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C21905B">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106"/>
            </w:textInput>
          </w:ffData>
        </w:fldChar>
      </w:r>
      <w:bookmarkStart w:id="6" w:name="NSTD_CODE_F"/>
      <w:r>
        <w:instrText xml:space="preserve"> FORMTEXT </w:instrText>
      </w:r>
      <w:r>
        <w:fldChar w:fldCharType="separate"/>
      </w:r>
      <w:r>
        <w:t>0106</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1EABCE5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01702C5">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4DD21762">
      <w:pPr>
        <w:pStyle w:val="50"/>
        <w:framePr w:w="9639" w:h="6976" w:hRule="exact" w:hSpace="0" w:vSpace="0" w:wrap="around" w:hAnchor="page" w:y="6408"/>
        <w:jc w:val="center"/>
        <w:rPr>
          <w:rFonts w:ascii="黑体" w:hAnsi="黑体" w:eastAsia="黑体"/>
          <w:b w:val="0"/>
          <w:bCs w:val="0"/>
          <w:w w:val="100"/>
        </w:rPr>
      </w:pPr>
    </w:p>
    <w:p w14:paraId="0FD7DFF3">
      <w:pPr>
        <w:pStyle w:val="197"/>
        <w:framePr w:h="6974" w:hRule="exact" w:wrap="around" w:x="1419" w:anchorLock="1"/>
      </w:pPr>
      <w:r>
        <w:rPr>
          <w:rFonts w:hint="eastAsia"/>
        </w:rPr>
        <w:fldChar w:fldCharType="begin">
          <w:ffData>
            <w:name w:val="CSTD_NAME"/>
            <w:enabled/>
            <w:calcOnExit w:val="0"/>
            <w:textInput>
              <w:default w:val="工程项目招标与合同风险防控指南"/>
            </w:textInput>
          </w:ffData>
        </w:fldChar>
      </w:r>
      <w:bookmarkStart w:id="9" w:name="CSTD_NAME"/>
      <w:r>
        <w:rPr>
          <w:rFonts w:hint="eastAsia"/>
        </w:rPr>
        <w:instrText xml:space="preserve"> </w:instrText>
      </w:r>
      <w:r>
        <w:instrText xml:space="preserve">FORMTEXT</w:instrText>
      </w:r>
      <w:r>
        <w:rPr>
          <w:rFonts w:hint="eastAsia"/>
        </w:rPr>
        <w:instrText xml:space="preserve"> </w:instrText>
      </w:r>
      <w:r>
        <w:rPr>
          <w:rFonts w:hint="eastAsia"/>
        </w:rPr>
        <w:fldChar w:fldCharType="separate"/>
      </w:r>
      <w:r>
        <w:rPr>
          <w:rFonts w:hint="eastAsia"/>
        </w:rPr>
        <w:t>工程项目招标与合同风险防控指南</w:t>
      </w:r>
      <w:r>
        <w:rPr>
          <w:rFonts w:hint="eastAsia"/>
        </w:rPr>
        <w:fldChar w:fldCharType="end"/>
      </w:r>
      <w:bookmarkEnd w:id="9"/>
    </w:p>
    <w:p w14:paraId="67B71C7B">
      <w:pPr>
        <w:framePr w:w="9639" w:h="6974" w:hRule="exact" w:wrap="around" w:vAnchor="page" w:hAnchor="page" w:x="1419" w:y="6408" w:anchorLock="1"/>
        <w:ind w:left="-1418"/>
      </w:pPr>
    </w:p>
    <w:p w14:paraId="76CC8527">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Guideline for risk prevention and control of bidding and contracts in engineering projects"/>
            </w:textInput>
          </w:ffData>
        </w:fldChar>
      </w:r>
      <w:bookmarkStart w:id="10" w:name="ESTD_NAME"/>
      <w:r>
        <w:rPr>
          <w:rFonts w:hint="eastAsia" w:ascii="黑体" w:hAnsi="黑体" w:eastAsia="黑体"/>
          <w:szCs w:val="28"/>
        </w:rPr>
        <w:instrText xml:space="preserve"> </w:instrText>
      </w:r>
      <w:r>
        <w:rPr>
          <w:rFonts w:ascii="黑体" w:hAnsi="黑体" w:eastAsia="黑体"/>
          <w:szCs w:val="28"/>
        </w:rPr>
        <w:instrText xml:space="preserve">FORMTEXT</w:instrText>
      </w:r>
      <w:r>
        <w:rPr>
          <w:rFonts w:hint="eastAsia" w:ascii="黑体" w:hAnsi="黑体" w:eastAsia="黑体"/>
          <w:szCs w:val="28"/>
        </w:rPr>
        <w:instrText xml:space="preserve"> </w:instrText>
      </w:r>
      <w:r>
        <w:rPr>
          <w:rFonts w:hint="eastAsia" w:ascii="黑体" w:hAnsi="黑体" w:eastAsia="黑体"/>
          <w:szCs w:val="28"/>
        </w:rPr>
        <w:fldChar w:fldCharType="separate"/>
      </w:r>
      <w:r>
        <w:rPr>
          <w:rFonts w:hint="eastAsia" w:ascii="黑体" w:hAnsi="黑体" w:eastAsia="黑体"/>
          <w:szCs w:val="28"/>
        </w:rPr>
        <w:t>Guideline for risk prevention and control of bidding and contracts in engineering projects</w:t>
      </w:r>
      <w:r>
        <w:rPr>
          <w:rFonts w:hint="eastAsia" w:ascii="黑体" w:hAnsi="黑体" w:eastAsia="黑体"/>
          <w:szCs w:val="28"/>
        </w:rPr>
        <w:fldChar w:fldCharType="end"/>
      </w:r>
      <w:bookmarkEnd w:id="10"/>
    </w:p>
    <w:p w14:paraId="1F1D2DA5">
      <w:pPr>
        <w:framePr w:w="9639" w:h="6974" w:hRule="exact" w:wrap="around" w:vAnchor="page" w:hAnchor="page" w:x="1419" w:y="6408" w:anchorLock="1"/>
        <w:spacing w:line="760" w:lineRule="exact"/>
        <w:ind w:left="-1418"/>
      </w:pPr>
    </w:p>
    <w:p w14:paraId="3D6CCBD0">
      <w:pPr>
        <w:pStyle w:val="125"/>
        <w:framePr w:w="9639" w:h="6974" w:hRule="exact" w:wrap="around" w:vAnchor="page" w:hAnchor="page" w:x="1419" w:y="6408" w:anchorLock="1"/>
        <w:textAlignment w:val="bottom"/>
        <w:rPr>
          <w:rFonts w:eastAsia="黑体"/>
          <w:szCs w:val="28"/>
        </w:rPr>
      </w:pPr>
    </w:p>
    <w:p w14:paraId="11D3BF3C">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5C1E0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7FF84249">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213EB9E">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1430B68">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041943C4">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8496568">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7397B3AC">
      <w:pPr>
        <w:pStyle w:val="91"/>
        <w:spacing w:after="360"/>
      </w:pPr>
      <w:bookmarkStart w:id="21" w:name="BookMark1"/>
      <w:r>
        <w:rPr>
          <w:rFonts w:hint="eastAsia"/>
          <w:spacing w:val="320"/>
        </w:rPr>
        <w:t>目</w:t>
      </w:r>
      <w:r>
        <w:rPr>
          <w:rFonts w:hint="eastAsia"/>
        </w:rPr>
        <w:t>次</w:t>
      </w:r>
    </w:p>
    <w:p w14:paraId="2A7B849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"_Toc209941985"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_Toc209941985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5F99B67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"_Toc209941986"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_Toc209941986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26F9125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"_Toc209941987"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_Toc209941987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C41BF7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"_Toc209941988"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_Toc209941988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15C127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"_Toc209941989"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_Toc209941989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43D93A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"_Toc209941990" </w:instrText>
      </w:r>
      <w:r>
        <w:fldChar w:fldCharType="separate"/>
      </w:r>
      <w:r>
        <w:rPr>
          <w:rStyle w:val="32"/>
          <w:rFonts w:hint="eastAsia"/>
        </w:rPr>
        <w:t>4</w:t>
      </w:r>
      <w:r>
        <w:rPr>
          <w:rStyle w:val="32"/>
        </w:rPr>
        <w:t xml:space="preserve"> </w:t>
      </w:r>
      <w:r>
        <w:rPr>
          <w:rStyle w:val="32"/>
          <w:rFonts w:hint="eastAsia"/>
        </w:rPr>
        <w:t xml:space="preserve"> 总体原则</w:t>
      </w:r>
      <w:r>
        <w:rPr>
          <w:rFonts w:hint="eastAsia"/>
        </w:rPr>
        <w:tab/>
      </w:r>
      <w:r>
        <w:rPr>
          <w:rFonts w:hint="eastAsia"/>
        </w:rPr>
        <w:fldChar w:fldCharType="begin"/>
      </w:r>
      <w:r>
        <w:rPr>
          <w:rFonts w:hint="eastAsia"/>
        </w:rPr>
        <w:instrText xml:space="preserve"> </w:instrText>
      </w:r>
      <w:r>
        <w:instrText xml:space="preserve">PAGEREF _Toc209941990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49567CD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"_Toc209941991" </w:instrText>
      </w:r>
      <w:r>
        <w:fldChar w:fldCharType="separate"/>
      </w:r>
      <w:r>
        <w:rPr>
          <w:rStyle w:val="32"/>
          <w:rFonts w:hint="eastAsia"/>
        </w:rPr>
        <w:t>5</w:t>
      </w:r>
      <w:r>
        <w:rPr>
          <w:rStyle w:val="32"/>
        </w:rPr>
        <w:t xml:space="preserve"> </w:t>
      </w:r>
      <w:r>
        <w:rPr>
          <w:rStyle w:val="32"/>
          <w:rFonts w:hint="eastAsia"/>
        </w:rPr>
        <w:t xml:space="preserve"> 招标阶段风险防控</w:t>
      </w:r>
      <w:r>
        <w:rPr>
          <w:rFonts w:hint="eastAsia"/>
        </w:rPr>
        <w:tab/>
      </w:r>
      <w:r>
        <w:rPr>
          <w:rFonts w:hint="eastAsia"/>
        </w:rPr>
        <w:fldChar w:fldCharType="begin"/>
      </w:r>
      <w:r>
        <w:rPr>
          <w:rFonts w:hint="eastAsia"/>
        </w:rPr>
        <w:instrText xml:space="preserve"> </w:instrText>
      </w:r>
      <w:r>
        <w:instrText xml:space="preserve">PAGEREF _Toc209941991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600BBD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"_Toc209941992" </w:instrText>
      </w:r>
      <w:r>
        <w:fldChar w:fldCharType="separate"/>
      </w:r>
      <w:r>
        <w:rPr>
          <w:rStyle w:val="32"/>
          <w:rFonts w:hint="eastAsia"/>
        </w:rPr>
        <w:t>6</w:t>
      </w:r>
      <w:r>
        <w:rPr>
          <w:rStyle w:val="32"/>
        </w:rPr>
        <w:t xml:space="preserve"> </w:t>
      </w:r>
      <w:r>
        <w:rPr>
          <w:rStyle w:val="32"/>
          <w:rFonts w:hint="eastAsia"/>
        </w:rPr>
        <w:t xml:space="preserve"> 合同阶段风险防控</w:t>
      </w:r>
      <w:r>
        <w:rPr>
          <w:rFonts w:hint="eastAsia"/>
        </w:rPr>
        <w:tab/>
      </w:r>
      <w:r>
        <w:rPr>
          <w:rFonts w:hint="eastAsia"/>
        </w:rPr>
        <w:fldChar w:fldCharType="begin"/>
      </w:r>
      <w:r>
        <w:rPr>
          <w:rFonts w:hint="eastAsia"/>
        </w:rPr>
        <w:instrText xml:space="preserve"> </w:instrText>
      </w:r>
      <w:r>
        <w:instrText xml:space="preserve">PAGEREF _Toc209941992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35322E1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"_Toc209941993" </w:instrText>
      </w:r>
      <w:r>
        <w:fldChar w:fldCharType="separate"/>
      </w:r>
      <w:r>
        <w:rPr>
          <w:rStyle w:val="32"/>
          <w:rFonts w:hint="eastAsia"/>
        </w:rPr>
        <w:t>7</w:t>
      </w:r>
      <w:r>
        <w:rPr>
          <w:rStyle w:val="32"/>
        </w:rPr>
        <w:t xml:space="preserve"> </w:t>
      </w:r>
      <w:r>
        <w:rPr>
          <w:rStyle w:val="32"/>
          <w:rFonts w:hint="eastAsia"/>
        </w:rPr>
        <w:t xml:space="preserve"> 合同履约监控与动态风险管理</w:t>
      </w:r>
      <w:r>
        <w:rPr>
          <w:rFonts w:hint="eastAsia"/>
        </w:rPr>
        <w:tab/>
      </w:r>
      <w:r>
        <w:rPr>
          <w:rFonts w:hint="eastAsia"/>
        </w:rPr>
        <w:fldChar w:fldCharType="begin"/>
      </w:r>
      <w:r>
        <w:rPr>
          <w:rFonts w:hint="eastAsia"/>
        </w:rPr>
        <w:instrText xml:space="preserve"> </w:instrText>
      </w:r>
      <w:r>
        <w:instrText xml:space="preserve">PAGEREF _Toc209941993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611F418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"_Toc209941994" </w:instrText>
      </w:r>
      <w:r>
        <w:fldChar w:fldCharType="separate"/>
      </w:r>
      <w:r>
        <w:rPr>
          <w:rStyle w:val="32"/>
          <w:rFonts w:hint="eastAsia"/>
        </w:rPr>
        <w:t>参考文献</w:t>
      </w:r>
      <w:r>
        <w:rPr>
          <w:rFonts w:hint="eastAsia"/>
        </w:rPr>
        <w:tab/>
      </w:r>
      <w:r>
        <w:rPr>
          <w:rFonts w:hint="eastAsia"/>
        </w:rPr>
        <w:fldChar w:fldCharType="begin"/>
      </w:r>
      <w:r>
        <w:rPr>
          <w:rFonts w:hint="eastAsia"/>
        </w:rPr>
        <w:instrText xml:space="preserve"> </w:instrText>
      </w:r>
      <w:r>
        <w:instrText xml:space="preserve">PAGEREF _Toc209941994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636D8CB5">
      <w:pPr>
        <w:pStyle w:val="91"/>
        <w:spacing w:after="360"/>
        <w:sectPr>
          <w:headerReference r:id="rId12" w:type="first"/>
          <w:headerReference r:id="rId10" w:type="default"/>
          <w:footerReference r:id="rId13" w:type="default"/>
          <w:headerReference r:id="rId11"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bookmarkStart w:id="58" w:name="_GoBack"/>
      <w:bookmarkEnd w:id="58"/>
    </w:p>
    <w:bookmarkEnd w:id="21"/>
    <w:p w14:paraId="355CEC1D">
      <w:pPr>
        <w:pStyle w:val="89"/>
        <w:spacing w:before="900" w:after="360"/>
      </w:pPr>
      <w:bookmarkStart w:id="22" w:name="_Toc209941985"/>
      <w:bookmarkStart w:id="23" w:name="BookMark2"/>
      <w:r>
        <w:rPr>
          <w:spacing w:val="320"/>
        </w:rPr>
        <w:t>前</w:t>
      </w:r>
      <w:r>
        <w:t>言</w:t>
      </w:r>
      <w:bookmarkEnd w:id="22"/>
    </w:p>
    <w:p w14:paraId="35AC2FAA">
      <w:pPr>
        <w:pStyle w:val="56"/>
        <w:spacing w:line="360" w:lineRule="auto"/>
        <w:ind w:firstLine="420"/>
      </w:pPr>
      <w:r>
        <w:rPr>
          <w:rFonts w:hint="eastAsia"/>
        </w:rPr>
        <w:t>本文件按照GB/T 1.1—2020《标准化工作导则  第1部分：标准化文件的结构和起草规则》的规定起草。</w:t>
      </w:r>
    </w:p>
    <w:p w14:paraId="6BB17D8D">
      <w:pPr>
        <w:pStyle w:val="56"/>
        <w:spacing w:line="360" w:lineRule="auto"/>
        <w:ind w:firstLine="420"/>
      </w:pPr>
      <w:r>
        <w:rPr>
          <w:rFonts w:hint="eastAsia"/>
        </w:rPr>
        <w:t>请注意本文件的某些内容可能涉及专利。本文件的发布机构不承担识别专利的责任。</w:t>
      </w:r>
    </w:p>
    <w:p w14:paraId="79EFE827">
      <w:pPr>
        <w:pStyle w:val="56"/>
        <w:spacing w:line="360" w:lineRule="auto"/>
        <w:ind w:firstLine="420"/>
      </w:pPr>
      <w:r>
        <w:rPr>
          <w:rFonts w:hint="eastAsia"/>
        </w:rPr>
        <w:t>本文件由西安市计量标准检测认证协会提出并归口。</w:t>
      </w:r>
    </w:p>
    <w:p w14:paraId="7718CD44">
      <w:pPr>
        <w:pStyle w:val="56"/>
        <w:spacing w:line="360" w:lineRule="auto"/>
        <w:ind w:firstLine="420"/>
      </w:pPr>
      <w:r>
        <w:rPr>
          <w:rFonts w:hint="eastAsia"/>
        </w:rPr>
        <w:t>本文件起草单位：温州市排水有限公司。</w:t>
      </w:r>
    </w:p>
    <w:p w14:paraId="4F59AFA1">
      <w:pPr>
        <w:pStyle w:val="56"/>
        <w:spacing w:line="360" w:lineRule="auto"/>
        <w:ind w:firstLine="420"/>
      </w:pPr>
      <w:r>
        <w:rPr>
          <w:rFonts w:hint="eastAsia"/>
        </w:rPr>
        <w:t>本文件主要起草人：华佳佳。</w:t>
      </w:r>
    </w:p>
    <w:p w14:paraId="43B1A6EE">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p>
    <w:bookmarkEnd w:id="23"/>
    <w:p w14:paraId="4104DD8B">
      <w:pPr>
        <w:pStyle w:val="89"/>
        <w:spacing w:after="360"/>
      </w:pPr>
      <w:bookmarkStart w:id="24" w:name="_Toc209941986"/>
      <w:bookmarkStart w:id="25" w:name="BookMark3"/>
      <w:r>
        <w:rPr>
          <w:spacing w:val="320"/>
        </w:rPr>
        <w:t>引</w:t>
      </w:r>
      <w:r>
        <w:t>言</w:t>
      </w:r>
      <w:bookmarkEnd w:id="24"/>
    </w:p>
    <w:p w14:paraId="21F37BBA">
      <w:pPr>
        <w:pStyle w:val="56"/>
        <w:spacing w:line="360" w:lineRule="auto"/>
        <w:ind w:firstLine="420"/>
      </w:pPr>
      <w:r>
        <w:rPr>
          <w:rFonts w:hint="eastAsia"/>
        </w:rPr>
        <w:t>随着工程建设行业的快速发展，工程项目招标与合同管理的规范性和风险防控水平直接关系到项目的投资效益、施工质量、进度控制及法律合规性。招标和合同管理不仅涉及工程经济、法律法规、技术标准，还包括项目管理、风险评估及利益协调等多方面因素。工程项目在招标、合同签订及履行过程中，若风险控制不当，可能导致经济损失、合同纠纷、工程延误甚至安全事故。</w:t>
      </w:r>
    </w:p>
    <w:p w14:paraId="32D6FBA3">
      <w:pPr>
        <w:pStyle w:val="56"/>
        <w:spacing w:line="360" w:lineRule="auto"/>
        <w:ind w:firstLine="420"/>
      </w:pPr>
      <w:r>
        <w:rPr>
          <w:rFonts w:hint="eastAsia"/>
        </w:rPr>
        <w:t>在实际工程实践中，项目招标环节存在技术文件不完善、招标文件模糊、评标过程不规范等问题；合同管理环节可能出现合同条款不清、权责不明确、履约监督不到位等现象。这些问题容易引发项目争议，增加管理成本和法律风险，影响工程顺利实施。因此，建立系统化、标准化的招标与合同风险防控指南，对于提升工程项目管理水平、保障投资安全和工程顺利实施具有重要意义。</w:t>
      </w:r>
    </w:p>
    <w:p w14:paraId="66383486">
      <w:pPr>
        <w:pStyle w:val="56"/>
        <w:spacing w:line="360" w:lineRule="auto"/>
        <w:ind w:firstLine="420"/>
      </w:pPr>
      <w:r>
        <w:rPr>
          <w:rFonts w:hint="eastAsia"/>
        </w:rPr>
        <w:t>本文件结合国内外工程项目管理经验、法律法规要求及实践案例，系统提出工程项目招标与合同风险防控的流程、方法、技术要点及管理措施。内容涵盖招标策划、招标文件编制、投标管理、评标与定标、合同签订、履约管理及纠纷预防等环节，强调风险识别、风险评估和风险控制。通过文件的实施，能够帮助建设单位、施工单位、监理单位及相关管理部门有效防控项目招标与合同风险，实现项目管理规范化、风险可控化和决策科学化。</w:t>
      </w:r>
    </w:p>
    <w:p w14:paraId="42EAE8EF">
      <w:pPr>
        <w:pStyle w:val="56"/>
        <w:spacing w:line="360" w:lineRule="auto"/>
        <w:ind w:firstLine="420"/>
      </w:pPr>
      <w:r>
        <w:rPr>
          <w:rFonts w:hint="eastAsia"/>
        </w:rPr>
        <w:t>本文件适用于各类工程项目，包括房建、市政、交通、水利及能源工程的招标和合同管理过程，既适用于新建项目，也适用于扩建、改建及维修项目。实施本文件有助于提升工程项目管理水平，优化招标和合同流程，降低法律及经济风险，保障工程顺利推进和投资效益最大化。</w:t>
      </w:r>
    </w:p>
    <w:p w14:paraId="50D9A392">
      <w:pPr>
        <w:pStyle w:val="56"/>
        <w:ind w:firstLine="420"/>
      </w:pPr>
    </w:p>
    <w:p w14:paraId="1F60BA12">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12C43CC1">
      <w:pPr>
        <w:spacing w:line="20" w:lineRule="exact"/>
        <w:jc w:val="center"/>
        <w:rPr>
          <w:rFonts w:ascii="黑体" w:hAnsi="黑体" w:eastAsia="黑体"/>
          <w:sz w:val="32"/>
          <w:szCs w:val="32"/>
        </w:rPr>
      </w:pPr>
      <w:bookmarkStart w:id="26" w:name="BookMark4"/>
    </w:p>
    <w:p w14:paraId="0D5B76E8">
      <w:pPr>
        <w:spacing w:line="20" w:lineRule="exact"/>
        <w:jc w:val="center"/>
        <w:rPr>
          <w:rFonts w:ascii="黑体" w:hAnsi="黑体" w:eastAsia="黑体"/>
          <w:sz w:val="32"/>
          <w:szCs w:val="32"/>
        </w:rPr>
      </w:pPr>
    </w:p>
    <w:sdt>
      <w:sdtPr>
        <w:tag w:val="NEW_STAND_NAME"/>
        <w:id w:val="595910757"/>
        <w:lock w:val="sdtLocked"/>
        <w:placeholder>
          <w:docPart w:val="428A614B804142AE8BDBB50A8A79792D"/>
        </w:placeholder>
      </w:sdtPr>
      <w:sdtContent>
        <w:p w14:paraId="08ED5E01">
          <w:pPr>
            <w:pStyle w:val="177"/>
          </w:pPr>
          <w:bookmarkStart w:id="27" w:name="NEW_STAND_NAME"/>
          <w:r>
            <w:rPr>
              <w:rFonts w:hint="eastAsia"/>
            </w:rPr>
            <w:t>工程项目招标与合同风险防控指南</w:t>
          </w:r>
        </w:p>
      </w:sdtContent>
    </w:sdt>
    <w:bookmarkEnd w:id="27"/>
    <w:p w14:paraId="153BF6ED">
      <w:pPr>
        <w:pStyle w:val="104"/>
        <w:spacing w:before="240" w:after="240" w:line="360" w:lineRule="auto"/>
      </w:pPr>
      <w:bookmarkStart w:id="28" w:name="_Toc17233333"/>
      <w:bookmarkStart w:id="29" w:name="_Toc24884211"/>
      <w:bookmarkStart w:id="30" w:name="_Toc97192964"/>
      <w:bookmarkStart w:id="31" w:name="_Toc26648465"/>
      <w:bookmarkStart w:id="32" w:name="_Toc209941987"/>
      <w:bookmarkStart w:id="33" w:name="_Toc26986771"/>
      <w:bookmarkStart w:id="34" w:name="_Toc26718930"/>
      <w:bookmarkStart w:id="35" w:name="_Toc24884218"/>
      <w:bookmarkStart w:id="36" w:name="_Toc26986530"/>
      <w:bookmarkStart w:id="37" w:name="_Toc17233325"/>
      <w:r>
        <w:rPr>
          <w:rFonts w:hint="eastAsia"/>
        </w:rPr>
        <w:t>范围</w:t>
      </w:r>
      <w:bookmarkEnd w:id="28"/>
      <w:bookmarkEnd w:id="29"/>
      <w:bookmarkEnd w:id="30"/>
      <w:bookmarkEnd w:id="31"/>
      <w:bookmarkEnd w:id="32"/>
      <w:bookmarkEnd w:id="33"/>
      <w:bookmarkEnd w:id="34"/>
      <w:bookmarkEnd w:id="35"/>
      <w:bookmarkEnd w:id="36"/>
      <w:bookmarkEnd w:id="37"/>
    </w:p>
    <w:p w14:paraId="6562664E">
      <w:pPr>
        <w:pStyle w:val="56"/>
        <w:spacing w:line="360" w:lineRule="auto"/>
        <w:ind w:firstLine="420"/>
      </w:pPr>
      <w:bookmarkStart w:id="38" w:name="_Toc24884219"/>
      <w:bookmarkStart w:id="39" w:name="_Toc17233326"/>
      <w:bookmarkStart w:id="40" w:name="_Toc26648466"/>
      <w:bookmarkStart w:id="41" w:name="_Toc24884212"/>
      <w:bookmarkStart w:id="42" w:name="_Toc17233334"/>
      <w:r>
        <w:rPr>
          <w:rFonts w:hint="eastAsia"/>
        </w:rPr>
        <w:t>本文件规定了工程项目招标过程中的总体原则、招标阶段风险防控、合同阶段风险防控及合同履约监控与动态风险管理等内容。</w:t>
      </w:r>
    </w:p>
    <w:p w14:paraId="0AFB9D33">
      <w:pPr>
        <w:pStyle w:val="56"/>
        <w:spacing w:line="360" w:lineRule="auto"/>
        <w:ind w:firstLine="420"/>
      </w:pPr>
      <w:r>
        <w:rPr>
          <w:rFonts w:hint="eastAsia"/>
        </w:rPr>
        <w:t>本文件适用于各类工程项目的招标与合同管理全过程，涵盖招标策划、招标文件编制、投标管理、评标与定标、合同签订、履约监督及风险防控措施。</w:t>
      </w:r>
    </w:p>
    <w:p w14:paraId="1F7FEEB2">
      <w:pPr>
        <w:pStyle w:val="104"/>
        <w:spacing w:before="240" w:after="240" w:line="360" w:lineRule="auto"/>
      </w:pPr>
      <w:bookmarkStart w:id="43" w:name="_Toc209941988"/>
      <w:bookmarkStart w:id="44" w:name="_Toc97192965"/>
      <w:bookmarkStart w:id="45" w:name="_Toc26986531"/>
      <w:bookmarkStart w:id="46" w:name="_Toc26986772"/>
      <w:bookmarkStart w:id="47" w:name="_Toc26718931"/>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E937BECAD2B34860A158A768CA921C5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9F4EAAC">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78AEC67">
      <w:pPr>
        <w:pStyle w:val="56"/>
        <w:spacing w:line="360" w:lineRule="auto"/>
        <w:ind w:firstLine="420"/>
      </w:pPr>
      <w:r>
        <w:rPr>
          <w:rFonts w:hint="eastAsia"/>
        </w:rPr>
        <w:t>GB/T 1.1—2020 标准化工作导则  第1部分:标准化文件的结构和起草规则</w:t>
      </w:r>
    </w:p>
    <w:p w14:paraId="13DB9151">
      <w:pPr>
        <w:pStyle w:val="56"/>
        <w:spacing w:line="360" w:lineRule="auto"/>
        <w:ind w:firstLine="420"/>
      </w:pPr>
      <w:r>
        <w:t>GB/T 50326</w:t>
      </w:r>
      <w:r>
        <w:rPr>
          <w:rFonts w:hint="eastAsia"/>
        </w:rPr>
        <w:t>—</w:t>
      </w:r>
      <w:r>
        <w:t xml:space="preserve">2017 </w:t>
      </w:r>
      <w:r>
        <w:rPr>
          <w:rFonts w:hint="eastAsia"/>
        </w:rPr>
        <w:t>建设工程项目管理规范</w:t>
      </w:r>
    </w:p>
    <w:p w14:paraId="6962992E">
      <w:pPr>
        <w:pStyle w:val="104"/>
        <w:spacing w:before="240" w:after="240" w:line="360" w:lineRule="auto"/>
      </w:pPr>
      <w:bookmarkStart w:id="48" w:name="_Toc209941989"/>
      <w:bookmarkStart w:id="49" w:name="_Toc97192966"/>
      <w:r>
        <w:rPr>
          <w:rFonts w:hint="eastAsia"/>
          <w:szCs w:val="21"/>
        </w:rPr>
        <w:t>术语和定义</w:t>
      </w:r>
      <w:bookmarkEnd w:id="48"/>
      <w:bookmarkEnd w:id="49"/>
    </w:p>
    <w:sdt>
      <w:sdtPr>
        <w:id w:val="-1909835108"/>
        <w:placeholder>
          <w:docPart w:val="7D0407537AFA4EBFB7447D8BB1E4BCD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69B61DD">
          <w:pPr>
            <w:pStyle w:val="56"/>
            <w:spacing w:line="360" w:lineRule="auto"/>
            <w:ind w:firstLine="420"/>
          </w:pPr>
          <w:bookmarkStart w:id="50" w:name="_Toc26986532"/>
          <w:bookmarkEnd w:id="50"/>
          <w:r>
            <w:t>下列术语和定义适用于本文件。</w:t>
          </w:r>
        </w:p>
      </w:sdtContent>
    </w:sdt>
    <w:p w14:paraId="7A8245B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招标 bidding</w:t>
      </w:r>
    </w:p>
    <w:p w14:paraId="72BA14E3">
      <w:pPr>
        <w:pStyle w:val="56"/>
        <w:spacing w:line="360" w:lineRule="auto"/>
        <w:ind w:firstLine="420"/>
      </w:pPr>
      <w:r>
        <w:rPr>
          <w:rFonts w:hint="eastAsia"/>
        </w:rPr>
        <w:t>指建设单位按照法律法规和标准规范，通过公开、邀请或其他方式选择合格施工单位或供应商参与项目的活动，包括招标策划、文件编制、发布公告和组织投标等环节。</w:t>
      </w:r>
    </w:p>
    <w:p w14:paraId="52E5059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投标 tendering</w:t>
      </w:r>
    </w:p>
    <w:p w14:paraId="3713EAF7">
      <w:pPr>
        <w:pStyle w:val="56"/>
        <w:spacing w:line="360" w:lineRule="auto"/>
        <w:ind w:firstLine="420"/>
      </w:pPr>
      <w:r>
        <w:rPr>
          <w:rFonts w:hint="eastAsia"/>
        </w:rPr>
        <w:t>指施工单位或供应商按照招标文件要求提交方案、报价及相关资料，以参与工程项目竞标的行为。</w:t>
      </w:r>
    </w:p>
    <w:p w14:paraId="675C64C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评标 bid evaluation</w:t>
      </w:r>
    </w:p>
    <w:p w14:paraId="5E93504E">
      <w:pPr>
        <w:pStyle w:val="56"/>
        <w:spacing w:line="360" w:lineRule="auto"/>
        <w:ind w:firstLine="420"/>
      </w:pPr>
      <w:r>
        <w:rPr>
          <w:rFonts w:hint="eastAsia"/>
        </w:rPr>
        <w:t>指在投标过程中，依据招标文件和相关标准对投标方案、价格、技术能力、履约能力及其他条件进行综合评价和排序的工作。</w:t>
      </w:r>
    </w:p>
    <w:p w14:paraId="4C05589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定标 bid award</w:t>
      </w:r>
    </w:p>
    <w:p w14:paraId="0424053A">
      <w:pPr>
        <w:pStyle w:val="56"/>
        <w:spacing w:line="360" w:lineRule="auto"/>
        <w:ind w:firstLine="420"/>
      </w:pPr>
      <w:r>
        <w:rPr>
          <w:rFonts w:hint="eastAsia"/>
        </w:rPr>
        <w:t>指根据评标结果，建设单位确定中标单位并签署合同的决策过程。</w:t>
      </w:r>
    </w:p>
    <w:p w14:paraId="3413B26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合同 contract</w:t>
      </w:r>
    </w:p>
    <w:p w14:paraId="72AED0D5">
      <w:pPr>
        <w:pStyle w:val="56"/>
        <w:spacing w:line="360" w:lineRule="auto"/>
        <w:ind w:firstLine="420"/>
      </w:pPr>
      <w:r>
        <w:rPr>
          <w:rFonts w:hint="eastAsia"/>
        </w:rPr>
        <w:t>指建设单位与中标单位或供应商之间就工程项目的施工、采购、服务等权利义务形成的法律约束性文件。</w:t>
      </w:r>
    </w:p>
    <w:p w14:paraId="6EB505A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履约管理 contract performance management</w:t>
      </w:r>
    </w:p>
    <w:p w14:paraId="31A5F9B6">
      <w:pPr>
        <w:pStyle w:val="56"/>
        <w:spacing w:line="360" w:lineRule="auto"/>
        <w:ind w:firstLine="420"/>
      </w:pPr>
      <w:r>
        <w:rPr>
          <w:rFonts w:hint="eastAsia"/>
        </w:rPr>
        <w:t>指在合同执行过程中，对合同条款落实情况进行监督、检查和管理，确保各方按照约定履行责任和义务。</w:t>
      </w:r>
    </w:p>
    <w:p w14:paraId="3411FFE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风险识别 risk identification</w:t>
      </w:r>
    </w:p>
    <w:p w14:paraId="31929589">
      <w:pPr>
        <w:pStyle w:val="56"/>
        <w:spacing w:line="360" w:lineRule="auto"/>
        <w:ind w:firstLine="420"/>
      </w:pPr>
      <w:r>
        <w:rPr>
          <w:rFonts w:hint="eastAsia"/>
        </w:rPr>
        <w:t>指在项目招标和合同管理过程中，系统分析潜在法律、经济、技术、管理及环境风险，并予以记录和归类的过程。</w:t>
      </w:r>
    </w:p>
    <w:p w14:paraId="38C8579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风险评估 risk assessment</w:t>
      </w:r>
    </w:p>
    <w:p w14:paraId="78D548DE">
      <w:pPr>
        <w:pStyle w:val="56"/>
        <w:spacing w:line="360" w:lineRule="auto"/>
        <w:ind w:firstLine="420"/>
      </w:pPr>
      <w:r>
        <w:rPr>
          <w:rFonts w:hint="eastAsia"/>
        </w:rPr>
        <w:t>指对已识别的风险进行概率、影响程度及严重性分析，判断风险等级，为风险控制提供依据的工作。</w:t>
      </w:r>
    </w:p>
    <w:p w14:paraId="65D1830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风险控制 risk control</w:t>
      </w:r>
    </w:p>
    <w:p w14:paraId="319C9270">
      <w:pPr>
        <w:pStyle w:val="56"/>
        <w:spacing w:line="360" w:lineRule="auto"/>
        <w:ind w:firstLine="420"/>
      </w:pPr>
      <w:r>
        <w:rPr>
          <w:rFonts w:hint="eastAsia"/>
        </w:rPr>
        <w:t>指在招标和合同管理中，通过制定预防措施、监督机制及应急预案，降低或消除风险对项目实施影响的管理活动。</w:t>
      </w:r>
    </w:p>
    <w:p w14:paraId="53AC941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合同条款审查 contract clause review</w:t>
      </w:r>
    </w:p>
    <w:p w14:paraId="1EBA477E">
      <w:pPr>
        <w:pStyle w:val="56"/>
        <w:spacing w:line="360" w:lineRule="auto"/>
        <w:ind w:firstLine="420"/>
      </w:pPr>
      <w:r>
        <w:rPr>
          <w:rFonts w:hint="eastAsia"/>
        </w:rPr>
        <w:t>指在合同签订前，对合同条款的合法性、合理性、风险分配和可操作性进行审核，确保合同文本符合相关法律法规和项目管理要求。</w:t>
      </w:r>
    </w:p>
    <w:p w14:paraId="76C04D34">
      <w:pPr>
        <w:pStyle w:val="104"/>
        <w:spacing w:before="240" w:after="240" w:line="360" w:lineRule="auto"/>
      </w:pPr>
      <w:bookmarkStart w:id="51" w:name="_Toc209941990"/>
      <w:r>
        <w:rPr>
          <w:rFonts w:hint="eastAsia"/>
        </w:rPr>
        <w:t>总体原则</w:t>
      </w:r>
      <w:bookmarkEnd w:id="51"/>
    </w:p>
    <w:p w14:paraId="2E177B2D">
      <w:pPr>
        <w:pStyle w:val="105"/>
        <w:spacing w:before="120" w:after="120" w:line="360" w:lineRule="auto"/>
      </w:pPr>
      <w:r>
        <w:rPr>
          <w:rFonts w:hint="eastAsia"/>
        </w:rPr>
        <w:t>合法合规</w:t>
      </w:r>
    </w:p>
    <w:p w14:paraId="55DD47DC">
      <w:pPr>
        <w:pStyle w:val="56"/>
        <w:spacing w:line="360" w:lineRule="auto"/>
        <w:ind w:firstLine="420"/>
      </w:pPr>
      <w:r>
        <w:rPr>
          <w:rFonts w:hint="eastAsia"/>
        </w:rPr>
        <w:t>项目招标与合同管理应严格遵守国家法律法规、行业标准和地方管理规定。招标、投标、评标、定标及合同签订全过程必须依法合规，确保程序合法、文件规范、操作透明，防止法律风险和合规性问题。</w:t>
      </w:r>
    </w:p>
    <w:p w14:paraId="0B699A95">
      <w:pPr>
        <w:pStyle w:val="105"/>
        <w:spacing w:before="120" w:after="120" w:line="360" w:lineRule="auto"/>
      </w:pPr>
      <w:r>
        <w:rPr>
          <w:rFonts w:hint="eastAsia"/>
        </w:rPr>
        <w:t>科学性与规范性</w:t>
      </w:r>
    </w:p>
    <w:p w14:paraId="6D5BF15C">
      <w:pPr>
        <w:pStyle w:val="56"/>
        <w:spacing w:line="360" w:lineRule="auto"/>
        <w:ind w:firstLine="420"/>
      </w:pPr>
      <w:r>
        <w:rPr>
          <w:rFonts w:hint="eastAsia"/>
        </w:rPr>
        <w:t>招标和合同管理应遵循科学合理、流程规范的原则。招标文件、合同文本及管理制度应明确标准、操作方法和责任分工，确保项目各环节有序开展，并具备可追溯性和操作可行性。</w:t>
      </w:r>
    </w:p>
    <w:p w14:paraId="79B67699">
      <w:pPr>
        <w:pStyle w:val="105"/>
        <w:spacing w:before="120" w:after="120" w:line="360" w:lineRule="auto"/>
      </w:pPr>
      <w:r>
        <w:rPr>
          <w:rFonts w:hint="eastAsia"/>
        </w:rPr>
        <w:t>风险防控优先</w:t>
      </w:r>
    </w:p>
    <w:p w14:paraId="67F0BD65">
      <w:pPr>
        <w:pStyle w:val="56"/>
        <w:spacing w:line="360" w:lineRule="auto"/>
        <w:ind w:firstLine="420"/>
      </w:pPr>
      <w:r>
        <w:rPr>
          <w:rFonts w:hint="eastAsia"/>
        </w:rPr>
        <w:t>在项目招标和合同管理中，应将风险识别、风险评估和风险控制贯穿全过程。重点关注法律风险、合同条款风险、履约风险、价格风险及技术风险，采取预防措施和应急预案，降低潜在不利影响。</w:t>
      </w:r>
    </w:p>
    <w:p w14:paraId="7B82678D">
      <w:pPr>
        <w:pStyle w:val="105"/>
        <w:spacing w:before="120" w:after="120" w:line="360" w:lineRule="auto"/>
      </w:pPr>
      <w:r>
        <w:rPr>
          <w:rFonts w:hint="eastAsia"/>
        </w:rPr>
        <w:t>责任明确</w:t>
      </w:r>
    </w:p>
    <w:p w14:paraId="54CB817C">
      <w:pPr>
        <w:pStyle w:val="56"/>
        <w:spacing w:line="360" w:lineRule="auto"/>
        <w:ind w:firstLine="420"/>
      </w:pPr>
      <w:r>
        <w:rPr>
          <w:rFonts w:hint="eastAsia"/>
        </w:rPr>
        <w:t>招标单位、投标单位、监理单位及相关管理部门应明确职责分工，形成有效的责任体系。各方应根据职能履行任务，确保招标、合同及履约管理环节责任清晰、权责对等。</w:t>
      </w:r>
    </w:p>
    <w:p w14:paraId="327FC34A">
      <w:pPr>
        <w:pStyle w:val="105"/>
        <w:spacing w:before="120" w:after="120" w:line="360" w:lineRule="auto"/>
      </w:pPr>
      <w:r>
        <w:rPr>
          <w:rFonts w:hint="eastAsia"/>
        </w:rPr>
        <w:t>透明公开</w:t>
      </w:r>
    </w:p>
    <w:p w14:paraId="6A73CE03">
      <w:pPr>
        <w:pStyle w:val="56"/>
        <w:spacing w:line="360" w:lineRule="auto"/>
        <w:ind w:firstLine="420"/>
      </w:pPr>
      <w:r>
        <w:rPr>
          <w:rFonts w:hint="eastAsia"/>
        </w:rPr>
        <w:t>招标与合同管理应保障信息公开和透明，尤其在招标公告、评标过程、定标结果及合同签订环节。通过信息公开和监督机制，提升项目管理的公正性和规范性，减少争议和纠纷。</w:t>
      </w:r>
    </w:p>
    <w:p w14:paraId="3451B0F2">
      <w:pPr>
        <w:pStyle w:val="105"/>
        <w:spacing w:before="120" w:after="120" w:line="360" w:lineRule="auto"/>
      </w:pPr>
      <w:r>
        <w:rPr>
          <w:rFonts w:hint="eastAsia"/>
        </w:rPr>
        <w:t>动态管理与持续改进</w:t>
      </w:r>
    </w:p>
    <w:p w14:paraId="3CFDFB52">
      <w:pPr>
        <w:pStyle w:val="56"/>
        <w:spacing w:line="360" w:lineRule="auto"/>
        <w:ind w:firstLine="420"/>
      </w:pPr>
      <w:r>
        <w:rPr>
          <w:rFonts w:hint="eastAsia"/>
        </w:rPr>
        <w:t>项目招标与合同管理应建立动态管理机制，根据项目实施情况、法律法规更新及经验总结，不断优化管理流程、合同条款和风险控制措施。通过持续改进，提高项目管理效率和风险控制水平。</w:t>
      </w:r>
    </w:p>
    <w:p w14:paraId="59CA154E">
      <w:pPr>
        <w:pStyle w:val="105"/>
        <w:spacing w:before="120" w:after="120" w:line="360" w:lineRule="auto"/>
      </w:pPr>
      <w:r>
        <w:rPr>
          <w:rFonts w:hint="eastAsia"/>
        </w:rPr>
        <w:t>数据化与信息化</w:t>
      </w:r>
    </w:p>
    <w:p w14:paraId="38A03691">
      <w:pPr>
        <w:pStyle w:val="56"/>
        <w:spacing w:line="360" w:lineRule="auto"/>
        <w:ind w:firstLine="420"/>
      </w:pPr>
      <w:r>
        <w:rPr>
          <w:rFonts w:hint="eastAsia"/>
        </w:rPr>
        <w:t>应充分利用信息技术手段，建立招标、合同和风险管理的信息化平台，实现档案、评估、监控、预警及分析功能的数字化管理，提高管理透明度、可追溯性和决策科学性。</w:t>
      </w:r>
    </w:p>
    <w:p w14:paraId="1CD88B97">
      <w:pPr>
        <w:pStyle w:val="105"/>
        <w:spacing w:before="120" w:after="120" w:line="360" w:lineRule="auto"/>
      </w:pPr>
      <w:r>
        <w:rPr>
          <w:rFonts w:hint="eastAsia"/>
        </w:rPr>
        <w:t>安全与保密</w:t>
      </w:r>
    </w:p>
    <w:p w14:paraId="311204EC">
      <w:pPr>
        <w:pStyle w:val="56"/>
        <w:spacing w:line="360" w:lineRule="auto"/>
        <w:ind w:firstLine="420"/>
      </w:pPr>
      <w:r>
        <w:rPr>
          <w:rFonts w:hint="eastAsia"/>
        </w:rPr>
        <w:t>项目招标与合同涉及价格、技术、商业机密及个人信息，应严格保密。管理过程中应采取技术和管理措施保障信息安全，防止数据泄露和不当使用。</w:t>
      </w:r>
    </w:p>
    <w:p w14:paraId="747ADDA4">
      <w:pPr>
        <w:pStyle w:val="104"/>
        <w:spacing w:before="240" w:after="240" w:line="360" w:lineRule="auto"/>
      </w:pPr>
      <w:bookmarkStart w:id="52" w:name="_Toc209941991"/>
      <w:r>
        <w:rPr>
          <w:rFonts w:hint="eastAsia"/>
        </w:rPr>
        <w:t>招标阶段风险防控</w:t>
      </w:r>
      <w:bookmarkEnd w:id="52"/>
    </w:p>
    <w:p w14:paraId="16C8477A">
      <w:pPr>
        <w:pStyle w:val="105"/>
        <w:spacing w:before="120" w:after="120" w:line="360" w:lineRule="auto"/>
      </w:pPr>
      <w:r>
        <w:rPr>
          <w:rFonts w:hint="eastAsia"/>
        </w:rPr>
        <w:t>招标策划与风险识别</w:t>
      </w:r>
    </w:p>
    <w:p w14:paraId="1C6AD436">
      <w:pPr>
        <w:pStyle w:val="56"/>
        <w:spacing w:line="360" w:lineRule="auto"/>
        <w:ind w:firstLine="420"/>
      </w:pPr>
      <w:r>
        <w:rPr>
          <w:rFonts w:hint="eastAsia"/>
        </w:rPr>
        <w:t>在招标阶段，建设单位应结合项目特点、工程规模、施工环境及历史经验，制定科学合理的招标策划方案。策划过程中应识别潜在风险，包括招标范围不清、技术文件不完善、预算估算偏差、资格审查不规范及评标标准不明确等，明确风险等级，为后续防控措施提供依据。</w:t>
      </w:r>
    </w:p>
    <w:p w14:paraId="63DF4979">
      <w:pPr>
        <w:pStyle w:val="105"/>
        <w:spacing w:before="120" w:after="120" w:line="360" w:lineRule="auto"/>
      </w:pPr>
      <w:r>
        <w:rPr>
          <w:rFonts w:hint="eastAsia"/>
        </w:rPr>
        <w:t>招标文件编制规范</w:t>
      </w:r>
    </w:p>
    <w:p w14:paraId="081291E2">
      <w:pPr>
        <w:pStyle w:val="56"/>
        <w:spacing w:line="360" w:lineRule="auto"/>
        <w:ind w:firstLine="420"/>
      </w:pPr>
      <w:r>
        <w:rPr>
          <w:rFonts w:hint="eastAsia"/>
        </w:rPr>
        <w:t>招标文件是规范投标和评标行为的重要依据，应明确项目范围、技术要求、质量标准、工期及合同条款。招标文件应经法务和技术专家审核，确保条款合法、技术指标可执行、权责分配合理。重点防控招标条款模糊、评标标准不清及可能引发投标纠纷的风险。</w:t>
      </w:r>
    </w:p>
    <w:p w14:paraId="205C981F">
      <w:pPr>
        <w:pStyle w:val="105"/>
        <w:spacing w:before="120" w:after="120" w:line="360" w:lineRule="auto"/>
      </w:pPr>
      <w:r>
        <w:rPr>
          <w:rFonts w:hint="eastAsia"/>
        </w:rPr>
        <w:t>投标管理与审查</w:t>
      </w:r>
    </w:p>
    <w:p w14:paraId="1B448DD1">
      <w:pPr>
        <w:pStyle w:val="56"/>
        <w:spacing w:line="360" w:lineRule="auto"/>
        <w:ind w:firstLine="420"/>
      </w:pPr>
      <w:r>
        <w:rPr>
          <w:rFonts w:hint="eastAsia"/>
        </w:rPr>
        <w:t>在投标环节，应严格控制投标资格审查和投标文件管理。建设单位应明确资质要求、业绩条件、技术能力及财务状况的审查标准，确保投标单位具备履约能力。对投标文件的接收、登记、保管及开标程序应全程规范化操作，防止信息泄露及不公正操作。</w:t>
      </w:r>
    </w:p>
    <w:p w14:paraId="3ECE9888">
      <w:pPr>
        <w:pStyle w:val="105"/>
        <w:spacing w:before="120" w:after="120" w:line="360" w:lineRule="auto"/>
      </w:pPr>
      <w:r>
        <w:rPr>
          <w:rFonts w:hint="eastAsia"/>
        </w:rPr>
        <w:t>评标与定标防控</w:t>
      </w:r>
    </w:p>
    <w:p w14:paraId="16BE7F63">
      <w:pPr>
        <w:pStyle w:val="56"/>
        <w:spacing w:line="360" w:lineRule="auto"/>
        <w:ind w:firstLine="420"/>
      </w:pPr>
      <w:r>
        <w:rPr>
          <w:rFonts w:hint="eastAsia"/>
        </w:rPr>
        <w:t>评标过程应遵循公正、透明、科学的原则，按照招标文件规定的评标方法、评分标准和权重进行综合评估。评标委员会应具备专业能力，并建立评审记录和复核机制。定标决策应基于评标结果和风险评估，确保中标单位具备履约能力，同时降低合同履行风险。</w:t>
      </w:r>
    </w:p>
    <w:p w14:paraId="4C028EA0">
      <w:pPr>
        <w:pStyle w:val="105"/>
        <w:spacing w:before="120" w:after="120" w:line="360" w:lineRule="auto"/>
      </w:pPr>
      <w:r>
        <w:rPr>
          <w:rFonts w:hint="eastAsia"/>
        </w:rPr>
        <w:t>风险控制措施</w:t>
      </w:r>
    </w:p>
    <w:p w14:paraId="192674AE">
      <w:pPr>
        <w:pStyle w:val="56"/>
        <w:spacing w:line="360" w:lineRule="auto"/>
        <w:ind w:firstLine="420"/>
      </w:pPr>
      <w:r>
        <w:rPr>
          <w:rFonts w:hint="eastAsia"/>
        </w:rPr>
        <w:t>针对招标阶段识别的各类风险，应采取有效控制措施，包括：</w:t>
      </w:r>
    </w:p>
    <w:p w14:paraId="6CD7412B">
      <w:pPr>
        <w:pStyle w:val="132"/>
        <w:spacing w:line="360" w:lineRule="auto"/>
      </w:pPr>
      <w:r>
        <w:rPr>
          <w:rFonts w:hint="eastAsia"/>
        </w:rPr>
        <w:t>完善招标文件和技术要求，避免条款不清和歧义；</w:t>
      </w:r>
    </w:p>
    <w:p w14:paraId="338B8031">
      <w:pPr>
        <w:pStyle w:val="132"/>
        <w:spacing w:line="360" w:lineRule="auto"/>
      </w:pPr>
      <w:r>
        <w:rPr>
          <w:rFonts w:hint="eastAsia"/>
        </w:rPr>
        <w:t>严格投标单位资格审查，确保中标单位可靠性；</w:t>
      </w:r>
    </w:p>
    <w:p w14:paraId="66DCD158">
      <w:pPr>
        <w:pStyle w:val="132"/>
        <w:spacing w:line="360" w:lineRule="auto"/>
      </w:pPr>
      <w:r>
        <w:rPr>
          <w:rFonts w:hint="eastAsia"/>
        </w:rPr>
        <w:t>建立评标记录和复核制度，确保评标结果可追溯；</w:t>
      </w:r>
    </w:p>
    <w:p w14:paraId="0B00053A">
      <w:pPr>
        <w:pStyle w:val="132"/>
        <w:spacing w:line="360" w:lineRule="auto"/>
      </w:pPr>
      <w:r>
        <w:rPr>
          <w:rFonts w:hint="eastAsia"/>
        </w:rPr>
        <w:t>设定合理的投标保证金、履约保证及违约处罚条款，降低经济风险；</w:t>
      </w:r>
    </w:p>
    <w:p w14:paraId="0065AE2F">
      <w:pPr>
        <w:pStyle w:val="132"/>
        <w:spacing w:line="360" w:lineRule="auto"/>
      </w:pPr>
      <w:r>
        <w:rPr>
          <w:rFonts w:hint="eastAsia"/>
        </w:rPr>
        <w:t>对可能出现的法律风险和技术争议进行事前咨询和评估。</w:t>
      </w:r>
    </w:p>
    <w:p w14:paraId="10131653">
      <w:pPr>
        <w:pStyle w:val="105"/>
        <w:spacing w:before="120" w:after="120" w:line="360" w:lineRule="auto"/>
      </w:pPr>
      <w:r>
        <w:rPr>
          <w:rFonts w:hint="eastAsia"/>
        </w:rPr>
        <w:t>信息化管理应用</w:t>
      </w:r>
    </w:p>
    <w:p w14:paraId="474C3389">
      <w:pPr>
        <w:pStyle w:val="56"/>
        <w:spacing w:line="360" w:lineRule="auto"/>
        <w:ind w:firstLine="420"/>
      </w:pPr>
      <w:r>
        <w:rPr>
          <w:rFonts w:hint="eastAsia"/>
        </w:rPr>
        <w:t>建设单位可采用招标管理系统或信息化平台，实现投标文件管理、评标过程记录、风险监控和预警功能。通过信息化手段，可提高招标流程透明度、操作规范性及风险控制效率。</w:t>
      </w:r>
    </w:p>
    <w:p w14:paraId="354AAD27">
      <w:pPr>
        <w:pStyle w:val="105"/>
        <w:spacing w:before="120" w:after="120" w:line="360" w:lineRule="auto"/>
      </w:pPr>
      <w:r>
        <w:rPr>
          <w:rFonts w:hint="eastAsia"/>
        </w:rPr>
        <w:t>监督与审计</w:t>
      </w:r>
    </w:p>
    <w:p w14:paraId="4366B1E5">
      <w:pPr>
        <w:pStyle w:val="56"/>
        <w:spacing w:line="360" w:lineRule="auto"/>
        <w:ind w:firstLine="420"/>
      </w:pPr>
      <w:r>
        <w:rPr>
          <w:rFonts w:hint="eastAsia"/>
        </w:rPr>
        <w:t>招标全过程应接受内部或第三方监督审查，确保各环节合规执行，及时发现和处理潜在风险，降低法律和经济纠纷发生概率。监督结果应形成记录，为后续合同签订及履约管理提供依据。</w:t>
      </w:r>
    </w:p>
    <w:p w14:paraId="1AA1B4AD">
      <w:pPr>
        <w:pStyle w:val="104"/>
        <w:spacing w:before="240" w:after="240" w:line="360" w:lineRule="auto"/>
      </w:pPr>
      <w:bookmarkStart w:id="53" w:name="_Toc209941992"/>
      <w:r>
        <w:rPr>
          <w:rFonts w:hint="eastAsia"/>
        </w:rPr>
        <w:t>合同阶段风险防控</w:t>
      </w:r>
      <w:bookmarkEnd w:id="53"/>
    </w:p>
    <w:p w14:paraId="4E3C8D79">
      <w:pPr>
        <w:pStyle w:val="105"/>
        <w:spacing w:before="120" w:after="120" w:line="360" w:lineRule="auto"/>
      </w:pPr>
      <w:r>
        <w:rPr>
          <w:rFonts w:hint="eastAsia"/>
        </w:rPr>
        <w:t>合同条款审查</w:t>
      </w:r>
    </w:p>
    <w:p w14:paraId="040C46EF">
      <w:pPr>
        <w:pStyle w:val="56"/>
        <w:spacing w:line="360" w:lineRule="auto"/>
        <w:ind w:firstLine="420"/>
      </w:pPr>
      <w:r>
        <w:rPr>
          <w:rFonts w:hint="eastAsia"/>
        </w:rPr>
        <w:t>合同签订前，建设单位应对合同条款进行全面审查，重点关注工程范围、技术标准、质量要求、工期安排、付款方式、违约责任、索赔与调整机制等内容。合同条款应合法、明确、可执行，避免模糊或不公平的条款，防止法律风险和合同纠纷。</w:t>
      </w:r>
    </w:p>
    <w:p w14:paraId="2528B697">
      <w:pPr>
        <w:pStyle w:val="105"/>
        <w:spacing w:before="120" w:after="120" w:line="360" w:lineRule="auto"/>
      </w:pPr>
      <w:r>
        <w:rPr>
          <w:rFonts w:hint="eastAsia"/>
        </w:rPr>
        <w:t>风险分配与责任明确</w:t>
      </w:r>
    </w:p>
    <w:p w14:paraId="25F174A8">
      <w:pPr>
        <w:pStyle w:val="56"/>
        <w:spacing w:line="360" w:lineRule="auto"/>
        <w:ind w:firstLine="420"/>
      </w:pPr>
      <w:r>
        <w:rPr>
          <w:rFonts w:hint="eastAsia"/>
        </w:rPr>
        <w:t>合同应明确各方的权利和义务，合理分配风险。对技术风险、工期风险、价格波动及不可抗力因素应制定分担措施，并在合同中明确责任归属。明确的责任划分有助于减少争议和纠纷，提高履约效率。</w:t>
      </w:r>
    </w:p>
    <w:p w14:paraId="32C1E539">
      <w:pPr>
        <w:pStyle w:val="105"/>
        <w:spacing w:before="120" w:after="120" w:line="360" w:lineRule="auto"/>
      </w:pPr>
      <w:r>
        <w:rPr>
          <w:rFonts w:hint="eastAsia"/>
        </w:rPr>
        <w:t>履约管理与监督</w:t>
      </w:r>
    </w:p>
    <w:p w14:paraId="5383958C">
      <w:pPr>
        <w:pStyle w:val="56"/>
        <w:spacing w:line="360" w:lineRule="auto"/>
        <w:ind w:firstLine="420"/>
      </w:pPr>
      <w:r>
        <w:rPr>
          <w:rFonts w:hint="eastAsia"/>
        </w:rPr>
        <w:t>在合同履行过程中，应建立科学的履约管理机制，监控施工进度、质量、安全、成本及合同条款执行情况。建设单位可通过项目管理系统、现场检查和定期汇报，实现对合同履约的全程监督。对发现的偏差或风险，应及时采取纠正措施并记录处理结果。</w:t>
      </w:r>
    </w:p>
    <w:p w14:paraId="5D0153CB">
      <w:pPr>
        <w:pStyle w:val="105"/>
        <w:spacing w:before="120" w:after="120" w:line="360" w:lineRule="auto"/>
      </w:pPr>
      <w:r>
        <w:rPr>
          <w:rFonts w:hint="eastAsia"/>
        </w:rPr>
        <w:t>合同变更管理</w:t>
      </w:r>
    </w:p>
    <w:p w14:paraId="16F8876A">
      <w:pPr>
        <w:pStyle w:val="56"/>
        <w:spacing w:line="360" w:lineRule="auto"/>
        <w:ind w:firstLine="420"/>
      </w:pPr>
      <w:r>
        <w:rPr>
          <w:rFonts w:hint="eastAsia"/>
        </w:rPr>
        <w:t>合同履行过程中，可能因设计调整、现场条件变化或政策法规变化而产生合同变更。合同变更应遵循合法、合理、透明的原则，变更内容、审批流程、价格调整及工期调整应有明确记录，确保合同条款变更可追溯，防止后续争议。</w:t>
      </w:r>
    </w:p>
    <w:p w14:paraId="6F6EA181">
      <w:pPr>
        <w:pStyle w:val="105"/>
        <w:spacing w:before="120" w:after="120" w:line="360" w:lineRule="auto"/>
      </w:pPr>
      <w:r>
        <w:rPr>
          <w:rFonts w:hint="eastAsia"/>
        </w:rPr>
        <w:t>争议预防与处理</w:t>
      </w:r>
    </w:p>
    <w:p w14:paraId="0236B320">
      <w:pPr>
        <w:pStyle w:val="56"/>
        <w:spacing w:line="360" w:lineRule="auto"/>
        <w:ind w:firstLine="420"/>
      </w:pPr>
      <w:r>
        <w:rPr>
          <w:rFonts w:hint="eastAsia"/>
        </w:rPr>
        <w:t>合同履行过程中可能出现履约纠纷或争议，应在合同中明确争议处理方式，如协商、调解、仲裁或诉讼。建设单位应建立争议预防机制，包括合同条款审查、履约监督和风险预警。对于争议事件，应及时记录、分析并采取解决措施，降低对项目进度和经济效益的影响。</w:t>
      </w:r>
    </w:p>
    <w:p w14:paraId="3411F41F">
      <w:pPr>
        <w:pStyle w:val="105"/>
        <w:spacing w:before="120" w:after="120" w:line="360" w:lineRule="auto"/>
      </w:pPr>
      <w:r>
        <w:rPr>
          <w:rFonts w:hint="eastAsia"/>
        </w:rPr>
        <w:t>信息化支持与监控</w:t>
      </w:r>
    </w:p>
    <w:p w14:paraId="2FCF24F7">
      <w:pPr>
        <w:pStyle w:val="56"/>
        <w:spacing w:line="360" w:lineRule="auto"/>
        <w:ind w:firstLine="420"/>
      </w:pPr>
      <w:r>
        <w:rPr>
          <w:rFonts w:hint="eastAsia"/>
        </w:rPr>
        <w:t>合同阶段的风险防控可借助信息化管理平台，实现合同条款管理、履约监控、变更审批和风险预警功能。通过信息化手段，可实现合同执行状态的实时跟踪、数据记录及可视化分析，提升风险防控的效率和科学性。</w:t>
      </w:r>
    </w:p>
    <w:p w14:paraId="35DF344E">
      <w:pPr>
        <w:pStyle w:val="105"/>
        <w:spacing w:before="120" w:after="120" w:line="360" w:lineRule="auto"/>
      </w:pPr>
      <w:r>
        <w:rPr>
          <w:rFonts w:hint="eastAsia"/>
        </w:rPr>
        <w:t>持续改进与总结</w:t>
      </w:r>
    </w:p>
    <w:p w14:paraId="5336FEB4">
      <w:pPr>
        <w:pStyle w:val="56"/>
        <w:spacing w:line="360" w:lineRule="auto"/>
        <w:ind w:firstLine="420"/>
      </w:pPr>
      <w:r>
        <w:rPr>
          <w:rFonts w:hint="eastAsia"/>
        </w:rPr>
        <w:t>合同履行结束后，应对合同风险管理情况进行总结和评估，分析履约过程中出现的问题及教训，为后续项目提供参考。持续改进合同管理流程、条款设计和履约监督机制，形成标准化、系统化的风险防控经验库。</w:t>
      </w:r>
    </w:p>
    <w:p w14:paraId="220B20E8">
      <w:pPr>
        <w:pStyle w:val="104"/>
        <w:spacing w:before="240" w:after="240" w:line="360" w:lineRule="auto"/>
      </w:pPr>
      <w:bookmarkStart w:id="54" w:name="_Toc209941993"/>
      <w:r>
        <w:rPr>
          <w:rFonts w:hint="eastAsia"/>
        </w:rPr>
        <w:t>合同履约监控与动态风险管理</w:t>
      </w:r>
      <w:bookmarkEnd w:id="54"/>
    </w:p>
    <w:p w14:paraId="5D7BC4F3">
      <w:pPr>
        <w:pStyle w:val="105"/>
        <w:spacing w:before="120" w:after="120" w:line="360" w:lineRule="auto"/>
      </w:pPr>
      <w:r>
        <w:rPr>
          <w:rFonts w:hint="eastAsia"/>
        </w:rPr>
        <w:t>履约监控原则</w:t>
      </w:r>
    </w:p>
    <w:p w14:paraId="703F90FD">
      <w:pPr>
        <w:pStyle w:val="56"/>
        <w:spacing w:line="360" w:lineRule="auto"/>
        <w:ind w:firstLine="420"/>
      </w:pPr>
      <w:r>
        <w:rPr>
          <w:rFonts w:hint="eastAsia"/>
        </w:rPr>
        <w:t>合同履约监控应遵循全过程、动态化、可量化和可追溯的原则。通过对施工进度、质量、安全、成本、合同条款执行情况及相关关键指标的实时监控，及时发现偏差和潜在风险，确保合同目标按计划实现。</w:t>
      </w:r>
    </w:p>
    <w:p w14:paraId="0B0B5648">
      <w:pPr>
        <w:pStyle w:val="105"/>
        <w:spacing w:before="120" w:after="120" w:line="360" w:lineRule="auto"/>
      </w:pPr>
      <w:r>
        <w:rPr>
          <w:rFonts w:hint="eastAsia"/>
        </w:rPr>
        <w:t>关键指标监控</w:t>
      </w:r>
    </w:p>
    <w:p w14:paraId="4CF9C73F">
      <w:pPr>
        <w:pStyle w:val="56"/>
        <w:spacing w:line="360" w:lineRule="auto"/>
        <w:ind w:firstLine="420"/>
      </w:pPr>
      <w:r>
        <w:rPr>
          <w:rFonts w:hint="eastAsia"/>
        </w:rPr>
        <w:t>建立合同履约关键指标体系，包括工期节点完成率、工程质量检验合格率、合同费用控制率、材料和设备供应及时率、施工安全事件发生率及合同条款执行率等。对关键指标设定预警阈值，当指标偏离标准时及时启动风险应对措施。</w:t>
      </w:r>
    </w:p>
    <w:p w14:paraId="11EF9620">
      <w:pPr>
        <w:pStyle w:val="105"/>
        <w:spacing w:before="120" w:after="120" w:line="360" w:lineRule="auto"/>
      </w:pPr>
      <w:r>
        <w:rPr>
          <w:rFonts w:hint="eastAsia"/>
        </w:rPr>
        <w:t>动态风险识别与评估</w:t>
      </w:r>
    </w:p>
    <w:p w14:paraId="2F5F0532">
      <w:pPr>
        <w:pStyle w:val="56"/>
        <w:spacing w:line="360" w:lineRule="auto"/>
        <w:ind w:firstLine="420"/>
      </w:pPr>
      <w:r>
        <w:rPr>
          <w:rFonts w:hint="eastAsia"/>
        </w:rPr>
        <w:t>在合同履行过程中，应持续识别新出现的风险，包括技术、经济、管理、环境和政策变化引起的风险。对风险进行动态评估，包括风险发生概率、影响程度及严重性等级，为风险应对提供科学依据。</w:t>
      </w:r>
    </w:p>
    <w:p w14:paraId="0660247C">
      <w:pPr>
        <w:pStyle w:val="105"/>
        <w:spacing w:before="120" w:after="120" w:line="360" w:lineRule="auto"/>
      </w:pPr>
      <w:r>
        <w:rPr>
          <w:rFonts w:hint="eastAsia"/>
        </w:rPr>
        <w:t>风险预警与应对措施</w:t>
      </w:r>
    </w:p>
    <w:p w14:paraId="31645315">
      <w:pPr>
        <w:pStyle w:val="56"/>
        <w:spacing w:line="360" w:lineRule="auto"/>
        <w:ind w:firstLine="420"/>
      </w:pPr>
      <w:r>
        <w:rPr>
          <w:rFonts w:hint="eastAsia"/>
        </w:rPr>
        <w:t>对识别出的高风险事项，应建立风险预警机制，通过信息化平台或管理系统实时通知相关责任部门和管理人员。应急措施包括资源调配、工序调整、技术优化及临时变更审批等，确保风险得到及时控制。</w:t>
      </w:r>
    </w:p>
    <w:p w14:paraId="154201DD">
      <w:pPr>
        <w:pStyle w:val="105"/>
        <w:spacing w:before="120" w:after="120" w:line="360" w:lineRule="auto"/>
      </w:pPr>
      <w:r>
        <w:rPr>
          <w:rFonts w:hint="eastAsia"/>
        </w:rPr>
        <w:t>合同变更与调整管理</w:t>
      </w:r>
    </w:p>
    <w:p w14:paraId="204E40BF">
      <w:pPr>
        <w:pStyle w:val="56"/>
        <w:spacing w:line="360" w:lineRule="auto"/>
        <w:ind w:firstLine="420"/>
      </w:pPr>
      <w:r>
        <w:rPr>
          <w:rFonts w:hint="eastAsia"/>
        </w:rPr>
        <w:t>在履约过程中，如出现设计变更、施工条件变化或政策调整，必须按照合同变更管理流程执行。变更内容、审批程序、价格调整及工期变更应有完整记录和合理评估，确保合同变更透明、合理并可追溯。</w:t>
      </w:r>
    </w:p>
    <w:p w14:paraId="003D80BE">
      <w:pPr>
        <w:pStyle w:val="105"/>
        <w:spacing w:before="120" w:after="120" w:line="360" w:lineRule="auto"/>
      </w:pPr>
      <w:r>
        <w:rPr>
          <w:rFonts w:hint="eastAsia"/>
        </w:rPr>
        <w:t>绩效评价与改进</w:t>
      </w:r>
    </w:p>
    <w:p w14:paraId="5280AE26">
      <w:pPr>
        <w:pStyle w:val="56"/>
        <w:spacing w:line="360" w:lineRule="auto"/>
        <w:ind w:firstLine="420"/>
      </w:pPr>
      <w:r>
        <w:rPr>
          <w:rFonts w:hint="eastAsia"/>
        </w:rPr>
        <w:t>合同履约监控应结合绩效评价体系，对施工单位履约能力、合同条款遵守情况及风险防控效果进行定期评价。评价结果应反馈至管理层和相关部门，用于优化合同管理流程、改进招标与履约策略、提升风险防控能力。</w:t>
      </w:r>
    </w:p>
    <w:p w14:paraId="49C3A55B">
      <w:pPr>
        <w:pStyle w:val="105"/>
        <w:spacing w:before="120" w:after="120" w:line="360" w:lineRule="auto"/>
      </w:pPr>
      <w:r>
        <w:rPr>
          <w:rFonts w:hint="eastAsia"/>
        </w:rPr>
        <w:t>信息化管理应用</w:t>
      </w:r>
    </w:p>
    <w:p w14:paraId="71AB65BA">
      <w:pPr>
        <w:pStyle w:val="56"/>
        <w:spacing w:line="360" w:lineRule="auto"/>
        <w:ind w:firstLine="420"/>
      </w:pPr>
      <w:r>
        <w:rPr>
          <w:rFonts w:hint="eastAsia"/>
        </w:rPr>
        <w:t>充分利用信息化系统对合同履约过程进行监控、分析和记录。系统应具备数据采集、可视化分析、预警推送、风险报告生成和审计功能，实现合同履约全程数字化、可追踪和智能化管理。</w:t>
      </w:r>
    </w:p>
    <w:p w14:paraId="2E2F8E74">
      <w:pPr>
        <w:pStyle w:val="105"/>
        <w:spacing w:before="120" w:after="120" w:line="360" w:lineRule="auto"/>
      </w:pPr>
      <w:r>
        <w:rPr>
          <w:rFonts w:hint="eastAsia"/>
        </w:rPr>
        <w:t>档案管理与数据留存</w:t>
      </w:r>
    </w:p>
    <w:p w14:paraId="64DCB410">
      <w:pPr>
        <w:pStyle w:val="56"/>
        <w:spacing w:line="360" w:lineRule="auto"/>
        <w:ind w:firstLine="420"/>
      </w:pPr>
      <w:r>
        <w:rPr>
          <w:rFonts w:hint="eastAsia"/>
        </w:rPr>
        <w:t>合同履约监控过程中的各类记录、风险分析、预警报告、变更审批及绩效评价结果，应完整归档，建立电子和纸质档案，确保合同履约数据可追溯，为后续项目管理和审计提供依据。</w:t>
      </w:r>
    </w:p>
    <w:bookmarkEnd w:id="26"/>
    <w:p w14:paraId="429B2448">
      <w:pPr>
        <w:pStyle w:val="56"/>
        <w:ind w:firstLine="420"/>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pPr>
      <w:bookmarkStart w:id="55" w:name="BookMark6"/>
    </w:p>
    <w:p w14:paraId="4A1401F4">
      <w:pPr>
        <w:pStyle w:val="63"/>
        <w:spacing w:after="120" w:line="360" w:lineRule="auto"/>
      </w:pPr>
      <w:bookmarkStart w:id="56" w:name="_Toc209941994"/>
      <w:r>
        <w:rPr>
          <w:rFonts w:hint="eastAsia"/>
          <w:spacing w:val="105"/>
        </w:rPr>
        <w:t>参考文</w:t>
      </w:r>
      <w:r>
        <w:rPr>
          <w:rFonts w:hint="eastAsia"/>
        </w:rPr>
        <w:t>献</w:t>
      </w:r>
      <w:bookmarkEnd w:id="56"/>
    </w:p>
    <w:p w14:paraId="54659448">
      <w:pPr>
        <w:pStyle w:val="56"/>
        <w:spacing w:line="360" w:lineRule="auto"/>
        <w:ind w:firstLine="420"/>
      </w:pPr>
      <w:r>
        <w:rPr>
          <w:rFonts w:hint="eastAsia"/>
        </w:rPr>
        <w:t>[</w:t>
      </w:r>
      <w:r>
        <w:t>1] DB50/T 1378</w:t>
      </w:r>
      <w:r>
        <w:rPr>
          <w:rFonts w:hint="eastAsia"/>
        </w:rPr>
        <w:t>—</w:t>
      </w:r>
      <w:r>
        <w:t xml:space="preserve">2023  </w:t>
      </w:r>
      <w:r>
        <w:rPr>
          <w:rFonts w:hint="eastAsia"/>
        </w:rPr>
        <w:t>工程建设项目招标投标交易服务规范</w:t>
      </w:r>
    </w:p>
    <w:p w14:paraId="6E8CF58C">
      <w:pPr>
        <w:pStyle w:val="56"/>
        <w:spacing w:line="360" w:lineRule="auto"/>
        <w:ind w:firstLine="420"/>
      </w:pPr>
      <w:r>
        <w:t>[2] DB3305/T 356</w:t>
      </w:r>
      <w:r>
        <w:rPr>
          <w:rFonts w:hint="eastAsia"/>
        </w:rPr>
        <w:t>—</w:t>
      </w:r>
      <w:r>
        <w:t xml:space="preserve">2024  </w:t>
      </w:r>
      <w:r>
        <w:rPr>
          <w:rFonts w:hint="eastAsia"/>
        </w:rPr>
        <w:t>工程建设项目招标投标合规指南</w:t>
      </w:r>
    </w:p>
    <w:bookmarkEnd w:id="55"/>
    <w:p w14:paraId="17E01FA7">
      <w:pPr>
        <w:pStyle w:val="56"/>
        <w:ind w:firstLine="0" w:firstLineChars="0"/>
        <w:jc w:val="center"/>
      </w:pPr>
      <w:bookmarkStart w:id="57" w:name="BookMark8"/>
      <w:r>
        <w:drawing>
          <wp:inline distT="0" distB="0" distL="0" distR="0">
            <wp:extent cx="1485900" cy="317500"/>
            <wp:effectExtent l="0" t="0" r="0" b="6350"/>
            <wp:docPr id="450288120" name="图片 5"/>
            <wp:cNvGraphicFramePr/>
            <a:graphic xmlns:a="http://schemas.openxmlformats.org/drawingml/2006/main">
              <a:graphicData uri="http://schemas.openxmlformats.org/drawingml/2006/picture">
                <pic:pic xmlns:pic="http://schemas.openxmlformats.org/drawingml/2006/picture">
                  <pic:nvPicPr>
                    <pic:cNvPr id="450288120" name="图片 5"/>
                    <pic:cNvPicPr/>
                  </pic:nvPicPr>
                  <pic:blipFill>
                    <a:blip r:embed="rId3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p>
    <w:sectPr>
      <w:headerReference r:id="rId27" w:type="default"/>
      <w:footerReference r:id="rId29" w:type="default"/>
      <w:headerReference r:id="rId28" w:type="even"/>
      <w:footerReference r:id="rId30" w:type="even"/>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A94E3">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A09C">
    <w:pPr>
      <w:pStyle w:val="51"/>
    </w:pPr>
    <w:r>
      <w:fldChar w:fldCharType="begin"/>
    </w:r>
    <w:r>
      <w:instrText xml:space="preserve"> PAGE   \* MERGEFORMAT \* MERGEFORMAT </w:instrText>
    </w:r>
    <w:r>
      <w:fldChar w:fldCharType="separate"/>
    </w:r>
    <w:r>
      <w:t>6</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F326E">
    <w:pPr>
      <w:pStyle w:val="52"/>
    </w:pPr>
    <w:r>
      <w:fldChar w:fldCharType="begin"/>
    </w:r>
    <w:r>
      <w:instrText xml:space="preserve">PAGE   \* MERGEFORMAT</w:instrText>
    </w:r>
    <w:r>
      <w:fldChar w:fldCharType="separate"/>
    </w:r>
    <w:r>
      <w:rPr>
        <w:lang w:val="zh-CN"/>
      </w:rPr>
      <w:t>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C8FF4">
    <w:pPr>
      <w:pStyle w:val="51"/>
    </w:pPr>
    <w:r>
      <w:fldChar w:fldCharType="begin"/>
    </w:r>
    <w:r>
      <w:instrText xml:space="preserve"> PAGE   \* MERGEFORMAT \* MERGEFORMAT </w:instrText>
    </w:r>
    <w:r>
      <w:fldChar w:fldCharType="separate"/>
    </w:r>
    <w: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7BAE1">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F4FF8">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6857A">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4EA26">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55B1B">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08184">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BD98B">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614C6">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C8A8">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259AF">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0106—2025</w:t>
    </w:r>
    <w:r>
      <w:rPr>
        <w:rFonts w:hint="eastAsia"/>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B5EF1">
    <w:pPr>
      <w:pStyle w:val="61"/>
    </w:pPr>
    <w:r>
      <w:fldChar w:fldCharType="begin"/>
    </w:r>
    <w:r>
      <w:instrText xml:space="preserve"> STYLEREF  标准文件_文件编号  \* MERGEFORMAT </w:instrText>
    </w:r>
    <w:r>
      <w:fldChar w:fldCharType="separate"/>
    </w:r>
    <w:r>
      <w:t>T/XJBX 0106—2025</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AEDDA">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0106—2025</w:t>
    </w:r>
    <w:r>
      <w:rPr>
        <w:rFonts w:hint="eastAsia"/>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A4CA8">
    <w:pPr>
      <w:pStyle w:val="61"/>
    </w:pPr>
    <w:r>
      <w:fldChar w:fldCharType="begin"/>
    </w:r>
    <w:r>
      <w:instrText xml:space="preserve"> STYLEREF  标准文件_文件编号  \* MERGEFORMAT </w:instrText>
    </w:r>
    <w:r>
      <w:fldChar w:fldCharType="separate"/>
    </w:r>
    <w:r>
      <w:t>T/XJBX 0106—2025</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1C252">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0106—2025</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F0166">
    <w:pPr>
      <w:pStyle w:val="18"/>
    </w:pPr>
    <w:r>
      <w:pict>
        <v:shape id="PowerPlusWaterMarkObject59875282" o:spid="_x0000_s1027" o:spt="136" type="#_x0000_t136" style="position:absolute;left:0pt;height:59.9pt;width:599.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B2C0B">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5318">
    <w:pPr>
      <w:pStyle w:val="61"/>
    </w:pPr>
    <w:r>
      <w:fldChar w:fldCharType="begin"/>
    </w:r>
    <w:r>
      <w:instrText xml:space="preserve"> STYLEREF  标准文件_文件编号  \* MERGEFORMAT </w:instrText>
    </w:r>
    <w:r>
      <w:fldChar w:fldCharType="separate"/>
    </w:r>
    <w:r>
      <w:t>T/XJBX 0106—2025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ADBAF">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0106—2025</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B679D">
    <w:pPr>
      <w:pStyle w:val="18"/>
    </w:pPr>
    <w:r>
      <w:pict>
        <v:shape id="PowerPlusWaterMarkObject59875284" o:spid="_x0000_s1029" o:spt="136" type="#_x0000_t136" style="position:absolute;left:0pt;height:59.9pt;width:599.4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6D283">
    <w:pPr>
      <w:pStyle w:val="61"/>
    </w:pPr>
    <w:r>
      <w:fldChar w:fldCharType="begin"/>
    </w:r>
    <w:r>
      <w:instrText xml:space="preserve"> STYLEREF  标准文件_文件编号  \* MERGEFORMAT </w:instrText>
    </w:r>
    <w:r>
      <w:fldChar w:fldCharType="separate"/>
    </w:r>
    <w:r>
      <w:t>T/XJBX 0106—2025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6E4C2">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0106—2025</w:t>
    </w:r>
    <w:r>
      <w:rPr>
        <w:rFonts w:hint="eastAsia"/>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57B04">
    <w:pPr>
      <w:pStyle w:val="61"/>
    </w:pPr>
    <w:r>
      <w:fldChar w:fldCharType="begin"/>
    </w:r>
    <w:r>
      <w:instrText xml:space="preserve"> STYLEREF  标准文件_文件编号  \* MERGEFORMAT </w:instrText>
    </w:r>
    <w:r>
      <w:fldChar w:fldCharType="separate"/>
    </w:r>
    <w:r>
      <w:t>T/XJBX 0106—2025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Y2szQ2NLcwNDU1NTFW0lEKTi0uzszPAykwqQUAkGwkBiwAAAA="/>
  </w:docVars>
  <w:rsids>
    <w:rsidRoot w:val="0011074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37C9C"/>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0741"/>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A"/>
    <w:rsid w:val="001649EB"/>
    <w:rsid w:val="00164BAF"/>
    <w:rsid w:val="00164FA8"/>
    <w:rsid w:val="00165065"/>
    <w:rsid w:val="00165434"/>
    <w:rsid w:val="0016580B"/>
    <w:rsid w:val="00165824"/>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34B8"/>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5FD6"/>
    <w:rsid w:val="002E6326"/>
    <w:rsid w:val="002F30E0"/>
    <w:rsid w:val="002F35E4"/>
    <w:rsid w:val="002F3730"/>
    <w:rsid w:val="002F38E1"/>
    <w:rsid w:val="002F56E2"/>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0CDE"/>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463"/>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12A8"/>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5B0E"/>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3209"/>
    <w:rsid w:val="006C5A62"/>
    <w:rsid w:val="006C5D68"/>
    <w:rsid w:val="006C6976"/>
    <w:rsid w:val="006C6DD0"/>
    <w:rsid w:val="006D04EA"/>
    <w:rsid w:val="006D16C4"/>
    <w:rsid w:val="006D3E96"/>
    <w:rsid w:val="006D4515"/>
    <w:rsid w:val="006D4BB1"/>
    <w:rsid w:val="006D6593"/>
    <w:rsid w:val="006E04B9"/>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40E1"/>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6BD4"/>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2328"/>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0D3F"/>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3CA7"/>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43D"/>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54D9"/>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13D8"/>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4277"/>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7BC0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9" Type="http://schemas.openxmlformats.org/officeDocument/2006/relationships/glossaryDocument" Target="glossary/document.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3.jpeg"/><Relationship Id="rId33" Type="http://schemas.openxmlformats.org/officeDocument/2006/relationships/image" Target="media/image2.png"/><Relationship Id="rId32" Type="http://schemas.openxmlformats.org/officeDocument/2006/relationships/image" Target="media/image1.png"/><Relationship Id="rId31" Type="http://schemas.openxmlformats.org/officeDocument/2006/relationships/theme" Target="theme/theme1.xml"/><Relationship Id="rId30" Type="http://schemas.openxmlformats.org/officeDocument/2006/relationships/footer" Target="footer12.xml"/><Relationship Id="rId3" Type="http://schemas.openxmlformats.org/officeDocument/2006/relationships/footnotes" Target="footnotes.xml"/><Relationship Id="rId29" Type="http://schemas.openxmlformats.org/officeDocument/2006/relationships/footer" Target="footer11.xml"/><Relationship Id="rId28" Type="http://schemas.openxmlformats.org/officeDocument/2006/relationships/header" Target="header14.xml"/><Relationship Id="rId27" Type="http://schemas.openxmlformats.org/officeDocument/2006/relationships/header" Target="header13.xml"/><Relationship Id="rId26" Type="http://schemas.openxmlformats.org/officeDocument/2006/relationships/footer" Target="footer10.xml"/><Relationship Id="rId25" Type="http://schemas.openxmlformats.org/officeDocument/2006/relationships/footer" Target="footer9.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footer" Target="footer8.xml"/><Relationship Id="rId21" Type="http://schemas.openxmlformats.org/officeDocument/2006/relationships/footer" Target="footer7.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6.xml"/><Relationship Id="rId17" Type="http://schemas.openxmlformats.org/officeDocument/2006/relationships/footer" Target="footer5.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footer" Target="footer3.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28A614B804142AE8BDBB50A8A79792D"/>
        <w:style w:val=""/>
        <w:category>
          <w:name w:val="常规"/>
          <w:gallery w:val="placeholder"/>
        </w:category>
        <w:types>
          <w:type w:val="bbPlcHdr"/>
        </w:types>
        <w:behaviors>
          <w:behavior w:val="content"/>
        </w:behaviors>
        <w:description w:val=""/>
        <w:guid w:val="{B44CCB2B-4182-4EBE-B7E9-6C909CAF39B0}"/>
      </w:docPartPr>
      <w:docPartBody>
        <w:p w14:paraId="03DDD8F6">
          <w:pPr>
            <w:pStyle w:val="5"/>
          </w:pPr>
          <w:r>
            <w:rPr>
              <w:rStyle w:val="4"/>
              <w:rFonts w:hint="eastAsia"/>
            </w:rPr>
            <w:t>单击或点击此处输入文字。</w:t>
          </w:r>
        </w:p>
      </w:docPartBody>
    </w:docPart>
    <w:docPart>
      <w:docPartPr>
        <w:name w:val="E937BECAD2B34860A158A768CA921C5E"/>
        <w:style w:val=""/>
        <w:category>
          <w:name w:val="常规"/>
          <w:gallery w:val="placeholder"/>
        </w:category>
        <w:types>
          <w:type w:val="bbPlcHdr"/>
        </w:types>
        <w:behaviors>
          <w:behavior w:val="content"/>
        </w:behaviors>
        <w:description w:val=""/>
        <w:guid w:val="{B591C5A6-A077-4DE7-8549-88E3AD26FF7C}"/>
      </w:docPartPr>
      <w:docPartBody>
        <w:p w14:paraId="0CF75C94">
          <w:pPr>
            <w:pStyle w:val="6"/>
          </w:pPr>
          <w:r>
            <w:rPr>
              <w:rStyle w:val="4"/>
              <w:rFonts w:hint="eastAsia"/>
            </w:rPr>
            <w:t>选择一项。</w:t>
          </w:r>
        </w:p>
      </w:docPartBody>
    </w:docPart>
    <w:docPart>
      <w:docPartPr>
        <w:name w:val="7D0407537AFA4EBFB7447D8BB1E4BCDB"/>
        <w:style w:val=""/>
        <w:category>
          <w:name w:val="常规"/>
          <w:gallery w:val="placeholder"/>
        </w:category>
        <w:types>
          <w:type w:val="bbPlcHdr"/>
        </w:types>
        <w:behaviors>
          <w:behavior w:val="content"/>
        </w:behaviors>
        <w:description w:val=""/>
        <w:guid w:val="{4FE560AC-77D7-4372-B13C-1BE31CBD38D8}"/>
      </w:docPartPr>
      <w:docPartBody>
        <w:p w14:paraId="4A0B6A37">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47"/>
    <w:rsid w:val="0007517A"/>
    <w:rsid w:val="00261408"/>
    <w:rsid w:val="008A4D07"/>
    <w:rsid w:val="009B6447"/>
    <w:rsid w:val="00B6674A"/>
    <w:rsid w:val="00CD3CA7"/>
    <w:rsid w:val="00D41AE9"/>
    <w:rsid w:val="00DF62EA"/>
    <w:rsid w:val="00E03C05"/>
    <w:rsid w:val="00E75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28A614B804142AE8BDBB50A8A79792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937BECAD2B34860A158A768CA921C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D0407537AFA4EBFB7447D8BB1E4BCD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7"/>
    <customShpInfo spid="_x0000_s102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15</Pages>
  <Words>5021</Words>
  <Characters>5305</Characters>
  <Lines>46</Lines>
  <Paragraphs>12</Paragraphs>
  <TotalTime>49</TotalTime>
  <ScaleCrop>false</ScaleCrop>
  <LinksUpToDate>false</LinksUpToDate>
  <CharactersWithSpaces>5394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2025-09-27T12:04:00Z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2025-09-28T07:35:43Z</dcterms:modified>
  <dc:title>团体标准</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B478687465D34B1892347C788DDA4B3E_12</vt:lpwstr>
  </property>
</Properties>
</file>