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3"/>
            </w:textInput>
          </w:ffData>
        </w:fldChar>
      </w:r>
      <w:bookmarkStart w:id="6" w:name="NSTD_CODE_F"/>
      <w:r>
        <w:instrText xml:space="preserve"> FORMTEXT </w:instrText>
      </w:r>
      <w:r>
        <w:fldChar w:fldCharType="separate"/>
      </w:r>
      <w:r>
        <w:t>0103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水利工程施工水资源高效利用准则"/>
            </w:textInput>
          </w:ffData>
        </w:fldChar>
      </w:r>
      <w:bookmarkStart w:id="9" w:name="CSTD_NAME"/>
      <w:r>
        <w:instrText xml:space="preserve"> FORMTEXT </w:instrText>
      </w:r>
      <w:r>
        <w:fldChar w:fldCharType="separate"/>
      </w:r>
      <w:r>
        <w:t>水利工程施工水资源高效利用准则</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efficient utilization of water resources in water conservancy project constru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efficient utilization of water resources in water conservancy project construction</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C8C6470">
      <w:pPr>
        <w:pStyle w:val="91"/>
        <w:spacing w:after="360"/>
        <w:rPr>
          <w:rFonts w:hint="eastAsia"/>
        </w:rPr>
      </w:pPr>
      <w:bookmarkStart w:id="21" w:name="BookMark1"/>
      <w:r>
        <w:rPr>
          <w:rFonts w:hint="eastAsia"/>
          <w:spacing w:val="320"/>
        </w:rPr>
        <w:t>目</w:t>
      </w:r>
      <w:r>
        <w:rPr>
          <w:rFonts w:hint="eastAsia"/>
        </w:rPr>
        <w:t>次</w:t>
      </w:r>
    </w:p>
    <w:p w14:paraId="67087C55">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"_Toc209908647" </w:instrText>
      </w:r>
      <w:r>
        <w:fldChar w:fldCharType="separate"/>
      </w:r>
      <w:r>
        <w:rPr>
          <w:rStyle w:val="32"/>
        </w:rPr>
        <w:t>前言</w:t>
      </w:r>
      <w:r>
        <w:tab/>
      </w:r>
      <w:r>
        <w:fldChar w:fldCharType="begin"/>
      </w:r>
      <w:r>
        <w:instrText xml:space="preserve"> PAGEREF _Toc209908647 \h </w:instrText>
      </w:r>
      <w:r>
        <w:fldChar w:fldCharType="separate"/>
      </w:r>
      <w:r>
        <w:t>III</w:t>
      </w:r>
      <w:r>
        <w:fldChar w:fldCharType="end"/>
      </w:r>
      <w:r>
        <w:fldChar w:fldCharType="end"/>
      </w:r>
    </w:p>
    <w:p w14:paraId="4B96B1A1">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"_Toc209908648" </w:instrText>
      </w:r>
      <w:r>
        <w:fldChar w:fldCharType="separate"/>
      </w:r>
      <w:r>
        <w:rPr>
          <w:rStyle w:val="32"/>
        </w:rPr>
        <w:t>引言</w:t>
      </w:r>
      <w:r>
        <w:tab/>
      </w:r>
      <w:r>
        <w:fldChar w:fldCharType="begin"/>
      </w:r>
      <w:r>
        <w:instrText xml:space="preserve"> PAGEREF _Toc209908648 \h </w:instrText>
      </w:r>
      <w:r>
        <w:fldChar w:fldCharType="separate"/>
      </w:r>
      <w:r>
        <w:t>V</w:t>
      </w:r>
      <w:r>
        <w:fldChar w:fldCharType="end"/>
      </w:r>
      <w:r>
        <w:fldChar w:fldCharType="end"/>
      </w:r>
    </w:p>
    <w:p w14:paraId="6F2944C7">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"_Toc209908649" </w:instrText>
      </w:r>
      <w:r>
        <w:fldChar w:fldCharType="separate"/>
      </w:r>
      <w:r>
        <w:rPr>
          <w:rStyle w:val="32"/>
        </w:rPr>
        <w:t>1  范围</w:t>
      </w:r>
      <w:r>
        <w:tab/>
      </w:r>
      <w:r>
        <w:fldChar w:fldCharType="begin"/>
      </w:r>
      <w:r>
        <w:instrText xml:space="preserve"> PAGEREF _Toc209908649 \h </w:instrText>
      </w:r>
      <w:r>
        <w:fldChar w:fldCharType="separate"/>
      </w:r>
      <w:r>
        <w:t>1</w:t>
      </w:r>
      <w:r>
        <w:fldChar w:fldCharType="end"/>
      </w:r>
      <w:r>
        <w:fldChar w:fldCharType="end"/>
      </w:r>
    </w:p>
    <w:p w14:paraId="1D40779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"_Toc209908650" </w:instrText>
      </w:r>
      <w:r>
        <w:fldChar w:fldCharType="separate"/>
      </w:r>
      <w:r>
        <w:rPr>
          <w:rStyle w:val="32"/>
        </w:rPr>
        <w:t>2  规范性引用文件</w:t>
      </w:r>
      <w:r>
        <w:tab/>
      </w:r>
      <w:r>
        <w:fldChar w:fldCharType="begin"/>
      </w:r>
      <w:r>
        <w:instrText xml:space="preserve"> PAGEREF _Toc209908650 \h </w:instrText>
      </w:r>
      <w:r>
        <w:fldChar w:fldCharType="separate"/>
      </w:r>
      <w:r>
        <w:t>1</w:t>
      </w:r>
      <w:r>
        <w:fldChar w:fldCharType="end"/>
      </w:r>
      <w:r>
        <w:fldChar w:fldCharType="end"/>
      </w:r>
    </w:p>
    <w:p w14:paraId="4D38818B">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"_Toc209908651" </w:instrText>
      </w:r>
      <w:r>
        <w:fldChar w:fldCharType="separate"/>
      </w:r>
      <w:r>
        <w:rPr>
          <w:rStyle w:val="32"/>
        </w:rPr>
        <w:t>3  术语和定义</w:t>
      </w:r>
      <w:r>
        <w:tab/>
      </w:r>
      <w:r>
        <w:fldChar w:fldCharType="begin"/>
      </w:r>
      <w:r>
        <w:instrText xml:space="preserve"> PAGEREF _Toc209908651 \h </w:instrText>
      </w:r>
      <w:r>
        <w:fldChar w:fldCharType="separate"/>
      </w:r>
      <w:r>
        <w:t>1</w:t>
      </w:r>
      <w:r>
        <w:fldChar w:fldCharType="end"/>
      </w:r>
      <w:r>
        <w:fldChar w:fldCharType="end"/>
      </w:r>
    </w:p>
    <w:p w14:paraId="0BCE995A">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"_Toc209908652" </w:instrText>
      </w:r>
      <w:r>
        <w:fldChar w:fldCharType="separate"/>
      </w:r>
      <w:r>
        <w:rPr>
          <w:rStyle w:val="32"/>
        </w:rPr>
        <w:t>4  总体原则</w:t>
      </w:r>
      <w:r>
        <w:tab/>
      </w:r>
      <w:r>
        <w:fldChar w:fldCharType="begin"/>
      </w:r>
      <w:r>
        <w:instrText xml:space="preserve"> PAGEREF _Toc209908652 \h </w:instrText>
      </w:r>
      <w:r>
        <w:fldChar w:fldCharType="separate"/>
      </w:r>
      <w:r>
        <w:t>2</w:t>
      </w:r>
      <w:r>
        <w:fldChar w:fldCharType="end"/>
      </w:r>
      <w:r>
        <w:fldChar w:fldCharType="end"/>
      </w:r>
    </w:p>
    <w:p w14:paraId="0FDDBBBC">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"_Toc209908653" </w:instrText>
      </w:r>
      <w:r>
        <w:fldChar w:fldCharType="separate"/>
      </w:r>
      <w:r>
        <w:rPr>
          <w:rStyle w:val="32"/>
        </w:rPr>
        <w:t>5  施工用水管理与操作要求</w:t>
      </w:r>
      <w:r>
        <w:tab/>
      </w:r>
      <w:r>
        <w:fldChar w:fldCharType="begin"/>
      </w:r>
      <w:r>
        <w:instrText xml:space="preserve"> PAGEREF _Toc209908653 \h </w:instrText>
      </w:r>
      <w:r>
        <w:fldChar w:fldCharType="separate"/>
      </w:r>
      <w:r>
        <w:t>3</w:t>
      </w:r>
      <w:r>
        <w:fldChar w:fldCharType="end"/>
      </w:r>
      <w:r>
        <w:fldChar w:fldCharType="end"/>
      </w:r>
    </w:p>
    <w:p w14:paraId="4877CAF3">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"_Toc209908654" </w:instrText>
      </w:r>
      <w:r>
        <w:fldChar w:fldCharType="separate"/>
      </w:r>
      <w:r>
        <w:rPr>
          <w:rStyle w:val="32"/>
        </w:rPr>
        <w:t>6  施工过程监控与绩效评价</w:t>
      </w:r>
      <w:r>
        <w:tab/>
      </w:r>
      <w:r>
        <w:fldChar w:fldCharType="begin"/>
      </w:r>
      <w:r>
        <w:instrText xml:space="preserve"> PAGEREF _Toc209908654 \h </w:instrText>
      </w:r>
      <w:r>
        <w:fldChar w:fldCharType="separate"/>
      </w:r>
      <w:r>
        <w:t>4</w:t>
      </w:r>
      <w:r>
        <w:fldChar w:fldCharType="end"/>
      </w:r>
      <w:r>
        <w:fldChar w:fldCharType="end"/>
      </w:r>
    </w:p>
    <w:p w14:paraId="36B1BA33">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"_Toc209908655" </w:instrText>
      </w:r>
      <w:r>
        <w:fldChar w:fldCharType="separate"/>
      </w:r>
      <w:r>
        <w:rPr>
          <w:rStyle w:val="32"/>
        </w:rPr>
        <w:t>7  施工用水风险管理与应急措施</w:t>
      </w:r>
      <w:r>
        <w:tab/>
      </w:r>
      <w:r>
        <w:fldChar w:fldCharType="begin"/>
      </w:r>
      <w:r>
        <w:instrText xml:space="preserve"> PAGEREF _Toc209908655 \h </w:instrText>
      </w:r>
      <w:r>
        <w:fldChar w:fldCharType="separate"/>
      </w:r>
      <w:r>
        <w:t>5</w:t>
      </w:r>
      <w:r>
        <w:fldChar w:fldCharType="end"/>
      </w:r>
      <w:r>
        <w:fldChar w:fldCharType="end"/>
      </w:r>
    </w:p>
    <w:p w14:paraId="5B40FBE9">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"_Toc209908656" </w:instrText>
      </w:r>
      <w:r>
        <w:fldChar w:fldCharType="separate"/>
      </w:r>
      <w:r>
        <w:rPr>
          <w:rStyle w:val="32"/>
        </w:rPr>
        <w:t>8  创新与推广应用</w:t>
      </w:r>
      <w:r>
        <w:tab/>
      </w:r>
      <w:r>
        <w:fldChar w:fldCharType="begin"/>
      </w:r>
      <w:r>
        <w:instrText xml:space="preserve"> PAGEREF _Toc209908656 \h </w:instrText>
      </w:r>
      <w:r>
        <w:fldChar w:fldCharType="separate"/>
      </w:r>
      <w:r>
        <w:t>6</w:t>
      </w:r>
      <w:r>
        <w:fldChar w:fldCharType="end"/>
      </w:r>
      <w:r>
        <w:fldChar w:fldCharType="end"/>
      </w:r>
    </w:p>
    <w:p w14:paraId="670CFB2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"_Toc209908657" </w:instrText>
      </w:r>
      <w:r>
        <w:fldChar w:fldCharType="separate"/>
      </w:r>
      <w:r>
        <w:rPr>
          <w:rStyle w:val="32"/>
        </w:rPr>
        <w:t>参考文献</w:t>
      </w:r>
      <w:r>
        <w:tab/>
      </w:r>
      <w:r>
        <w:fldChar w:fldCharType="begin"/>
      </w:r>
      <w:r>
        <w:instrText xml:space="preserve"> PAGEREF _Toc209908657 \h </w:instrText>
      </w:r>
      <w:r>
        <w:fldChar w:fldCharType="separate"/>
      </w:r>
      <w:r>
        <w:t>7</w:t>
      </w:r>
      <w:r>
        <w:fldChar w:fldCharType="end"/>
      </w:r>
      <w:r>
        <w:fldChar w:fldCharType="end"/>
      </w:r>
    </w:p>
    <w:p w14:paraId="40F9C8E1">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08647"/>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本文件起草单位：朝阳市水务事务服务中心。</w:t>
      </w:r>
    </w:p>
    <w:p w14:paraId="42BC1C2C">
      <w:pPr>
        <w:pStyle w:val="56"/>
        <w:spacing w:line="360" w:lineRule="auto"/>
        <w:ind w:firstLine="420"/>
      </w:pPr>
      <w:r>
        <w:rPr>
          <w:rFonts w:hint="eastAsia"/>
        </w:rPr>
        <w:t>本文件主要起草人：于永波。</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4104DD8B">
      <w:pPr>
        <w:pStyle w:val="89"/>
        <w:spacing w:after="360"/>
      </w:pPr>
      <w:bookmarkStart w:id="24" w:name="_Toc209908648"/>
      <w:bookmarkStart w:id="25" w:name="BookMark3"/>
      <w:r>
        <w:rPr>
          <w:spacing w:val="320"/>
        </w:rPr>
        <w:t>引</w:t>
      </w:r>
      <w:r>
        <w:t>言</w:t>
      </w:r>
      <w:bookmarkEnd w:id="24"/>
    </w:p>
    <w:p w14:paraId="77FB0B81">
      <w:pPr>
        <w:pStyle w:val="56"/>
        <w:spacing w:line="360" w:lineRule="auto"/>
        <w:ind w:firstLine="420"/>
        <w:rPr>
          <w:rFonts w:hint="eastAsia"/>
        </w:rPr>
      </w:pPr>
      <w:r>
        <w:rPr>
          <w:rFonts w:hint="eastAsia"/>
        </w:rPr>
        <w:t>水资源是水利工程建设与运行的基础保障，其高效利用对于保障工程建设质量、降低施工成本、促进可持续发展具有重要意义。随着水利工程规模不断扩大，施工过程中用水量剧增，同时面临水资源紧缺、环境压力和施工安全等多重挑战。如果在施工阶段未能科学管理和优化水资源使用，不仅可能造成资源浪费，还可能对施工进度、工程质量及周边生态环境造成不利影响。</w:t>
      </w:r>
    </w:p>
    <w:p w14:paraId="0441EF82">
      <w:pPr>
        <w:pStyle w:val="56"/>
        <w:spacing w:line="360" w:lineRule="auto"/>
        <w:ind w:firstLine="420"/>
        <w:rPr>
          <w:rFonts w:hint="eastAsia"/>
        </w:rPr>
      </w:pPr>
      <w:r>
        <w:rPr>
          <w:rFonts w:hint="eastAsia"/>
        </w:rPr>
        <w:t>目前，水利工程施工水资源利用存在分散管理、缺乏标准化规范、用水效率低下和监控不完善等问题。不同施工单位在水资源管理、节水措施实施、循环利用及废水处理等方面缺乏统一的技术标准，使得高效利用水资源的目标难以实现。针对这一现状，制定统一的施工水资源高效利用准则对于规范施工行为、优化用水管理、推动节水技术应用以及提高水资源利用效率具有重要意义。</w:t>
      </w:r>
    </w:p>
    <w:p w14:paraId="12D8A895">
      <w:pPr>
        <w:pStyle w:val="56"/>
        <w:spacing w:line="360" w:lineRule="auto"/>
        <w:ind w:firstLine="420"/>
        <w:rPr>
          <w:rFonts w:hint="eastAsia"/>
        </w:rPr>
      </w:pPr>
      <w:r>
        <w:rPr>
          <w:rFonts w:hint="eastAsia"/>
        </w:rPr>
        <w:t>本文件结合国内外水利工程施工实践经验、相关国家标准及节水技术研究成果，提出水利工程施工阶段水资源管理、节水措施实施、循环利用及监控评估的技术要求和操作方法。文件明确了施工用水的计划编制、用水控制、循环利用、废水处理和环境保护等核心内容，旨在为施工单位提供科学、可操作的指导，提升水利工程施工阶段水资源利用效率，实现经济、环保和可持续发展的目标。</w:t>
      </w:r>
    </w:p>
    <w:p w14:paraId="42EAE8EF">
      <w:pPr>
        <w:pStyle w:val="56"/>
        <w:spacing w:line="360" w:lineRule="auto"/>
        <w:ind w:firstLine="420"/>
      </w:pPr>
      <w:r>
        <w:rPr>
          <w:rFonts w:hint="eastAsia"/>
        </w:rPr>
        <w:t>本文件适用于各类水利工程施工项目，包括水库、渠道、泵站、堤防及相关配套设施的建设。通过规范施工用水管理、推广节水技术和建立监控机制，有助于降低施工用水量、提高资源利用率，并为水利工程绿色施工和生态文明建设提供技术支撑。</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水利工程施工水资源高效利用准则</w:t>
          </w:r>
        </w:p>
      </w:sdtContent>
    </w:sdt>
    <w:bookmarkEnd w:id="27"/>
    <w:p w14:paraId="153BF6ED">
      <w:pPr>
        <w:pStyle w:val="104"/>
        <w:spacing w:before="240" w:after="240" w:line="360" w:lineRule="auto"/>
      </w:pPr>
      <w:bookmarkStart w:id="28" w:name="_Toc26986530"/>
      <w:bookmarkStart w:id="29" w:name="_Toc26648465"/>
      <w:bookmarkStart w:id="30" w:name="_Toc97192964"/>
      <w:bookmarkStart w:id="31" w:name="_Toc17233325"/>
      <w:bookmarkStart w:id="32" w:name="_Toc17233333"/>
      <w:bookmarkStart w:id="33" w:name="_Toc24884211"/>
      <w:bookmarkStart w:id="34" w:name="_Toc26718930"/>
      <w:bookmarkStart w:id="35" w:name="_Toc209908649"/>
      <w:bookmarkStart w:id="36" w:name="_Toc24884218"/>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007300DC">
      <w:pPr>
        <w:pStyle w:val="56"/>
        <w:spacing w:line="360" w:lineRule="auto"/>
        <w:ind w:firstLine="420"/>
      </w:pPr>
      <w:bookmarkStart w:id="38" w:name="_Toc24884219"/>
      <w:bookmarkStart w:id="39" w:name="_Toc17233326"/>
      <w:bookmarkStart w:id="40" w:name="_Toc24884212"/>
      <w:bookmarkStart w:id="41" w:name="_Toc26648466"/>
      <w:bookmarkStart w:id="42" w:name="_Toc17233334"/>
      <w:r>
        <w:rPr>
          <w:rFonts w:hint="eastAsia"/>
        </w:rPr>
        <w:t>本文件规定了水利工程施工中的施工用水管理与操作要求、施工过程监控与绩效评价、施工用水风险管理与应急措施及创新与推广应用等内容。</w:t>
      </w:r>
    </w:p>
    <w:p w14:paraId="56F4A21B">
      <w:pPr>
        <w:pStyle w:val="56"/>
        <w:spacing w:line="360" w:lineRule="auto"/>
        <w:ind w:firstLine="420"/>
      </w:pPr>
      <w:r>
        <w:rPr>
          <w:rFonts w:hint="eastAsia"/>
        </w:rPr>
        <w:t>本文件适用于水利工程施工阶段水资源的高效利用管理，涵盖水库、渠道、泵站、堤防及相关配套设施等各类水利工程施工项目。</w:t>
      </w:r>
    </w:p>
    <w:p w14:paraId="1F7FEEB2">
      <w:pPr>
        <w:pStyle w:val="104"/>
        <w:spacing w:before="240" w:after="240" w:line="360" w:lineRule="auto"/>
      </w:pPr>
      <w:bookmarkStart w:id="43" w:name="_Toc26718931"/>
      <w:bookmarkStart w:id="44" w:name="_Toc97192965"/>
      <w:bookmarkStart w:id="45" w:name="_Toc26986531"/>
      <w:bookmarkStart w:id="46" w:name="_Toc209908650"/>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B9151">
      <w:pPr>
        <w:pStyle w:val="56"/>
        <w:spacing w:line="360" w:lineRule="auto"/>
        <w:ind w:firstLine="420"/>
      </w:pPr>
      <w:r>
        <w:t>GB 50501</w:t>
      </w:r>
      <w:r>
        <w:rPr>
          <w:rFonts w:hint="eastAsia"/>
        </w:rPr>
        <w:t>—</w:t>
      </w:r>
      <w:r>
        <w:t xml:space="preserve">2007 </w:t>
      </w:r>
      <w:r>
        <w:rPr>
          <w:rFonts w:hint="eastAsia"/>
        </w:rPr>
        <w:t>水利工程工程量清单计价规范</w:t>
      </w:r>
    </w:p>
    <w:p w14:paraId="37BA80D0">
      <w:pPr>
        <w:pStyle w:val="56"/>
        <w:spacing w:line="360" w:lineRule="auto"/>
        <w:ind w:firstLine="420"/>
      </w:pPr>
      <w:r>
        <w:rPr>
          <w:rFonts w:hint="eastAsia"/>
        </w:rPr>
        <w:t>GB/T 1.1—2020 标准化工作导则  第1部分:标准化文件的结构和起草规则</w:t>
      </w:r>
    </w:p>
    <w:p w14:paraId="6962992E">
      <w:pPr>
        <w:pStyle w:val="104"/>
        <w:spacing w:before="240" w:after="240" w:line="360" w:lineRule="auto"/>
      </w:pPr>
      <w:bookmarkStart w:id="48" w:name="_Toc209908651"/>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65BD748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施工用水 construction water</w:t>
      </w:r>
    </w:p>
    <w:p w14:paraId="302BF705">
      <w:pPr>
        <w:pStyle w:val="56"/>
        <w:spacing w:line="360" w:lineRule="auto"/>
        <w:ind w:firstLine="420"/>
        <w:rPr>
          <w:rFonts w:hint="eastAsia"/>
        </w:rPr>
      </w:pPr>
      <w:r>
        <w:rPr>
          <w:rFonts w:hint="eastAsia"/>
        </w:rPr>
        <w:t>指在水利工程施工过程中，为满足施工生产、材料加工、设备运行及施工现场管理等需要而使用的水资源。</w:t>
      </w:r>
    </w:p>
    <w:p w14:paraId="05647A6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水资源高效利用 efficient use of water resources</w:t>
      </w:r>
    </w:p>
    <w:p w14:paraId="7AB985C7">
      <w:pPr>
        <w:pStyle w:val="56"/>
        <w:spacing w:line="360" w:lineRule="auto"/>
        <w:ind w:firstLine="420"/>
        <w:rPr>
          <w:rFonts w:hint="eastAsia"/>
        </w:rPr>
      </w:pPr>
      <w:r>
        <w:rPr>
          <w:rFonts w:hint="eastAsia"/>
        </w:rPr>
        <w:t>通过科学管理、技术优化和循环利用等措施，最大限度地提高施工用水效率，减少水浪费和环境影响。</w:t>
      </w:r>
    </w:p>
    <w:p w14:paraId="648EDB7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用水计划 water use plan</w:t>
      </w:r>
    </w:p>
    <w:p w14:paraId="57866E8C">
      <w:pPr>
        <w:pStyle w:val="56"/>
        <w:spacing w:line="360" w:lineRule="auto"/>
        <w:ind w:firstLine="420"/>
        <w:rPr>
          <w:rFonts w:hint="eastAsia"/>
        </w:rPr>
      </w:pPr>
      <w:r>
        <w:rPr>
          <w:rFonts w:hint="eastAsia"/>
        </w:rPr>
        <w:t>施工单位根据工程规模、施工进度及水资源供给条件制定的用水安排，包括用水量、用水时间、用水分配和水源管理等内容。</w:t>
      </w:r>
    </w:p>
    <w:p w14:paraId="0772324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水循环利用 water recycling</w:t>
      </w:r>
    </w:p>
    <w:p w14:paraId="42FF3524">
      <w:pPr>
        <w:pStyle w:val="56"/>
        <w:spacing w:line="360" w:lineRule="auto"/>
        <w:ind w:firstLine="420"/>
        <w:rPr>
          <w:rFonts w:hint="eastAsia"/>
        </w:rPr>
      </w:pPr>
      <w:r>
        <w:rPr>
          <w:rFonts w:hint="eastAsia"/>
        </w:rPr>
        <w:t>施工过程中通过收集、处理和再利用废水或雨水，实现水资源的多次使用，减少新水取用和排放压力。</w:t>
      </w:r>
    </w:p>
    <w:p w14:paraId="36E7BC2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废水处理 wastewater treatment</w:t>
      </w:r>
    </w:p>
    <w:p w14:paraId="73295BEF">
      <w:pPr>
        <w:pStyle w:val="56"/>
        <w:spacing w:line="360" w:lineRule="auto"/>
        <w:ind w:firstLine="420"/>
        <w:rPr>
          <w:rFonts w:hint="eastAsia"/>
        </w:rPr>
      </w:pPr>
      <w:r>
        <w:rPr>
          <w:rFonts w:hint="eastAsia"/>
        </w:rPr>
        <w:t>对施工过程中产生的废水进行物理、化学或生物处理，使其达到排放标准或可回用标准，降低对环境的影响。</w:t>
      </w:r>
    </w:p>
    <w:p w14:paraId="12E1C50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用水控制 water use control</w:t>
      </w:r>
    </w:p>
    <w:p w14:paraId="7A4FFAEC">
      <w:pPr>
        <w:pStyle w:val="56"/>
        <w:spacing w:line="360" w:lineRule="auto"/>
        <w:ind w:firstLine="420"/>
        <w:rPr>
          <w:rFonts w:hint="eastAsia"/>
        </w:rPr>
      </w:pPr>
      <w:r>
        <w:rPr>
          <w:rFonts w:hint="eastAsia"/>
        </w:rPr>
        <w:t>通过监测、调度和管理措施，对施工现场用水行为进行规范，确保用水量和用水效率符合计划要求。</w:t>
      </w:r>
    </w:p>
    <w:p w14:paraId="44669681">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水量监控 water monitoring</w:t>
      </w:r>
    </w:p>
    <w:p w14:paraId="12062132">
      <w:pPr>
        <w:pStyle w:val="56"/>
        <w:spacing w:line="360" w:lineRule="auto"/>
        <w:ind w:firstLine="420"/>
      </w:pPr>
      <w:r>
        <w:rPr>
          <w:rFonts w:hint="eastAsia"/>
        </w:rPr>
        <w:t>利用仪器设备和信息系统对施工现场的用水量、用水时间和水质进行实时监测，为水资源管理和决策提供数据支持。</w:t>
      </w:r>
    </w:p>
    <w:p w14:paraId="4F4551B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节水技术 water-saving technology</w:t>
      </w:r>
    </w:p>
    <w:p w14:paraId="315BF29B">
      <w:pPr>
        <w:pStyle w:val="56"/>
        <w:spacing w:line="360" w:lineRule="auto"/>
        <w:ind w:firstLine="420"/>
        <w:rPr>
          <w:rFonts w:hint="eastAsia"/>
        </w:rPr>
      </w:pPr>
      <w:r>
        <w:rPr>
          <w:rFonts w:hint="eastAsia"/>
        </w:rPr>
        <w:t>指施工过程中采用的各种技术措施和设备，包括高效泵送、雨水收集、循环水系统、节水施工工艺等，以降低施工用水消耗。</w:t>
      </w:r>
    </w:p>
    <w:p w14:paraId="1F1D7F51">
      <w:pPr>
        <w:pStyle w:val="104"/>
        <w:spacing w:before="240" w:after="240" w:line="360" w:lineRule="auto"/>
        <w:rPr>
          <w:rFonts w:hint="eastAsia"/>
        </w:rPr>
      </w:pPr>
      <w:bookmarkStart w:id="51" w:name="_Toc209908652"/>
      <w:r>
        <w:rPr>
          <w:rFonts w:hint="eastAsia"/>
        </w:rPr>
        <w:t>总体原则</w:t>
      </w:r>
      <w:bookmarkEnd w:id="51"/>
    </w:p>
    <w:p w14:paraId="19CDBA1E">
      <w:pPr>
        <w:pStyle w:val="105"/>
        <w:spacing w:before="120" w:after="120" w:line="360" w:lineRule="auto"/>
        <w:rPr>
          <w:rFonts w:hint="eastAsia"/>
        </w:rPr>
      </w:pPr>
      <w:r>
        <w:rPr>
          <w:rFonts w:hint="eastAsia"/>
        </w:rPr>
        <w:t>安全与可持续并重</w:t>
      </w:r>
    </w:p>
    <w:p w14:paraId="0469CF65">
      <w:pPr>
        <w:pStyle w:val="56"/>
        <w:spacing w:line="360" w:lineRule="auto"/>
        <w:ind w:firstLine="420"/>
        <w:rPr>
          <w:rFonts w:hint="eastAsia"/>
        </w:rPr>
      </w:pPr>
      <w:r>
        <w:rPr>
          <w:rFonts w:hint="eastAsia"/>
        </w:rPr>
        <w:t>施工用水管理应以保障工程安全和施工质量为前提，同时注重水资源的可持续利用。施工过程中应综合考虑工程进度、施工工艺、环境保护和节水要求，确保在满足施工需求的前提下最大限度减少水资源消耗。</w:t>
      </w:r>
    </w:p>
    <w:p w14:paraId="18E96A2E">
      <w:pPr>
        <w:pStyle w:val="105"/>
        <w:spacing w:before="120" w:after="120" w:line="360" w:lineRule="auto"/>
        <w:rPr>
          <w:rFonts w:hint="eastAsia"/>
        </w:rPr>
      </w:pPr>
      <w:r>
        <w:rPr>
          <w:rFonts w:hint="eastAsia"/>
        </w:rPr>
        <w:t>科学规划与精细管理</w:t>
      </w:r>
    </w:p>
    <w:p w14:paraId="4D9B1F48">
      <w:pPr>
        <w:pStyle w:val="56"/>
        <w:spacing w:line="360" w:lineRule="auto"/>
        <w:ind w:firstLine="420"/>
        <w:rPr>
          <w:rFonts w:hint="eastAsia"/>
        </w:rPr>
      </w:pPr>
      <w:r>
        <w:rPr>
          <w:rFonts w:hint="eastAsia"/>
        </w:rPr>
        <w:t>施工单位应根据工程规模、施工周期、施工工艺和水资源条件，制定科学的用水计划和管理方案。通过分区分阶段管理、定额控制和实时调度，实现施工现场用水的精细化管理，提高水利用效率。</w:t>
      </w:r>
    </w:p>
    <w:p w14:paraId="0B75AD21">
      <w:pPr>
        <w:pStyle w:val="105"/>
        <w:spacing w:before="120" w:after="120" w:line="360" w:lineRule="auto"/>
        <w:rPr>
          <w:rFonts w:hint="eastAsia"/>
        </w:rPr>
      </w:pPr>
      <w:r>
        <w:rPr>
          <w:rFonts w:hint="eastAsia"/>
        </w:rPr>
        <w:t>全流程控制</w:t>
      </w:r>
    </w:p>
    <w:p w14:paraId="3C7F8C54">
      <w:pPr>
        <w:pStyle w:val="56"/>
        <w:spacing w:line="360" w:lineRule="auto"/>
        <w:ind w:firstLine="420"/>
        <w:rPr>
          <w:rFonts w:hint="eastAsia"/>
        </w:rPr>
      </w:pPr>
      <w:r>
        <w:rPr>
          <w:rFonts w:hint="eastAsia"/>
        </w:rPr>
        <w:t>水资源高效利用应覆盖施工全过程，包括水源获取、运输、储存、使用、循环利用及废水处理等环节。施工单位应建立全过程监控和管理机制，对各环节进行量化管理和质量控制，确保用水行为符合节水规范和施工要求。</w:t>
      </w:r>
    </w:p>
    <w:p w14:paraId="54F83914">
      <w:pPr>
        <w:pStyle w:val="105"/>
        <w:spacing w:before="120" w:after="120" w:line="360" w:lineRule="auto"/>
        <w:rPr>
          <w:rFonts w:hint="eastAsia"/>
        </w:rPr>
      </w:pPr>
      <w:r>
        <w:rPr>
          <w:rFonts w:hint="eastAsia"/>
        </w:rPr>
        <w:t>循环利用与节水技术推广</w:t>
      </w:r>
    </w:p>
    <w:p w14:paraId="51B2A16F">
      <w:pPr>
        <w:pStyle w:val="56"/>
        <w:spacing w:line="360" w:lineRule="auto"/>
        <w:ind w:firstLine="420"/>
        <w:rPr>
          <w:rFonts w:hint="eastAsia"/>
        </w:rPr>
      </w:pPr>
      <w:r>
        <w:rPr>
          <w:rFonts w:hint="eastAsia"/>
        </w:rPr>
        <w:t>施工过程中应优先采用循环利用技术，对施工用水、雨水及处理后的废水进行收集和再利用，减少新水取用。同时，应推广高效泵送、节水施工工艺、智能用水监控等节水技术，提高水资源使用效率。</w:t>
      </w:r>
    </w:p>
    <w:p w14:paraId="7E0BC6DC">
      <w:pPr>
        <w:pStyle w:val="105"/>
        <w:spacing w:before="120" w:after="120" w:line="360" w:lineRule="auto"/>
        <w:rPr>
          <w:rFonts w:hint="eastAsia"/>
        </w:rPr>
      </w:pPr>
      <w:r>
        <w:rPr>
          <w:rFonts w:hint="eastAsia"/>
        </w:rPr>
        <w:t>环境保护与法规遵循</w:t>
      </w:r>
    </w:p>
    <w:p w14:paraId="24D8EE71">
      <w:pPr>
        <w:pStyle w:val="56"/>
        <w:spacing w:line="360" w:lineRule="auto"/>
        <w:ind w:firstLine="420"/>
        <w:rPr>
          <w:rFonts w:hint="eastAsia"/>
        </w:rPr>
      </w:pPr>
      <w:r>
        <w:rPr>
          <w:rFonts w:hint="eastAsia"/>
        </w:rPr>
        <w:t>施工用水管理应遵循国家和地方水资源管理法规、排放标准和环保要求。对施工废水应进行必要处理，确保水质达到排放或回用标准，避免对环境和生态造成不利影响。</w:t>
      </w:r>
    </w:p>
    <w:p w14:paraId="0874859C">
      <w:pPr>
        <w:pStyle w:val="105"/>
        <w:spacing w:before="120" w:after="120" w:line="360" w:lineRule="auto"/>
        <w:rPr>
          <w:rFonts w:hint="eastAsia"/>
        </w:rPr>
      </w:pPr>
      <w:r>
        <w:rPr>
          <w:rFonts w:hint="eastAsia"/>
        </w:rPr>
        <w:t>信息化管理与数据支撑</w:t>
      </w:r>
    </w:p>
    <w:p w14:paraId="79365483">
      <w:pPr>
        <w:pStyle w:val="56"/>
        <w:spacing w:line="360" w:lineRule="auto"/>
        <w:ind w:firstLine="420"/>
        <w:rPr>
          <w:rFonts w:hint="eastAsia"/>
        </w:rPr>
      </w:pPr>
      <w:r>
        <w:rPr>
          <w:rFonts w:hint="eastAsia"/>
        </w:rPr>
        <w:t>施工用水管理应结合信息化手段，对用水量、用水效率、循环利用率及废水处理情况进行实时监控和数据记录，为施工管理决策、节水绩效评价和审计提供可靠依据。</w:t>
      </w:r>
    </w:p>
    <w:p w14:paraId="3E8131FC">
      <w:pPr>
        <w:pStyle w:val="105"/>
        <w:spacing w:before="120" w:after="120" w:line="360" w:lineRule="auto"/>
        <w:rPr>
          <w:rFonts w:hint="eastAsia"/>
        </w:rPr>
      </w:pPr>
      <w:r>
        <w:rPr>
          <w:rFonts w:hint="eastAsia"/>
        </w:rPr>
        <w:t>持续改进与绩效评价</w:t>
      </w:r>
    </w:p>
    <w:p w14:paraId="50281D38">
      <w:pPr>
        <w:pStyle w:val="56"/>
        <w:spacing w:line="360" w:lineRule="auto"/>
        <w:ind w:firstLine="420"/>
      </w:pPr>
      <w:r>
        <w:rPr>
          <w:rFonts w:hint="eastAsia"/>
        </w:rPr>
        <w:t>施工单位应建立用水管理绩效评价体系，定期总结用水效率、节水效果和管理经验，不断优化用水方案和管理措施，实现施工水资源高效利用的持续改进。</w:t>
      </w:r>
    </w:p>
    <w:p w14:paraId="3C5D1F21">
      <w:pPr>
        <w:pStyle w:val="104"/>
        <w:spacing w:before="240" w:after="240" w:line="360" w:lineRule="auto"/>
        <w:rPr>
          <w:rFonts w:hint="eastAsia"/>
        </w:rPr>
      </w:pPr>
      <w:bookmarkStart w:id="52" w:name="_Toc209908653"/>
      <w:r>
        <w:rPr>
          <w:rFonts w:hint="eastAsia"/>
        </w:rPr>
        <w:t>施工用水管理与操作要求</w:t>
      </w:r>
      <w:bookmarkEnd w:id="52"/>
    </w:p>
    <w:p w14:paraId="5CA896F6">
      <w:pPr>
        <w:pStyle w:val="105"/>
        <w:spacing w:before="120" w:after="120" w:line="360" w:lineRule="auto"/>
        <w:rPr>
          <w:rFonts w:hint="eastAsia"/>
        </w:rPr>
      </w:pPr>
      <w:r>
        <w:rPr>
          <w:rFonts w:hint="eastAsia"/>
        </w:rPr>
        <w:t>水源管理</w:t>
      </w:r>
    </w:p>
    <w:p w14:paraId="4AB432F5">
      <w:pPr>
        <w:pStyle w:val="56"/>
        <w:spacing w:line="360" w:lineRule="auto"/>
        <w:ind w:firstLine="420"/>
        <w:rPr>
          <w:rFonts w:hint="eastAsia"/>
        </w:rPr>
      </w:pPr>
      <w:r>
        <w:rPr>
          <w:rFonts w:hint="eastAsia"/>
        </w:rPr>
        <w:t>施工单位应根据工程实际情况选择合理的水源，包括市政供水、地表水、地下水和雨水收集等。水源选取应符合当地水资源管理规定，并考虑水质、供水稳定性及可持续利用性。施工现场应建立水源点管理制度，对取水量、取水时间和水质进行记录和监控，确保施工用水安全和高效。</w:t>
      </w:r>
    </w:p>
    <w:p w14:paraId="57E50BC4">
      <w:pPr>
        <w:pStyle w:val="105"/>
        <w:spacing w:before="120" w:after="120" w:line="360" w:lineRule="auto"/>
        <w:rPr>
          <w:rFonts w:hint="eastAsia"/>
        </w:rPr>
      </w:pPr>
      <w:r>
        <w:rPr>
          <w:rFonts w:hint="eastAsia"/>
        </w:rPr>
        <w:t>用水量控制</w:t>
      </w:r>
    </w:p>
    <w:p w14:paraId="090147A2">
      <w:pPr>
        <w:pStyle w:val="56"/>
        <w:spacing w:line="360" w:lineRule="auto"/>
        <w:ind w:firstLine="420"/>
        <w:rPr>
          <w:rFonts w:hint="eastAsia"/>
        </w:rPr>
      </w:pPr>
      <w:r>
        <w:rPr>
          <w:rFonts w:hint="eastAsia"/>
        </w:rPr>
        <w:t>施工单位应根据用水计划和施工进度，科学确定各施工工序的用水量。应建立用水定额制度，对不同施工环节实施定量管理，避免浪费。对于高耗水环节，如混凝土搅拌、材料冲洗、降尘和施工机具冷却等，应采取优化工艺和技术改进措施，降低用水消耗。</w:t>
      </w:r>
    </w:p>
    <w:p w14:paraId="6E94B5C4">
      <w:pPr>
        <w:pStyle w:val="105"/>
        <w:spacing w:before="120" w:after="120" w:line="360" w:lineRule="auto"/>
        <w:rPr>
          <w:rFonts w:hint="eastAsia"/>
        </w:rPr>
      </w:pPr>
      <w:r>
        <w:rPr>
          <w:rFonts w:hint="eastAsia"/>
        </w:rPr>
        <w:t>循环水利用</w:t>
      </w:r>
    </w:p>
    <w:p w14:paraId="5A0E15FD">
      <w:pPr>
        <w:pStyle w:val="56"/>
        <w:spacing w:line="360" w:lineRule="auto"/>
        <w:ind w:firstLine="420"/>
        <w:rPr>
          <w:rFonts w:hint="eastAsia"/>
        </w:rPr>
      </w:pPr>
      <w:r>
        <w:rPr>
          <w:rFonts w:hint="eastAsia"/>
        </w:rPr>
        <w:t>施工过程中，应尽可能采用循环用水系统，对可回收的废水、沉淀水和雨水进行收集、处理和再利用。循环水系统应设计合理，确保水质符合施工使用要求，管网和储水设施应定期检查和维护，避免水体泄漏或二次污染。</w:t>
      </w:r>
    </w:p>
    <w:p w14:paraId="4E3547BA">
      <w:pPr>
        <w:pStyle w:val="105"/>
        <w:spacing w:before="120" w:after="120" w:line="360" w:lineRule="auto"/>
        <w:rPr>
          <w:rFonts w:hint="eastAsia"/>
        </w:rPr>
      </w:pPr>
      <w:r>
        <w:rPr>
          <w:rFonts w:hint="eastAsia"/>
        </w:rPr>
        <w:t>废水处理</w:t>
      </w:r>
    </w:p>
    <w:p w14:paraId="6D0D9172">
      <w:pPr>
        <w:pStyle w:val="56"/>
        <w:spacing w:line="360" w:lineRule="auto"/>
        <w:ind w:firstLine="420"/>
        <w:rPr>
          <w:rFonts w:hint="eastAsia"/>
        </w:rPr>
      </w:pPr>
      <w:r>
        <w:rPr>
          <w:rFonts w:hint="eastAsia"/>
        </w:rPr>
        <w:t>施工过程中产生的废水应进行分类处理，包括泥水、化学废水和生活污水。应采用物理沉淀、化学处理或生物处理等方法，使废水达到排放标准或可回用标准。废水处理设施应配备监测装置，实时检测处理效果，确保环境安全。</w:t>
      </w:r>
    </w:p>
    <w:p w14:paraId="3B66014B">
      <w:pPr>
        <w:pStyle w:val="105"/>
        <w:spacing w:before="120" w:after="120" w:line="360" w:lineRule="auto"/>
        <w:rPr>
          <w:rFonts w:hint="eastAsia"/>
        </w:rPr>
      </w:pPr>
      <w:r>
        <w:rPr>
          <w:rFonts w:hint="eastAsia"/>
        </w:rPr>
        <w:t>施工现场监控</w:t>
      </w:r>
    </w:p>
    <w:p w14:paraId="534C5CEE">
      <w:pPr>
        <w:pStyle w:val="56"/>
        <w:spacing w:line="360" w:lineRule="auto"/>
        <w:ind w:firstLine="420"/>
        <w:rPr>
          <w:rFonts w:hint="eastAsia"/>
        </w:rPr>
      </w:pPr>
      <w:r>
        <w:rPr>
          <w:rFonts w:hint="eastAsia"/>
        </w:rPr>
        <w:t>施工现场应建立用水监控系统，对用水量、用水效率、循环利用率和废水排放情况进行实时监测。监控系统应提供数据记录和分析功能，为施工管理人员及时调整用水策略提供依据。</w:t>
      </w:r>
    </w:p>
    <w:p w14:paraId="1DFC1FEF">
      <w:pPr>
        <w:pStyle w:val="105"/>
        <w:spacing w:before="120" w:after="120" w:line="360" w:lineRule="auto"/>
        <w:rPr>
          <w:rFonts w:hint="eastAsia"/>
        </w:rPr>
      </w:pPr>
      <w:r>
        <w:rPr>
          <w:rFonts w:hint="eastAsia"/>
        </w:rPr>
        <w:t>节水技术应用</w:t>
      </w:r>
    </w:p>
    <w:p w14:paraId="6C61E15F">
      <w:pPr>
        <w:pStyle w:val="56"/>
        <w:spacing w:line="360" w:lineRule="auto"/>
        <w:ind w:firstLine="420"/>
        <w:rPr>
          <w:rFonts w:hint="eastAsia"/>
        </w:rPr>
      </w:pPr>
      <w:r>
        <w:rPr>
          <w:rFonts w:hint="eastAsia"/>
        </w:rPr>
        <w:t>施工单位应推广和应用高效节水技术，包括智能化用水调度、节水施工工艺、高效泵送设备、雨水收集系统等。对于关键耗水工序，应进行技术改造和优化，提高用水效率，降低施工成本和环境压力。</w:t>
      </w:r>
    </w:p>
    <w:p w14:paraId="39E8D36F">
      <w:pPr>
        <w:pStyle w:val="105"/>
        <w:spacing w:before="120" w:after="120" w:line="360" w:lineRule="auto"/>
        <w:rPr>
          <w:rFonts w:hint="eastAsia"/>
        </w:rPr>
      </w:pPr>
      <w:r>
        <w:rPr>
          <w:rFonts w:hint="eastAsia"/>
        </w:rPr>
        <w:t>用水管理制度与责任</w:t>
      </w:r>
    </w:p>
    <w:p w14:paraId="34040E69">
      <w:pPr>
        <w:pStyle w:val="56"/>
        <w:spacing w:line="360" w:lineRule="auto"/>
        <w:ind w:firstLine="420"/>
        <w:rPr>
          <w:rFonts w:hint="eastAsia"/>
        </w:rPr>
      </w:pPr>
      <w:r>
        <w:rPr>
          <w:rFonts w:hint="eastAsia"/>
        </w:rPr>
        <w:t>施工单位应建立完善的用水管理制度，明确各级管理人员、施工班组和操作人员的责任。对违反用水管理规定或浪费水资源的行为，应采取整改措施，并进行记录和考核，确保责任落实到位。</w:t>
      </w:r>
    </w:p>
    <w:p w14:paraId="7AA20F6E">
      <w:pPr>
        <w:pStyle w:val="105"/>
        <w:spacing w:before="120" w:after="120" w:line="360" w:lineRule="auto"/>
        <w:rPr>
          <w:rFonts w:hint="eastAsia"/>
        </w:rPr>
      </w:pPr>
      <w:r>
        <w:rPr>
          <w:rFonts w:hint="eastAsia"/>
        </w:rPr>
        <w:t>培训与宣传</w:t>
      </w:r>
    </w:p>
    <w:p w14:paraId="39C1DFEE">
      <w:pPr>
        <w:pStyle w:val="56"/>
        <w:spacing w:line="360" w:lineRule="auto"/>
        <w:ind w:firstLine="420"/>
      </w:pPr>
      <w:r>
        <w:rPr>
          <w:rFonts w:hint="eastAsia"/>
        </w:rPr>
        <w:t>施工单位应定期对施工人员进行水资源管理和节水意识培训，提高全员节水意识和操作技能。通过培训和宣传，确保节水技术、管理制度和操作规范在施工现场得到有效执行。</w:t>
      </w:r>
    </w:p>
    <w:p w14:paraId="75CD0E3B">
      <w:pPr>
        <w:pStyle w:val="104"/>
        <w:spacing w:before="240" w:after="240" w:line="360" w:lineRule="auto"/>
        <w:rPr>
          <w:rFonts w:hint="eastAsia"/>
        </w:rPr>
      </w:pPr>
      <w:bookmarkStart w:id="53" w:name="_Toc209908654"/>
      <w:r>
        <w:rPr>
          <w:rFonts w:hint="eastAsia"/>
        </w:rPr>
        <w:t>施工过程监控与绩效评价</w:t>
      </w:r>
      <w:bookmarkEnd w:id="53"/>
    </w:p>
    <w:p w14:paraId="019C8BD4">
      <w:pPr>
        <w:pStyle w:val="105"/>
        <w:spacing w:before="120" w:after="120" w:line="360" w:lineRule="auto"/>
        <w:rPr>
          <w:rFonts w:hint="eastAsia"/>
        </w:rPr>
      </w:pPr>
      <w:r>
        <w:rPr>
          <w:rFonts w:hint="eastAsia"/>
        </w:rPr>
        <w:t>实时监控</w:t>
      </w:r>
    </w:p>
    <w:p w14:paraId="6DACEF52">
      <w:pPr>
        <w:pStyle w:val="56"/>
        <w:spacing w:line="360" w:lineRule="auto"/>
        <w:ind w:firstLine="420"/>
        <w:rPr>
          <w:rFonts w:hint="eastAsia"/>
        </w:rPr>
      </w:pPr>
      <w:r>
        <w:rPr>
          <w:rFonts w:hint="eastAsia"/>
        </w:rPr>
        <w:t>施工单位应建立覆盖全施工现场的用水实时监控系统，对各施工工序、循环水系统及废水处理设施的用水量、水质、流量和压力进行动态监测。实时监控应与用水计划结合，及时发现异常情况，如用水超标、循环水损失或废水处理不达标，并采取纠正措施。</w:t>
      </w:r>
    </w:p>
    <w:p w14:paraId="4E61DA56">
      <w:pPr>
        <w:pStyle w:val="105"/>
        <w:spacing w:before="120" w:after="120" w:line="360" w:lineRule="auto"/>
        <w:rPr>
          <w:rFonts w:hint="eastAsia"/>
        </w:rPr>
      </w:pPr>
      <w:r>
        <w:rPr>
          <w:rFonts w:hint="eastAsia"/>
        </w:rPr>
        <w:t>数据采集与分析</w:t>
      </w:r>
    </w:p>
    <w:p w14:paraId="1B01E6EB">
      <w:pPr>
        <w:pStyle w:val="56"/>
        <w:spacing w:line="360" w:lineRule="auto"/>
        <w:ind w:firstLine="420"/>
        <w:rPr>
          <w:rFonts w:hint="eastAsia"/>
        </w:rPr>
      </w:pPr>
      <w:r>
        <w:rPr>
          <w:rFonts w:hint="eastAsia"/>
        </w:rPr>
        <w:t>施工现场应对所有用水数据进行自动化采集，包括市政供水、地表水、地下水、雨水收集及循环水利用情况。采集的数据应定期进行统计分析，评估施工用水效率、循环水利用率及节水技术应用效果，为管理决策提供数据支持。</w:t>
      </w:r>
    </w:p>
    <w:p w14:paraId="4D8BAF48">
      <w:pPr>
        <w:pStyle w:val="105"/>
        <w:spacing w:before="120" w:after="120" w:line="360" w:lineRule="auto"/>
        <w:rPr>
          <w:rFonts w:hint="eastAsia"/>
        </w:rPr>
      </w:pPr>
      <w:r>
        <w:rPr>
          <w:rFonts w:hint="eastAsia"/>
        </w:rPr>
        <w:t>绩效指标</w:t>
      </w:r>
    </w:p>
    <w:p w14:paraId="02D028EA">
      <w:pPr>
        <w:pStyle w:val="56"/>
        <w:spacing w:line="360" w:lineRule="auto"/>
        <w:ind w:firstLine="420"/>
        <w:rPr>
          <w:rFonts w:hint="eastAsia"/>
        </w:rPr>
      </w:pPr>
      <w:r>
        <w:rPr>
          <w:rFonts w:hint="eastAsia"/>
        </w:rPr>
        <w:t>施工用水绩效评价应建立科学的指标体系，主要包括：</w:t>
      </w:r>
    </w:p>
    <w:p w14:paraId="4B753AA5">
      <w:pPr>
        <w:pStyle w:val="132"/>
        <w:spacing w:line="360" w:lineRule="auto"/>
        <w:rPr>
          <w:rFonts w:hint="eastAsia"/>
        </w:rPr>
      </w:pPr>
      <w:r>
        <w:rPr>
          <w:rFonts w:hint="eastAsia"/>
        </w:rPr>
        <w:t>单位工程用水量（m³/工程量）；</w:t>
      </w:r>
    </w:p>
    <w:p w14:paraId="1F25C0CC">
      <w:pPr>
        <w:pStyle w:val="132"/>
        <w:spacing w:line="360" w:lineRule="auto"/>
        <w:rPr>
          <w:rFonts w:hint="eastAsia"/>
        </w:rPr>
      </w:pPr>
      <w:r>
        <w:rPr>
          <w:rFonts w:hint="eastAsia"/>
        </w:rPr>
        <w:t>循环水利用率（%）；</w:t>
      </w:r>
    </w:p>
    <w:p w14:paraId="7CDB765D">
      <w:pPr>
        <w:pStyle w:val="132"/>
        <w:spacing w:line="360" w:lineRule="auto"/>
        <w:rPr>
          <w:rFonts w:hint="eastAsia"/>
        </w:rPr>
      </w:pPr>
      <w:r>
        <w:rPr>
          <w:rFonts w:hint="eastAsia"/>
        </w:rPr>
        <w:t>废水达标排放率（%）；</w:t>
      </w:r>
    </w:p>
    <w:p w14:paraId="0A848470">
      <w:pPr>
        <w:pStyle w:val="132"/>
        <w:spacing w:line="360" w:lineRule="auto"/>
        <w:rPr>
          <w:rFonts w:hint="eastAsia"/>
        </w:rPr>
      </w:pPr>
      <w:r>
        <w:rPr>
          <w:rFonts w:hint="eastAsia"/>
        </w:rPr>
        <w:t>节水措施应用覆盖率（%）；</w:t>
      </w:r>
    </w:p>
    <w:p w14:paraId="6A461AB1">
      <w:pPr>
        <w:pStyle w:val="132"/>
        <w:spacing w:line="360" w:lineRule="auto"/>
        <w:rPr>
          <w:rFonts w:hint="eastAsia"/>
        </w:rPr>
      </w:pPr>
      <w:r>
        <w:rPr>
          <w:rFonts w:hint="eastAsia"/>
        </w:rPr>
        <w:t>用水成本控制情况。</w:t>
      </w:r>
    </w:p>
    <w:p w14:paraId="6DB36902">
      <w:pPr>
        <w:pStyle w:val="56"/>
        <w:spacing w:line="360" w:lineRule="auto"/>
        <w:ind w:firstLine="420"/>
        <w:rPr>
          <w:rFonts w:hint="eastAsia"/>
        </w:rPr>
      </w:pPr>
      <w:r>
        <w:rPr>
          <w:rFonts w:hint="eastAsia"/>
        </w:rPr>
        <w:t>通过指标评价施工过程中的节水水平和管理效果，为施工优化和改进提供依据。</w:t>
      </w:r>
    </w:p>
    <w:p w14:paraId="53E67DB2">
      <w:pPr>
        <w:pStyle w:val="105"/>
        <w:spacing w:before="120" w:after="120" w:line="360" w:lineRule="auto"/>
        <w:rPr>
          <w:rFonts w:hint="eastAsia"/>
        </w:rPr>
      </w:pPr>
      <w:r>
        <w:rPr>
          <w:rFonts w:hint="eastAsia"/>
        </w:rPr>
        <w:t>定期检查与审核</w:t>
      </w:r>
    </w:p>
    <w:p w14:paraId="4C70F220">
      <w:pPr>
        <w:pStyle w:val="56"/>
        <w:spacing w:line="360" w:lineRule="auto"/>
        <w:ind w:firstLine="420"/>
        <w:rPr>
          <w:rFonts w:hint="eastAsia"/>
        </w:rPr>
      </w:pPr>
      <w:r>
        <w:rPr>
          <w:rFonts w:hint="eastAsia"/>
        </w:rPr>
        <w:t>施工单位应定期组织用水检查和绩效审核，对监控系统记录、用水数据、循环利用情况及废水处理效果进行全面检查。发现问题应立即整改，并形成检查报告，为后续施工和管理提供依据。</w:t>
      </w:r>
    </w:p>
    <w:p w14:paraId="05325056">
      <w:pPr>
        <w:pStyle w:val="105"/>
        <w:spacing w:before="120" w:after="120" w:line="360" w:lineRule="auto"/>
        <w:rPr>
          <w:rFonts w:hint="eastAsia"/>
        </w:rPr>
      </w:pPr>
      <w:r>
        <w:rPr>
          <w:rFonts w:hint="eastAsia"/>
        </w:rPr>
        <w:t>持续改进机制</w:t>
      </w:r>
    </w:p>
    <w:p w14:paraId="7640A837">
      <w:pPr>
        <w:pStyle w:val="56"/>
        <w:spacing w:line="360" w:lineRule="auto"/>
        <w:ind w:firstLine="420"/>
        <w:rPr>
          <w:rFonts w:hint="eastAsia"/>
        </w:rPr>
      </w:pPr>
      <w:r>
        <w:rPr>
          <w:rFonts w:hint="eastAsia"/>
        </w:rPr>
        <w:t>施工单位应建立持续改进机制，根据监控数据和绩效评价结果，不断优化用水管理方案和施工工艺。对节水效果不佳或废水处理不达标的环节，应采取改进措施，如技术升级、工艺优化或管理强化，确保施工水资源高效利用目标实现。</w:t>
      </w:r>
    </w:p>
    <w:p w14:paraId="0275914F">
      <w:pPr>
        <w:pStyle w:val="105"/>
        <w:spacing w:before="120" w:after="120" w:line="360" w:lineRule="auto"/>
        <w:rPr>
          <w:rFonts w:hint="eastAsia"/>
        </w:rPr>
      </w:pPr>
      <w:r>
        <w:rPr>
          <w:rFonts w:hint="eastAsia"/>
        </w:rPr>
        <w:t>信息化与智能化应用</w:t>
      </w:r>
    </w:p>
    <w:p w14:paraId="5D54385C">
      <w:pPr>
        <w:pStyle w:val="56"/>
        <w:spacing w:line="360" w:lineRule="auto"/>
        <w:ind w:firstLine="420"/>
      </w:pPr>
      <w:r>
        <w:rPr>
          <w:rFonts w:hint="eastAsia"/>
        </w:rPr>
        <w:t>鼓励施工单位采用信息化平台、物联网和智能分析系统，实现施工用水数据的自动采集、分析与预警。通过智能化手段可对高耗水环节进行精细化管理，提升决策效率和管理科学性。</w:t>
      </w:r>
    </w:p>
    <w:p w14:paraId="501AF97E">
      <w:pPr>
        <w:pStyle w:val="104"/>
        <w:spacing w:before="240" w:after="240" w:line="360" w:lineRule="auto"/>
        <w:rPr>
          <w:rFonts w:hint="eastAsia"/>
        </w:rPr>
      </w:pPr>
      <w:bookmarkStart w:id="54" w:name="_Toc209908655"/>
      <w:r>
        <w:rPr>
          <w:rFonts w:hint="eastAsia"/>
        </w:rPr>
        <w:t>施工用水风险管理与应急措施</w:t>
      </w:r>
      <w:bookmarkEnd w:id="54"/>
    </w:p>
    <w:p w14:paraId="403C368C">
      <w:pPr>
        <w:pStyle w:val="105"/>
        <w:spacing w:before="120" w:after="120" w:line="360" w:lineRule="auto"/>
        <w:rPr>
          <w:rFonts w:hint="eastAsia"/>
        </w:rPr>
      </w:pPr>
      <w:r>
        <w:rPr>
          <w:rFonts w:hint="eastAsia"/>
        </w:rPr>
        <w:t>风险识别</w:t>
      </w:r>
    </w:p>
    <w:p w14:paraId="61055ED7">
      <w:pPr>
        <w:pStyle w:val="56"/>
        <w:spacing w:line="360" w:lineRule="auto"/>
        <w:ind w:firstLine="420"/>
        <w:rPr>
          <w:rFonts w:hint="eastAsia"/>
        </w:rPr>
      </w:pPr>
      <w:r>
        <w:rPr>
          <w:rFonts w:hint="eastAsia"/>
        </w:rPr>
        <w:t>施工过程中可能出现水资源供应不足、水质异常、循环水系统故障或废水处理设施失效等风险。施工单位应对所有潜在风险进行识别，包括施工计划不合理、关键设备故障、施工工序交叉冲突等因素，形成风险清单，为应急管理提供依据。</w:t>
      </w:r>
    </w:p>
    <w:p w14:paraId="74732563">
      <w:pPr>
        <w:pStyle w:val="105"/>
        <w:spacing w:before="120" w:after="120" w:line="360" w:lineRule="auto"/>
        <w:rPr>
          <w:rFonts w:hint="eastAsia"/>
        </w:rPr>
      </w:pPr>
      <w:r>
        <w:rPr>
          <w:rFonts w:hint="eastAsia"/>
        </w:rPr>
        <w:t>风险评估与分级</w:t>
      </w:r>
    </w:p>
    <w:p w14:paraId="006E4B5E">
      <w:pPr>
        <w:pStyle w:val="56"/>
        <w:spacing w:line="360" w:lineRule="auto"/>
        <w:ind w:firstLine="420"/>
        <w:rPr>
          <w:rFonts w:hint="eastAsia"/>
        </w:rPr>
      </w:pPr>
      <w:r>
        <w:rPr>
          <w:rFonts w:hint="eastAsia"/>
        </w:rPr>
        <w:t>根据风险发生的可能性和对施工用水及工程安全的影响，进行科学评估和分级。分级可分为高、中、低三级，针对不同等级制定相应的应对策略和监控措施。</w:t>
      </w:r>
    </w:p>
    <w:p w14:paraId="26743663">
      <w:pPr>
        <w:pStyle w:val="105"/>
        <w:spacing w:before="120" w:after="120" w:line="360" w:lineRule="auto"/>
        <w:rPr>
          <w:rFonts w:hint="eastAsia"/>
        </w:rPr>
      </w:pPr>
      <w:r>
        <w:rPr>
          <w:rFonts w:hint="eastAsia"/>
        </w:rPr>
        <w:t>应急预案制定</w:t>
      </w:r>
    </w:p>
    <w:p w14:paraId="53573830">
      <w:pPr>
        <w:pStyle w:val="56"/>
        <w:spacing w:line="360" w:lineRule="auto"/>
        <w:ind w:firstLine="420"/>
        <w:rPr>
          <w:rFonts w:hint="eastAsia"/>
        </w:rPr>
      </w:pPr>
      <w:r>
        <w:rPr>
          <w:rFonts w:hint="eastAsia"/>
        </w:rPr>
        <w:t>施工单位应针对不同类型的用水风险，制定详细的应急预案，包括紧急水源调度、备用循环水系统启动、废水处理应急措施及现场安全保障。应急预案应明确责任人、联络方式、处置程序和所需资源，确保应急措施快速、有效执行。</w:t>
      </w:r>
    </w:p>
    <w:p w14:paraId="06296420">
      <w:pPr>
        <w:pStyle w:val="105"/>
        <w:spacing w:before="120" w:after="120" w:line="360" w:lineRule="auto"/>
        <w:rPr>
          <w:rFonts w:hint="eastAsia"/>
        </w:rPr>
      </w:pPr>
      <w:r>
        <w:rPr>
          <w:rFonts w:hint="eastAsia"/>
        </w:rPr>
        <w:t>应急演练与培训</w:t>
      </w:r>
    </w:p>
    <w:p w14:paraId="7CF2DE30">
      <w:pPr>
        <w:pStyle w:val="56"/>
        <w:spacing w:line="360" w:lineRule="auto"/>
        <w:ind w:firstLine="420"/>
        <w:rPr>
          <w:rFonts w:hint="eastAsia"/>
        </w:rPr>
      </w:pPr>
      <w:r>
        <w:rPr>
          <w:rFonts w:hint="eastAsia"/>
        </w:rPr>
        <w:t>施工单位应定期组织应急演练和培训，使施工人员熟悉应急预案、操作流程及安全措施。演练内容应涵盖水源中断、设备故障、废水泄漏及突发用水超标等情况，提高现场应对能力和协调效率。</w:t>
      </w:r>
    </w:p>
    <w:p w14:paraId="7971B641">
      <w:pPr>
        <w:pStyle w:val="105"/>
        <w:spacing w:before="120" w:after="120" w:line="360" w:lineRule="auto"/>
        <w:rPr>
          <w:rFonts w:hint="eastAsia"/>
        </w:rPr>
      </w:pPr>
      <w:r>
        <w:rPr>
          <w:rFonts w:hint="eastAsia"/>
        </w:rPr>
        <w:t>风险监控与改进</w:t>
      </w:r>
    </w:p>
    <w:p w14:paraId="755A5D72">
      <w:pPr>
        <w:pStyle w:val="56"/>
        <w:spacing w:line="360" w:lineRule="auto"/>
        <w:ind w:firstLine="420"/>
      </w:pPr>
      <w:r>
        <w:rPr>
          <w:rFonts w:hint="eastAsia"/>
        </w:rPr>
        <w:t>应通过信息化平台对风险进行实时监控，及时发现异常情况并触发应急响应。同时，应对每次应急事件进行分析，总结经验，优化风险管理措施，持续提升施工用水管理水平和应急能力。</w:t>
      </w:r>
    </w:p>
    <w:p w14:paraId="6F5400E9">
      <w:pPr>
        <w:pStyle w:val="104"/>
        <w:spacing w:before="240" w:after="240" w:line="360" w:lineRule="auto"/>
        <w:rPr>
          <w:rFonts w:hint="eastAsia"/>
        </w:rPr>
      </w:pPr>
      <w:bookmarkStart w:id="55" w:name="_Toc209908656"/>
      <w:r>
        <w:rPr>
          <w:rFonts w:hint="eastAsia"/>
        </w:rPr>
        <w:t>创新与推广应用</w:t>
      </w:r>
      <w:bookmarkEnd w:id="55"/>
    </w:p>
    <w:p w14:paraId="040EE68D">
      <w:pPr>
        <w:pStyle w:val="105"/>
        <w:spacing w:before="120" w:after="120" w:line="360" w:lineRule="auto"/>
        <w:rPr>
          <w:rFonts w:hint="eastAsia"/>
        </w:rPr>
      </w:pPr>
      <w:r>
        <w:rPr>
          <w:rFonts w:hint="eastAsia"/>
        </w:rPr>
        <w:t>先进节水技术研发</w:t>
      </w:r>
    </w:p>
    <w:p w14:paraId="4AAF59EE">
      <w:pPr>
        <w:pStyle w:val="56"/>
        <w:spacing w:line="360" w:lineRule="auto"/>
        <w:ind w:firstLine="420"/>
        <w:rPr>
          <w:rFonts w:hint="eastAsia"/>
        </w:rPr>
      </w:pPr>
      <w:r>
        <w:rPr>
          <w:rFonts w:hint="eastAsia"/>
        </w:rPr>
        <w:t>鼓励施工单位和科研机构针对不同施工工序开发高效节水技术，如高效泵送系统、智能化用水调度、自动化循环水处理、施工用水回收与净化技术等，以提高施工水利用效率和管理水平。</w:t>
      </w:r>
    </w:p>
    <w:p w14:paraId="31C5CD36">
      <w:pPr>
        <w:pStyle w:val="105"/>
        <w:spacing w:before="120" w:after="120" w:line="360" w:lineRule="auto"/>
        <w:rPr>
          <w:rFonts w:hint="eastAsia"/>
        </w:rPr>
      </w:pPr>
      <w:r>
        <w:rPr>
          <w:rFonts w:hint="eastAsia"/>
        </w:rPr>
        <w:t>新材料与工艺应用</w:t>
      </w:r>
    </w:p>
    <w:p w14:paraId="0C5E5960">
      <w:pPr>
        <w:pStyle w:val="56"/>
        <w:spacing w:line="360" w:lineRule="auto"/>
        <w:ind w:firstLine="420"/>
        <w:rPr>
          <w:rFonts w:hint="eastAsia"/>
        </w:rPr>
      </w:pPr>
      <w:r>
        <w:rPr>
          <w:rFonts w:hint="eastAsia"/>
        </w:rPr>
        <w:t>推广低用水施工材料和工艺，如预拌混凝土优化配比、干法施工工艺、轻量化模板和设备设计，减少施工过程中的用水消耗，并保障工程质量与安全。</w:t>
      </w:r>
    </w:p>
    <w:p w14:paraId="402334AB">
      <w:pPr>
        <w:pStyle w:val="105"/>
        <w:spacing w:before="120" w:after="120" w:line="360" w:lineRule="auto"/>
        <w:rPr>
          <w:rFonts w:hint="eastAsia"/>
        </w:rPr>
      </w:pPr>
      <w:r>
        <w:rPr>
          <w:rFonts w:hint="eastAsia"/>
        </w:rPr>
        <w:t>数字化与智能化技术</w:t>
      </w:r>
    </w:p>
    <w:p w14:paraId="21A849A8">
      <w:pPr>
        <w:pStyle w:val="56"/>
        <w:spacing w:line="360" w:lineRule="auto"/>
        <w:ind w:firstLine="420"/>
        <w:rPr>
          <w:rFonts w:hint="eastAsia"/>
        </w:rPr>
      </w:pPr>
      <w:r>
        <w:rPr>
          <w:rFonts w:hint="eastAsia"/>
        </w:rPr>
        <w:t>利用物联网、大数据分析、云计算及人工智能技术，实现施工用水监控、数据分析、预警和优化调度。智能化技术可对用水量、循环利用率和节水效果进行实时分析和动态调整，提高管理效率和科学性。</w:t>
      </w:r>
    </w:p>
    <w:p w14:paraId="3C64D8A7">
      <w:pPr>
        <w:pStyle w:val="105"/>
        <w:spacing w:before="120" w:after="120" w:line="360" w:lineRule="auto"/>
        <w:rPr>
          <w:rFonts w:hint="eastAsia"/>
        </w:rPr>
      </w:pPr>
      <w:r>
        <w:rPr>
          <w:rFonts w:hint="eastAsia"/>
        </w:rPr>
        <w:t>经验推广与标准化</w:t>
      </w:r>
    </w:p>
    <w:p w14:paraId="03D85A76">
      <w:pPr>
        <w:pStyle w:val="56"/>
        <w:spacing w:line="360" w:lineRule="auto"/>
        <w:ind w:firstLine="420"/>
        <w:rPr>
          <w:rFonts w:hint="eastAsia"/>
        </w:rPr>
      </w:pPr>
      <w:r>
        <w:rPr>
          <w:rFonts w:hint="eastAsia"/>
        </w:rPr>
        <w:t>通过总结节水技术应用经验，形成标准化操作规程，推广至不同类型水利工程项目中。建立技术交流平台，分享节水经验和成功案例，推动施工用水高效利用技术在行业内广泛应用。</w:t>
      </w:r>
    </w:p>
    <w:p w14:paraId="5A2EC61A">
      <w:pPr>
        <w:pStyle w:val="105"/>
        <w:spacing w:before="120" w:after="120" w:line="360" w:lineRule="auto"/>
        <w:rPr>
          <w:rFonts w:hint="eastAsia"/>
        </w:rPr>
      </w:pPr>
      <w:r>
        <w:rPr>
          <w:rFonts w:hint="eastAsia"/>
        </w:rPr>
        <w:t>绩效激励与政策支持</w:t>
      </w:r>
    </w:p>
    <w:p w14:paraId="4188412F">
      <w:pPr>
        <w:pStyle w:val="56"/>
        <w:spacing w:line="360" w:lineRule="auto"/>
        <w:ind w:firstLine="420"/>
        <w:rPr>
          <w:rFonts w:hint="eastAsia"/>
        </w:rPr>
      </w:pPr>
      <w:r>
        <w:rPr>
          <w:rFonts w:hint="eastAsia"/>
        </w:rPr>
        <w:t>鼓励施工单位在节水技术创新和高效用水管理方面建立绩效考核和激励机制，对在节水管理和技术创新中表现优秀的单位或团队予以奖励。同时，结合国家和地方政策，争取财政、技术及政策支持，推动施工水资源高效利用目标实现。</w:t>
      </w:r>
    </w:p>
    <w:bookmarkEnd w:id="26"/>
    <w:p w14:paraId="685FF999">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6" w:name="BookMark6"/>
    </w:p>
    <w:p w14:paraId="76FFD7DF">
      <w:pPr>
        <w:pStyle w:val="63"/>
        <w:spacing w:after="120" w:line="360" w:lineRule="auto"/>
        <w:rPr>
          <w:rFonts w:hint="eastAsia"/>
        </w:rPr>
      </w:pPr>
      <w:bookmarkStart w:id="57" w:name="_Toc209908657"/>
      <w:r>
        <w:rPr>
          <w:rFonts w:hint="eastAsia"/>
          <w:spacing w:val="105"/>
        </w:rPr>
        <w:t>参考文</w:t>
      </w:r>
      <w:r>
        <w:rPr>
          <w:rFonts w:hint="eastAsia"/>
        </w:rPr>
        <w:t>献</w:t>
      </w:r>
      <w:bookmarkEnd w:id="57"/>
    </w:p>
    <w:p w14:paraId="7819A451">
      <w:pPr>
        <w:pStyle w:val="56"/>
        <w:spacing w:line="360" w:lineRule="auto"/>
        <w:ind w:firstLine="420"/>
        <w:rPr>
          <w:rFonts w:hint="eastAsia"/>
        </w:rPr>
      </w:pPr>
      <w:r>
        <w:rPr>
          <w:rFonts w:hint="eastAsia"/>
        </w:rPr>
        <w:t>[</w:t>
      </w:r>
      <w:r>
        <w:t xml:space="preserve">1] SL/T 104-2015  </w:t>
      </w:r>
      <w:r>
        <w:rPr>
          <w:rFonts w:hint="eastAsia"/>
        </w:rPr>
        <w:t>水利工程水利计算规范</w:t>
      </w:r>
    </w:p>
    <w:p w14:paraId="31D182EE">
      <w:pPr>
        <w:pStyle w:val="56"/>
        <w:spacing w:line="360" w:lineRule="auto"/>
        <w:ind w:firstLine="420"/>
        <w:rPr>
          <w:rFonts w:hint="eastAsia"/>
        </w:rPr>
      </w:pPr>
      <w:r>
        <w:rPr>
          <w:rFonts w:hint="eastAsia"/>
        </w:rPr>
        <w:t>[</w:t>
      </w:r>
      <w:r>
        <w:t xml:space="preserve">2] DB11/T 1776-2020  </w:t>
      </w:r>
      <w:r>
        <w:rPr>
          <w:rFonts w:hint="eastAsia"/>
        </w:rPr>
        <w:t>水利工程绿色施工规范</w:t>
      </w:r>
    </w:p>
    <w:bookmarkEnd w:id="56"/>
    <w:p w14:paraId="704BAD34">
      <w:pPr>
        <w:pStyle w:val="56"/>
        <w:ind w:firstLine="0" w:firstLineChars="0"/>
        <w:jc w:val="center"/>
        <w:rPr>
          <w:rFonts w:hint="eastAsia"/>
        </w:rPr>
      </w:pPr>
      <w:bookmarkStart w:id="58" w:name="BookMark8"/>
      <w:r>
        <w:rPr>
          <w:rFonts w:hint="eastAsia"/>
        </w:rPr>
        <w:drawing>
          <wp:inline distT="0" distB="0" distL="0" distR="0">
            <wp:extent cx="1485900" cy="317500"/>
            <wp:effectExtent l="0" t="0" r="0" b="6350"/>
            <wp:docPr id="1672359204" name="图片 1"/>
            <wp:cNvGraphicFramePr/>
            <a:graphic xmlns:a="http://schemas.openxmlformats.org/drawingml/2006/main">
              <a:graphicData uri="http://schemas.openxmlformats.org/drawingml/2006/picture">
                <pic:pic xmlns:pic="http://schemas.openxmlformats.org/drawingml/2006/picture">
                  <pic:nvPicPr>
                    <pic:cNvPr id="1672359204"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8D80">
    <w:pPr>
      <w:pStyle w:val="51"/>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981E">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C45C">
    <w:pPr>
      <w:pStyle w:val="51"/>
    </w:pPr>
    <w:r>
      <w:fldChar w:fldCharType="begin"/>
    </w:r>
    <w:r>
      <w:instrText xml:space="preserve"> PAGE   \* MERGEFORMAT \* MERGEFORMAT </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1682">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96B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EDB0">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090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79C0">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E30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597E">
    <w:pPr>
      <w:pStyle w:val="62"/>
    </w:pPr>
    <w:r>
      <w:fldChar w:fldCharType="begin"/>
    </w:r>
    <w:r>
      <w:instrText xml:space="preserve"> STYLEREF  标准文件_文件编号 \* MERGEFORMAT </w:instrText>
    </w:r>
    <w:r>
      <w:fldChar w:fldCharType="separate"/>
    </w:r>
    <w:r>
      <w:t>T/XJBX 0103—2025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F802">
    <w:pPr>
      <w:pStyle w:val="61"/>
    </w:pPr>
    <w:r>
      <w:fldChar w:fldCharType="begin"/>
    </w:r>
    <w:r>
      <w:instrText xml:space="preserve"> STYLEREF  标准文件_文件编号  \* MERGEFORMAT </w:instrText>
    </w:r>
    <w:r>
      <w:fldChar w:fldCharType="separate"/>
    </w:r>
    <w:r>
      <w:t>T/XJBX 0103—2025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A021">
    <w:pPr>
      <w:pStyle w:val="62"/>
    </w:pPr>
    <w:r>
      <w:fldChar w:fldCharType="begin"/>
    </w:r>
    <w:r>
      <w:instrText xml:space="preserve"> STYLEREF  标准文件_文件编号 \* MERGEFORMAT </w:instrText>
    </w:r>
    <w:r>
      <w:fldChar w:fldCharType="separate"/>
    </w:r>
    <w:r>
      <w:t>T/XJBX 0103—2025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AFAB">
    <w:pPr>
      <w:pStyle w:val="61"/>
    </w:pPr>
    <w:r>
      <w:pict>
        <v:shape id="_x0000_s1034" o:spid="_x0000_s1034"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0103—2025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EDB8A">
    <w:pPr>
      <w:pStyle w:val="62"/>
    </w:pPr>
    <w:r>
      <w:fldChar w:fldCharType="begin"/>
    </w:r>
    <w:r>
      <w:instrText xml:space="preserve"> STYLEREF  标准文件_文件编号 \* MERGEFORMAT </w:instrText>
    </w:r>
    <w:r>
      <w:fldChar w:fldCharType="separate"/>
    </w:r>
    <w:r>
      <w:t>T/XJBX 0103—2025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0103—2025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C666">
    <w:pPr>
      <w:pStyle w:val="61"/>
    </w:pPr>
    <w:r>
      <w:fldChar w:fldCharType="begin"/>
    </w:r>
    <w:r>
      <w:instrText xml:space="preserve"> STYLEREF  标准文件_文件编号  \* MERGEFORMAT </w:instrText>
    </w:r>
    <w:r>
      <w:fldChar w:fldCharType="separate"/>
    </w:r>
    <w:r>
      <w:t>T/XJBX 0103—2025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93C9">
    <w:pPr>
      <w:pStyle w:val="62"/>
    </w:pPr>
    <w:r>
      <w:fldChar w:fldCharType="begin"/>
    </w:r>
    <w:r>
      <w:instrText xml:space="preserve"> STYLEREF  标准文件_文件编号 \* MERGEFORMAT </w:instrText>
    </w:r>
    <w:r>
      <w:fldChar w:fldCharType="separate"/>
    </w:r>
    <w:r>
      <w:t>T/XJBX 0103—2025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90E80">
    <w:pPr>
      <w:pStyle w:val="61"/>
    </w:pPr>
    <w:r>
      <w:fldChar w:fldCharType="begin"/>
    </w:r>
    <w:r>
      <w:instrText xml:space="preserve"> STYLEREF  标准文件_文件编号  \* MERGEFORMAT </w:instrText>
    </w:r>
    <w:r>
      <w:fldChar w:fldCharType="separate"/>
    </w:r>
    <w:r>
      <w:t>T/XJBX 0103—2025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31A"/>
    <w:rsid w:val="00313B85"/>
    <w:rsid w:val="00317988"/>
    <w:rsid w:val="003221B4"/>
    <w:rsid w:val="0032258D"/>
    <w:rsid w:val="003225F1"/>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EB1"/>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B07"/>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16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64E02D9E">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D91F757">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07F5445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0C4B44"/>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9"/>
    <customShpInfo spid="_x0000_s103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4842</Words>
  <Characters>5138</Characters>
  <Lines>45</Lines>
  <Paragraphs>12</Paragraphs>
  <TotalTime>40</TotalTime>
  <ScaleCrop>false</ScaleCrop>
  <LinksUpToDate>false</LinksUpToDate>
  <CharactersWithSpaces>5232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2025-09-28T07:32:40Z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D3F289457985487A81FEB6392259D959_12</vt:lpwstr>
  </property>
</Properties>
</file>