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02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13.020.01</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Z 01"/>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Z 01</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99"/>
            </w:textInput>
          </w:ffData>
        </w:fldChar>
      </w:r>
      <w:bookmarkStart w:id="6" w:name="NSTD_CODE_F"/>
      <w:r>
        <w:instrText xml:space="preserve"> FORMTEXT </w:instrText>
      </w:r>
      <w:r>
        <w:fldChar w:fldCharType="separate"/>
      </w:r>
      <w:r>
        <w:t>0099</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1BBB275B">
      <w:pPr>
        <w:pStyle w:val="197"/>
        <w:framePr w:h="6974" w:hRule="exact" w:wrap="around" w:x="1419" w:anchorLock="1"/>
      </w:pPr>
      <w:r>
        <w:fldChar w:fldCharType="begin">
          <w:ffData>
            <w:name w:val="CSTD_NAME"/>
            <w:enabled/>
            <w:calcOnExit w:val="0"/>
            <w:textInput>
              <w:default w:val="生态环境监测数据可信追溯与质控技术规范"/>
            </w:textInput>
          </w:ffData>
        </w:fldChar>
      </w:r>
      <w:bookmarkStart w:id="9" w:name="CSTD_NAME"/>
      <w:r>
        <w:instrText xml:space="preserve"> FORMTEXT </w:instrText>
      </w:r>
      <w:r>
        <w:fldChar w:fldCharType="separate"/>
      </w:r>
      <w:r>
        <w:t>生态环境监测数据可信追溯</w:t>
      </w:r>
    </w:p>
    <w:p w14:paraId="0FD7DFF3">
      <w:pPr>
        <w:pStyle w:val="197"/>
        <w:framePr w:h="6974" w:hRule="exact" w:wrap="around" w:x="1419" w:anchorLock="1"/>
      </w:pPr>
      <w:r>
        <w:t>与质控技术规范</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trusted traceability and quality control technology of ecological environment monitoring data"/>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trusted traceability and quality control technology of ecological environment monitoring data</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11B833A">
      <w:pPr>
        <w:pStyle w:val="91"/>
        <w:spacing w:after="360"/>
        <w:rPr>
          <w:rFonts w:hint="eastAsia"/>
        </w:rPr>
      </w:pPr>
      <w:bookmarkStart w:id="21" w:name="BookMark1"/>
      <w:r>
        <w:rPr>
          <w:rFonts w:hint="eastAsia"/>
          <w:spacing w:val="320"/>
        </w:rPr>
        <w:t>目</w:t>
      </w:r>
      <w:r>
        <w:rPr>
          <w:rFonts w:hint="eastAsia"/>
        </w:rPr>
        <w:t>次</w:t>
      </w:r>
    </w:p>
    <w:p w14:paraId="59E480AB">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"_Toc209902637" </w:instrText>
      </w:r>
      <w:r>
        <w:fldChar w:fldCharType="separate"/>
      </w:r>
      <w:r>
        <w:rPr>
          <w:rStyle w:val="32"/>
        </w:rPr>
        <w:t>前言</w:t>
      </w:r>
      <w:r>
        <w:tab/>
      </w:r>
      <w:r>
        <w:fldChar w:fldCharType="begin"/>
      </w:r>
      <w:r>
        <w:instrText xml:space="preserve"> PAGEREF _Toc209902637 \h </w:instrText>
      </w:r>
      <w:r>
        <w:fldChar w:fldCharType="separate"/>
      </w:r>
      <w:r>
        <w:t>III</w:t>
      </w:r>
      <w:r>
        <w:fldChar w:fldCharType="end"/>
      </w:r>
      <w:r>
        <w:fldChar w:fldCharType="end"/>
      </w:r>
    </w:p>
    <w:p w14:paraId="2E2918D5">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"_Toc209902638" </w:instrText>
      </w:r>
      <w:r>
        <w:fldChar w:fldCharType="separate"/>
      </w:r>
      <w:r>
        <w:rPr>
          <w:rStyle w:val="32"/>
        </w:rPr>
        <w:t>引言</w:t>
      </w:r>
      <w:r>
        <w:tab/>
      </w:r>
      <w:r>
        <w:fldChar w:fldCharType="begin"/>
      </w:r>
      <w:r>
        <w:instrText xml:space="preserve"> PAGEREF _Toc209902638 \h </w:instrText>
      </w:r>
      <w:r>
        <w:fldChar w:fldCharType="separate"/>
      </w:r>
      <w:r>
        <w:t>V</w:t>
      </w:r>
      <w:r>
        <w:fldChar w:fldCharType="end"/>
      </w:r>
      <w:r>
        <w:fldChar w:fldCharType="end"/>
      </w:r>
    </w:p>
    <w:p w14:paraId="79AA6EC1">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"_Toc209902639" </w:instrText>
      </w:r>
      <w:r>
        <w:fldChar w:fldCharType="separate"/>
      </w:r>
      <w:r>
        <w:rPr>
          <w:rStyle w:val="32"/>
        </w:rPr>
        <w:t>1  范围</w:t>
      </w:r>
      <w:r>
        <w:tab/>
      </w:r>
      <w:r>
        <w:fldChar w:fldCharType="begin"/>
      </w:r>
      <w:r>
        <w:instrText xml:space="preserve"> PAGEREF _Toc209902639 \h </w:instrText>
      </w:r>
      <w:r>
        <w:fldChar w:fldCharType="separate"/>
      </w:r>
      <w:r>
        <w:t>1</w:t>
      </w:r>
      <w:r>
        <w:fldChar w:fldCharType="end"/>
      </w:r>
      <w:r>
        <w:fldChar w:fldCharType="end"/>
      </w:r>
    </w:p>
    <w:p w14:paraId="1A67D7FA">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"_Toc209902640" </w:instrText>
      </w:r>
      <w:r>
        <w:fldChar w:fldCharType="separate"/>
      </w:r>
      <w:r>
        <w:rPr>
          <w:rStyle w:val="32"/>
        </w:rPr>
        <w:t>2  规范性引用文件</w:t>
      </w:r>
      <w:r>
        <w:tab/>
      </w:r>
      <w:r>
        <w:fldChar w:fldCharType="begin"/>
      </w:r>
      <w:r>
        <w:instrText xml:space="preserve"> PAGEREF _Toc209902640 \h </w:instrText>
      </w:r>
      <w:r>
        <w:fldChar w:fldCharType="separate"/>
      </w:r>
      <w:r>
        <w:t>1</w:t>
      </w:r>
      <w:r>
        <w:fldChar w:fldCharType="end"/>
      </w:r>
      <w:r>
        <w:fldChar w:fldCharType="end"/>
      </w:r>
    </w:p>
    <w:p w14:paraId="1CD56106">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"_Toc209902641" </w:instrText>
      </w:r>
      <w:r>
        <w:fldChar w:fldCharType="separate"/>
      </w:r>
      <w:r>
        <w:rPr>
          <w:rStyle w:val="32"/>
        </w:rPr>
        <w:t>3  术语和定义</w:t>
      </w:r>
      <w:r>
        <w:tab/>
      </w:r>
      <w:r>
        <w:fldChar w:fldCharType="begin"/>
      </w:r>
      <w:r>
        <w:instrText xml:space="preserve"> PAGEREF _Toc209902641 \h </w:instrText>
      </w:r>
      <w:r>
        <w:fldChar w:fldCharType="separate"/>
      </w:r>
      <w:r>
        <w:t>1</w:t>
      </w:r>
      <w:r>
        <w:fldChar w:fldCharType="end"/>
      </w:r>
      <w:r>
        <w:fldChar w:fldCharType="end"/>
      </w:r>
    </w:p>
    <w:p w14:paraId="40F7D66E">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"_Toc209902642" </w:instrText>
      </w:r>
      <w:r>
        <w:fldChar w:fldCharType="separate"/>
      </w:r>
      <w:r>
        <w:rPr>
          <w:rStyle w:val="32"/>
        </w:rPr>
        <w:t>4  总体原则</w:t>
      </w:r>
      <w:r>
        <w:tab/>
      </w:r>
      <w:r>
        <w:fldChar w:fldCharType="begin"/>
      </w:r>
      <w:r>
        <w:instrText xml:space="preserve"> PAGEREF _Toc209902642 \h </w:instrText>
      </w:r>
      <w:r>
        <w:fldChar w:fldCharType="separate"/>
      </w:r>
      <w:r>
        <w:t>2</w:t>
      </w:r>
      <w:r>
        <w:fldChar w:fldCharType="end"/>
      </w:r>
      <w:r>
        <w:fldChar w:fldCharType="end"/>
      </w:r>
    </w:p>
    <w:p w14:paraId="7EEA1D16">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"_Toc209902643" </w:instrText>
      </w:r>
      <w:r>
        <w:fldChar w:fldCharType="separate"/>
      </w:r>
      <w:r>
        <w:rPr>
          <w:rStyle w:val="32"/>
        </w:rPr>
        <w:t>5  数据采集与传输管理</w:t>
      </w:r>
      <w:r>
        <w:tab/>
      </w:r>
      <w:r>
        <w:fldChar w:fldCharType="begin"/>
      </w:r>
      <w:r>
        <w:instrText xml:space="preserve"> PAGEREF _Toc209902643 \h </w:instrText>
      </w:r>
      <w:r>
        <w:fldChar w:fldCharType="separate"/>
      </w:r>
      <w:r>
        <w:t>3</w:t>
      </w:r>
      <w:r>
        <w:fldChar w:fldCharType="end"/>
      </w:r>
      <w:r>
        <w:fldChar w:fldCharType="end"/>
      </w:r>
    </w:p>
    <w:p w14:paraId="766AE11B">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"_Toc209902644" </w:instrText>
      </w:r>
      <w:r>
        <w:fldChar w:fldCharType="separate"/>
      </w:r>
      <w:r>
        <w:rPr>
          <w:rStyle w:val="32"/>
        </w:rPr>
        <w:t>6  数据处理与质控</w:t>
      </w:r>
      <w:r>
        <w:tab/>
      </w:r>
      <w:r>
        <w:fldChar w:fldCharType="begin"/>
      </w:r>
      <w:r>
        <w:instrText xml:space="preserve"> PAGEREF _Toc209902644 \h </w:instrText>
      </w:r>
      <w:r>
        <w:fldChar w:fldCharType="separate"/>
      </w:r>
      <w:r>
        <w:t>4</w:t>
      </w:r>
      <w:r>
        <w:fldChar w:fldCharType="end"/>
      </w:r>
      <w:r>
        <w:fldChar w:fldCharType="end"/>
      </w:r>
    </w:p>
    <w:p w14:paraId="7D4ABC6B">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"_Toc209902645" </w:instrText>
      </w:r>
      <w:r>
        <w:fldChar w:fldCharType="separate"/>
      </w:r>
      <w:r>
        <w:rPr>
          <w:rStyle w:val="32"/>
        </w:rPr>
        <w:t>7  数据存储与档案管理</w:t>
      </w:r>
      <w:r>
        <w:tab/>
      </w:r>
      <w:r>
        <w:fldChar w:fldCharType="begin"/>
      </w:r>
      <w:r>
        <w:instrText xml:space="preserve"> PAGEREF _Toc209902645 \h </w:instrText>
      </w:r>
      <w:r>
        <w:fldChar w:fldCharType="separate"/>
      </w:r>
      <w:r>
        <w:t>6</w:t>
      </w:r>
      <w:r>
        <w:fldChar w:fldCharType="end"/>
      </w:r>
      <w:r>
        <w:fldChar w:fldCharType="end"/>
      </w:r>
    </w:p>
    <w:p w14:paraId="372B5F90">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"_Toc209902646" </w:instrText>
      </w:r>
      <w:r>
        <w:fldChar w:fldCharType="separate"/>
      </w:r>
      <w:r>
        <w:rPr>
          <w:rStyle w:val="32"/>
        </w:rPr>
        <w:t>8  信息化平台与智能化管理</w:t>
      </w:r>
      <w:r>
        <w:tab/>
      </w:r>
      <w:r>
        <w:fldChar w:fldCharType="begin"/>
      </w:r>
      <w:r>
        <w:instrText xml:space="preserve"> PAGEREF _Toc209902646 \h </w:instrText>
      </w:r>
      <w:r>
        <w:fldChar w:fldCharType="separate"/>
      </w:r>
      <w:r>
        <w:t>6</w:t>
      </w:r>
      <w:r>
        <w:fldChar w:fldCharType="end"/>
      </w:r>
      <w:r>
        <w:fldChar w:fldCharType="end"/>
      </w:r>
    </w:p>
    <w:p w14:paraId="15FDF98C">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"_Toc209902647" </w:instrText>
      </w:r>
      <w:r>
        <w:fldChar w:fldCharType="separate"/>
      </w:r>
      <w:r>
        <w:rPr>
          <w:rStyle w:val="32"/>
        </w:rPr>
        <w:t>9  数据质量评估与风险管理</w:t>
      </w:r>
      <w:r>
        <w:tab/>
      </w:r>
      <w:r>
        <w:fldChar w:fldCharType="begin"/>
      </w:r>
      <w:r>
        <w:instrText xml:space="preserve"> PAGEREF _Toc209902647 \h </w:instrText>
      </w:r>
      <w:r>
        <w:fldChar w:fldCharType="separate"/>
      </w:r>
      <w:r>
        <w:t>7</w:t>
      </w:r>
      <w:r>
        <w:fldChar w:fldCharType="end"/>
      </w:r>
      <w:r>
        <w:fldChar w:fldCharType="end"/>
      </w:r>
    </w:p>
    <w:p w14:paraId="4B5B285B">
      <w:pPr>
        <w:pStyle w:val="19"/>
        <w:tabs>
          <w:tab w:val="right" w:leader="dot" w:pos="9344"/>
        </w:tabs>
        <w:rPr>
          <w:rFonts w:asciiTheme="minorHAnsi" w:hAnsiTheme="minorHAnsi" w:eastAsiaTheme="minorEastAsia" w:cstheme="minorBidi"/>
          <w:szCs w:val="22"/>
        </w:rPr>
      </w:pPr>
      <w:r>
        <w:fldChar w:fldCharType="begin"/>
      </w:r>
      <w:r>
        <w:instrText xml:space="preserve"> HYPERLINK \l "_Toc209902648" </w:instrText>
      </w:r>
      <w:r>
        <w:fldChar w:fldCharType="separate"/>
      </w:r>
      <w:r>
        <w:rPr>
          <w:rStyle w:val="32"/>
        </w:rPr>
        <w:t>参考文献</w:t>
      </w:r>
      <w:r>
        <w:tab/>
      </w:r>
      <w:r>
        <w:fldChar w:fldCharType="begin"/>
      </w:r>
      <w:r>
        <w:instrText xml:space="preserve"> PAGEREF _Toc209902648 \h </w:instrText>
      </w:r>
      <w:r>
        <w:fldChar w:fldCharType="separate"/>
      </w:r>
      <w:r>
        <w:t>10</w:t>
      </w:r>
      <w:r>
        <w:fldChar w:fldCharType="end"/>
      </w:r>
      <w:r>
        <w:fldChar w:fldCharType="end"/>
      </w:r>
    </w:p>
    <w:p w14:paraId="1A7E053A">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902637"/>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本文件起草单位：大连市生态环境事务服务中心。</w:t>
      </w:r>
    </w:p>
    <w:p w14:paraId="42BC1C2C">
      <w:pPr>
        <w:pStyle w:val="56"/>
        <w:spacing w:line="360" w:lineRule="auto"/>
        <w:ind w:firstLine="420"/>
      </w:pPr>
      <w:r>
        <w:rPr>
          <w:rFonts w:hint="eastAsia"/>
        </w:rPr>
        <w:t>本文件主要起草人：黄继祥。</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89"/>
        <w:spacing w:after="360"/>
      </w:pPr>
      <w:bookmarkStart w:id="24" w:name="_Toc209902638"/>
      <w:bookmarkStart w:id="25" w:name="BookMark3"/>
      <w:r>
        <w:rPr>
          <w:spacing w:val="320"/>
        </w:rPr>
        <w:t>引</w:t>
      </w:r>
      <w:r>
        <w:t>言</w:t>
      </w:r>
      <w:bookmarkEnd w:id="24"/>
    </w:p>
    <w:p w14:paraId="70DC8F1C">
      <w:pPr>
        <w:pStyle w:val="56"/>
        <w:spacing w:line="360" w:lineRule="auto"/>
        <w:ind w:firstLine="420"/>
        <w:rPr>
          <w:rFonts w:hint="eastAsia"/>
        </w:rPr>
      </w:pPr>
      <w:r>
        <w:rPr>
          <w:rFonts w:hint="eastAsia"/>
        </w:rPr>
        <w:t>生态环境监测是实现环境保护、污染防控、生态修复和可持续发展目标的重要基础。通过科学、系统地收集空气、水体、土壤、生态系统及相关环境要素的数据，管理部门和科研机构能够及时掌握环境状况、分析环境变化趋势、评估治理措施效果。然而，随着监测网络的快速扩展、数据量的急剧增加以及多源异构数据的广泛应用，生态环境监测数据在采集、传输、处理和存储过程中面临数据质量参差不齐、溯源信息缺失、可重复性差及数据安全性不足等问题。这不仅影响环境管理决策的科学性，也制约了环境大数据和智慧环保系统的发展。</w:t>
      </w:r>
    </w:p>
    <w:p w14:paraId="1D8C1368">
      <w:pPr>
        <w:pStyle w:val="56"/>
        <w:spacing w:line="360" w:lineRule="auto"/>
        <w:ind w:firstLine="420"/>
        <w:rPr>
          <w:rFonts w:hint="eastAsia"/>
        </w:rPr>
      </w:pPr>
      <w:r>
        <w:rPr>
          <w:rFonts w:hint="eastAsia"/>
        </w:rPr>
        <w:t>近年来，国内外在生态环境数据管理、质量控制及数据追溯方面取得了显著进展，但缺乏统一、可操作、覆盖全流程的技术规范，导致不同机构、不同监测点及不同监测方法之间的数据难以直接比较和整合。为了确保生态环境监测数据的可靠性、可追溯性和科学应用，需要建立从数据采集、传输、处理到存储的全流程质控体系，并明确数据追溯的技术要求和操作规范。</w:t>
      </w:r>
    </w:p>
    <w:p w14:paraId="72577895">
      <w:pPr>
        <w:pStyle w:val="56"/>
        <w:spacing w:line="360" w:lineRule="auto"/>
        <w:ind w:firstLine="420"/>
        <w:rPr>
          <w:rFonts w:hint="eastAsia"/>
        </w:rPr>
      </w:pPr>
      <w:r>
        <w:rPr>
          <w:rFonts w:hint="eastAsia"/>
        </w:rPr>
        <w:t>本文件结合现有国家标准、行业规范、科研经验及信息技术发展趋势，系统提出生态环境监测数据的可信追溯方法和质控技术要求，涵盖数据采集方法验证、传输完整性监控、处理过程审计、存储安全保障以及数据可溯源管理。通过规范数据采集和处理流程、建立全生命周期质控和追溯机制，可以提升环境监测数据的真实性、准确性和可靠性，为环境治理、科研分析和政策决策提供坚实的数据基础。</w:t>
      </w:r>
    </w:p>
    <w:p w14:paraId="42EAE8EF">
      <w:pPr>
        <w:pStyle w:val="56"/>
        <w:spacing w:line="360" w:lineRule="auto"/>
        <w:ind w:firstLine="420"/>
      </w:pPr>
      <w:r>
        <w:rPr>
          <w:rFonts w:hint="eastAsia"/>
        </w:rPr>
        <w:t>本文件适用于各类生态环境监测项目，包括空气质量监测、水环境监测、土壤与生态系统监测，以及涉及多源环境数据集成和分析的科研或管理工作。文件的实施将促进环境监测数据标准化管理、质量可控化及追溯体系化，为智慧环保、生态修复和环境信息共享提供技术支撑和方法保障。</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1754447A">
          <w:pPr>
            <w:pStyle w:val="177"/>
            <w:spacing w:after="0"/>
            <w:rPr>
              <w:rFonts w:hint="eastAsia"/>
            </w:rPr>
          </w:pPr>
          <w:bookmarkStart w:id="27" w:name="NEW_STAND_NAME"/>
          <w:r>
            <w:rPr>
              <w:rFonts w:hint="eastAsia"/>
            </w:rPr>
            <w:t>生态环境监测数据可信追溯</w:t>
          </w:r>
        </w:p>
        <w:p w14:paraId="08ED5E01">
          <w:pPr>
            <w:pStyle w:val="177"/>
            <w:spacing w:before="0"/>
          </w:pPr>
          <w:r>
            <w:rPr>
              <w:rFonts w:hint="eastAsia"/>
            </w:rPr>
            <w:t>与质控技术规范</w:t>
          </w:r>
        </w:p>
      </w:sdtContent>
    </w:sdt>
    <w:bookmarkEnd w:id="27"/>
    <w:p w14:paraId="153BF6ED">
      <w:pPr>
        <w:pStyle w:val="104"/>
        <w:spacing w:before="240" w:after="240" w:line="360" w:lineRule="auto"/>
      </w:pPr>
      <w:bookmarkStart w:id="28" w:name="_Toc24884218"/>
      <w:bookmarkStart w:id="29" w:name="_Toc97192964"/>
      <w:bookmarkStart w:id="30" w:name="_Toc209902639"/>
      <w:bookmarkStart w:id="31" w:name="_Toc17233325"/>
      <w:bookmarkStart w:id="32" w:name="_Toc24884211"/>
      <w:bookmarkStart w:id="33" w:name="_Toc26718930"/>
      <w:bookmarkStart w:id="34" w:name="_Toc26986530"/>
      <w:bookmarkStart w:id="35" w:name="_Toc26648465"/>
      <w:bookmarkStart w:id="36" w:name="_Toc26986771"/>
      <w:bookmarkStart w:id="37" w:name="_Toc17233333"/>
      <w:r>
        <w:rPr>
          <w:rFonts w:hint="eastAsia"/>
        </w:rPr>
        <w:t>范围</w:t>
      </w:r>
      <w:bookmarkEnd w:id="28"/>
      <w:bookmarkEnd w:id="29"/>
      <w:bookmarkEnd w:id="30"/>
      <w:bookmarkEnd w:id="31"/>
      <w:bookmarkEnd w:id="32"/>
      <w:bookmarkEnd w:id="33"/>
      <w:bookmarkEnd w:id="34"/>
      <w:bookmarkEnd w:id="35"/>
      <w:bookmarkEnd w:id="36"/>
      <w:bookmarkEnd w:id="37"/>
    </w:p>
    <w:p w14:paraId="7A109747">
      <w:pPr>
        <w:pStyle w:val="56"/>
        <w:spacing w:line="360" w:lineRule="auto"/>
        <w:ind w:firstLine="420"/>
        <w:rPr>
          <w:rFonts w:hint="eastAsia"/>
        </w:rPr>
      </w:pPr>
      <w:bookmarkStart w:id="38" w:name="_Toc26648466"/>
      <w:bookmarkStart w:id="39" w:name="_Toc17233334"/>
      <w:bookmarkStart w:id="40" w:name="_Toc24884212"/>
      <w:bookmarkStart w:id="41" w:name="_Toc17233326"/>
      <w:bookmarkStart w:id="42" w:name="_Toc24884219"/>
      <w:r>
        <w:rPr>
          <w:rFonts w:hint="eastAsia"/>
        </w:rPr>
        <w:t>本文件规定了生态环境监测过程中的数据采集与传输管理、数据处理与质控、数据存储与档案管理、信息化平台与智能化管理及数据质量评估与风险管理等内容。</w:t>
      </w:r>
    </w:p>
    <w:p w14:paraId="69887864">
      <w:pPr>
        <w:pStyle w:val="56"/>
        <w:spacing w:line="360" w:lineRule="auto"/>
        <w:ind w:firstLine="420"/>
      </w:pPr>
      <w:r>
        <w:rPr>
          <w:rFonts w:hint="eastAsia"/>
        </w:rPr>
        <w:t>本文件适用于生态环境监测数据的全生命周期管理，包括数据采集、传输、处理、存储及应用环节。</w:t>
      </w:r>
    </w:p>
    <w:p w14:paraId="1F7FEEB2">
      <w:pPr>
        <w:pStyle w:val="104"/>
        <w:spacing w:before="240" w:after="240" w:line="360" w:lineRule="auto"/>
      </w:pPr>
      <w:bookmarkStart w:id="43" w:name="_Toc26718931"/>
      <w:bookmarkStart w:id="44" w:name="_Toc97192965"/>
      <w:bookmarkStart w:id="45" w:name="_Toc26986772"/>
      <w:bookmarkStart w:id="46" w:name="_Toc26986531"/>
      <w:bookmarkStart w:id="47" w:name="_Toc209902640"/>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5920B0">
      <w:pPr>
        <w:pStyle w:val="56"/>
        <w:spacing w:line="360" w:lineRule="auto"/>
        <w:ind w:firstLine="420"/>
      </w:pPr>
      <w:r>
        <w:rPr>
          <w:rFonts w:hint="eastAsia"/>
        </w:rPr>
        <w:t>GB/T 1.1—2020 标准化工作导则  第1部分:标准化文件的结构和起草规则</w:t>
      </w:r>
    </w:p>
    <w:p w14:paraId="73D2644B">
      <w:pPr>
        <w:pStyle w:val="56"/>
        <w:spacing w:line="360" w:lineRule="auto"/>
        <w:ind w:firstLine="420"/>
      </w:pPr>
      <w:r>
        <w:t>GB/T 42381.63</w:t>
      </w:r>
      <w:r>
        <w:rPr>
          <w:rFonts w:hint="eastAsia"/>
        </w:rPr>
        <w:t>—</w:t>
      </w:r>
      <w:r>
        <w:t xml:space="preserve">2023 </w:t>
      </w:r>
      <w:r>
        <w:rPr>
          <w:rFonts w:hint="eastAsia"/>
        </w:rPr>
        <w:t xml:space="preserve">数据质量 </w:t>
      </w:r>
      <w:r>
        <w:t xml:space="preserve"> </w:t>
      </w:r>
      <w:r>
        <w:rPr>
          <w:rFonts w:hint="eastAsia"/>
        </w:rPr>
        <w:t>第63部分：数据质量管理：过程测量</w:t>
      </w:r>
    </w:p>
    <w:p w14:paraId="4A80AE16">
      <w:pPr>
        <w:pStyle w:val="56"/>
        <w:spacing w:line="360" w:lineRule="auto"/>
        <w:ind w:firstLine="420"/>
      </w:pPr>
      <w:r>
        <w:t>HJ 8.2</w:t>
      </w:r>
      <w:r>
        <w:rPr>
          <w:rFonts w:hint="eastAsia"/>
        </w:rPr>
        <w:t>—</w:t>
      </w:r>
      <w:r>
        <w:t xml:space="preserve">2020 </w:t>
      </w:r>
      <w:r>
        <w:rPr>
          <w:rFonts w:hint="eastAsia"/>
        </w:rPr>
        <w:t xml:space="preserve">生态环境档案管理规范 </w:t>
      </w:r>
      <w:r>
        <w:t xml:space="preserve"> </w:t>
      </w:r>
      <w:r>
        <w:rPr>
          <w:rFonts w:hint="eastAsia"/>
        </w:rPr>
        <w:t>生态环境监测</w:t>
      </w:r>
    </w:p>
    <w:p w14:paraId="6962992E">
      <w:pPr>
        <w:pStyle w:val="104"/>
        <w:spacing w:before="240" w:after="240" w:line="360" w:lineRule="auto"/>
      </w:pPr>
      <w:bookmarkStart w:id="48" w:name="_Toc97192966"/>
      <w:bookmarkStart w:id="49" w:name="_Toc209902641"/>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5277E8C7">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生态环境监测 ecological environment monitoring</w:t>
      </w:r>
    </w:p>
    <w:p w14:paraId="5D29FE9F">
      <w:pPr>
        <w:pStyle w:val="56"/>
        <w:spacing w:line="360" w:lineRule="auto"/>
        <w:ind w:firstLine="420"/>
        <w:rPr>
          <w:rFonts w:hint="eastAsia"/>
        </w:rPr>
      </w:pPr>
      <w:r>
        <w:rPr>
          <w:rFonts w:hint="eastAsia"/>
        </w:rPr>
        <w:t>指通过系统化方法，对空气、水体、土壤、生态系统及相关环境要素进行长期、连续或周期性观测和测量，以获取环境状态和变化趋势的数据活动。</w:t>
      </w:r>
    </w:p>
    <w:p w14:paraId="12E23E44">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监测数据 monitoring data</w:t>
      </w:r>
    </w:p>
    <w:p w14:paraId="0C7B6CA8">
      <w:pPr>
        <w:pStyle w:val="56"/>
        <w:spacing w:line="360" w:lineRule="auto"/>
        <w:ind w:firstLine="420"/>
        <w:rPr>
          <w:rFonts w:hint="eastAsia"/>
        </w:rPr>
      </w:pPr>
      <w:r>
        <w:rPr>
          <w:rFonts w:hint="eastAsia"/>
        </w:rPr>
        <w:t>指在生态环境监测过程中通过仪器、设备和人工记录获得的原始测量数据、处理数据及其附属信息，用于反映环境状况、评估变化和指导管理决策。</w:t>
      </w:r>
    </w:p>
    <w:p w14:paraId="15848763">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数据可信性 data reliability</w:t>
      </w:r>
    </w:p>
    <w:p w14:paraId="184A9558">
      <w:pPr>
        <w:pStyle w:val="56"/>
        <w:spacing w:line="360" w:lineRule="auto"/>
        <w:ind w:firstLine="420"/>
        <w:rPr>
          <w:rFonts w:hint="eastAsia"/>
        </w:rPr>
      </w:pPr>
      <w:r>
        <w:rPr>
          <w:rFonts w:hint="eastAsia"/>
        </w:rPr>
        <w:t>指监测数据真实、准确、完整、可重复和可验证的程度，能够反映环境现状并满足科学分析和管理决策的要求。</w:t>
      </w:r>
    </w:p>
    <w:p w14:paraId="18967D4A">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数据追溯 data traceability</w:t>
      </w:r>
    </w:p>
    <w:p w14:paraId="60512C3D">
      <w:pPr>
        <w:pStyle w:val="56"/>
        <w:spacing w:line="360" w:lineRule="auto"/>
        <w:ind w:firstLine="420"/>
        <w:rPr>
          <w:rFonts w:hint="eastAsia"/>
        </w:rPr>
      </w:pPr>
      <w:r>
        <w:rPr>
          <w:rFonts w:hint="eastAsia"/>
        </w:rPr>
        <w:t>指对监测数据从采集、传输、处理到存储和应用全过程建立可识别、可核查、可验证的记录体系，确保数据来源明确、处理路径可追踪。</w:t>
      </w:r>
    </w:p>
    <w:p w14:paraId="1C2AAFB8">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质控 quality control</w:t>
      </w:r>
    </w:p>
    <w:p w14:paraId="2CA3E1A3">
      <w:pPr>
        <w:pStyle w:val="56"/>
        <w:spacing w:line="360" w:lineRule="auto"/>
        <w:ind w:firstLine="420"/>
        <w:rPr>
          <w:rFonts w:hint="eastAsia"/>
        </w:rPr>
      </w:pPr>
      <w:r>
        <w:rPr>
          <w:rFonts w:hint="eastAsia"/>
        </w:rPr>
        <w:t>指在数据采集、传输、处理和存储过程中，采取系统化措施，监控、验证和纠正可能影响数据质量的因素，确保数据准确性和可靠性。</w:t>
      </w:r>
    </w:p>
    <w:p w14:paraId="68A1A21E">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采集设备校准 instrument calibration</w:t>
      </w:r>
    </w:p>
    <w:p w14:paraId="1BD550B6">
      <w:pPr>
        <w:pStyle w:val="56"/>
        <w:spacing w:line="360" w:lineRule="auto"/>
        <w:ind w:firstLine="420"/>
        <w:rPr>
          <w:rFonts w:hint="eastAsia"/>
        </w:rPr>
      </w:pPr>
      <w:r>
        <w:rPr>
          <w:rFonts w:hint="eastAsia"/>
        </w:rPr>
        <w:t>指通过标准样品或标准方法，对监测设备的测量精度和性能进行检验和调整，确保设备输出数据符合规定精度要求。</w:t>
      </w:r>
    </w:p>
    <w:p w14:paraId="70B76088">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数据完整性 data integrity</w:t>
      </w:r>
    </w:p>
    <w:p w14:paraId="45FF3266">
      <w:pPr>
        <w:pStyle w:val="56"/>
        <w:spacing w:line="360" w:lineRule="auto"/>
        <w:ind w:firstLine="420"/>
        <w:rPr>
          <w:rFonts w:hint="eastAsia"/>
        </w:rPr>
      </w:pPr>
      <w:r>
        <w:rPr>
          <w:rFonts w:hint="eastAsia"/>
        </w:rPr>
        <w:t>指数据在采集、传输、处理、存储及应用全过程中未发生丢失、篡改或损坏，能够完整记录监测过程和结果。</w:t>
      </w:r>
    </w:p>
    <w:p w14:paraId="4C3D448E">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数据标准化 data standardization</w:t>
      </w:r>
    </w:p>
    <w:p w14:paraId="657BCA7C">
      <w:pPr>
        <w:pStyle w:val="56"/>
        <w:spacing w:line="360" w:lineRule="auto"/>
        <w:ind w:firstLine="420"/>
        <w:rPr>
          <w:rFonts w:hint="eastAsia"/>
        </w:rPr>
      </w:pPr>
      <w:r>
        <w:rPr>
          <w:rFonts w:hint="eastAsia"/>
        </w:rPr>
        <w:t>指对监测数据按照统一的格式、单位、命名规范和编码规则进行规范化处理，使不同来源和类型的数据具有可比性和可整合性。</w:t>
      </w:r>
    </w:p>
    <w:p w14:paraId="69CB346B">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异常值处理 outlier handling</w:t>
      </w:r>
    </w:p>
    <w:p w14:paraId="33A6D120">
      <w:pPr>
        <w:pStyle w:val="56"/>
        <w:spacing w:line="360" w:lineRule="auto"/>
        <w:ind w:firstLine="420"/>
        <w:rPr>
          <w:rFonts w:hint="eastAsia"/>
        </w:rPr>
      </w:pPr>
      <w:r>
        <w:rPr>
          <w:rFonts w:hint="eastAsia"/>
        </w:rPr>
        <w:t>指在监测数据质量控制过程中，识别和处理可能存在的异常数据或偏差数据，保证数据分析结果的科学性和准确性。</w:t>
      </w:r>
    </w:p>
    <w:p w14:paraId="34806E93">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数据管理平台 data management platform</w:t>
      </w:r>
    </w:p>
    <w:p w14:paraId="12062132">
      <w:pPr>
        <w:pStyle w:val="56"/>
        <w:spacing w:line="360" w:lineRule="auto"/>
        <w:ind w:firstLine="420"/>
      </w:pPr>
      <w:r>
        <w:rPr>
          <w:rFonts w:hint="eastAsia"/>
        </w:rPr>
        <w:t>指用于监测数据采集、传输、存储、分析、可视化及追溯的综合信息化系统，支持数据全生命周期管理和智能化应用。</w:t>
      </w:r>
    </w:p>
    <w:p w14:paraId="0A6C761F">
      <w:pPr>
        <w:pStyle w:val="104"/>
        <w:spacing w:before="240" w:after="240" w:line="360" w:lineRule="auto"/>
        <w:rPr>
          <w:rFonts w:hint="eastAsia"/>
        </w:rPr>
      </w:pPr>
      <w:bookmarkStart w:id="51" w:name="_Toc209902642"/>
      <w:r>
        <w:rPr>
          <w:rFonts w:hint="eastAsia"/>
        </w:rPr>
        <w:t>总体原则</w:t>
      </w:r>
      <w:bookmarkEnd w:id="51"/>
    </w:p>
    <w:p w14:paraId="4EB02F22">
      <w:pPr>
        <w:pStyle w:val="105"/>
        <w:spacing w:before="120" w:after="120" w:line="360" w:lineRule="auto"/>
        <w:rPr>
          <w:rFonts w:hint="eastAsia"/>
        </w:rPr>
      </w:pPr>
      <w:r>
        <w:rPr>
          <w:rFonts w:hint="eastAsia"/>
        </w:rPr>
        <w:t>安全性与可靠性</w:t>
      </w:r>
    </w:p>
    <w:p w14:paraId="580D1D2B">
      <w:pPr>
        <w:pStyle w:val="56"/>
        <w:spacing w:line="360" w:lineRule="auto"/>
        <w:ind w:firstLine="420"/>
        <w:rPr>
          <w:rFonts w:hint="eastAsia"/>
        </w:rPr>
      </w:pPr>
      <w:r>
        <w:rPr>
          <w:rFonts w:hint="eastAsia"/>
        </w:rPr>
        <w:t>生态环境监测数据的采集、传输、处理和存储应确保数据安全和可靠。所有操作环节应防止数据丢失、篡改、重复或遗漏，保证数据的真实性和完整性，为环境管理、科研分析及政策制定提供可信基础。</w:t>
      </w:r>
    </w:p>
    <w:p w14:paraId="41762A5C">
      <w:pPr>
        <w:pStyle w:val="105"/>
        <w:spacing w:before="120" w:after="120" w:line="360" w:lineRule="auto"/>
        <w:rPr>
          <w:rFonts w:hint="eastAsia"/>
        </w:rPr>
      </w:pPr>
      <w:r>
        <w:rPr>
          <w:rFonts w:hint="eastAsia"/>
        </w:rPr>
        <w:t>全流程管理</w:t>
      </w:r>
    </w:p>
    <w:p w14:paraId="6D43DE71">
      <w:pPr>
        <w:pStyle w:val="56"/>
        <w:spacing w:line="360" w:lineRule="auto"/>
        <w:ind w:firstLine="420"/>
        <w:rPr>
          <w:rFonts w:hint="eastAsia"/>
        </w:rPr>
      </w:pPr>
      <w:r>
        <w:rPr>
          <w:rFonts w:hint="eastAsia"/>
        </w:rPr>
        <w:t>数据可信追溯和质控应覆盖整个监测流程，包括数据采集、仪器校准、传输、处理、分析、存储及应用。任何环节出现问题都可能影响数据质量，因此应建立系统化管理措施，确保每一环节均可追踪、可复核。</w:t>
      </w:r>
    </w:p>
    <w:p w14:paraId="695B6180">
      <w:pPr>
        <w:pStyle w:val="105"/>
        <w:spacing w:before="120" w:after="120" w:line="360" w:lineRule="auto"/>
        <w:rPr>
          <w:rFonts w:hint="eastAsia"/>
        </w:rPr>
      </w:pPr>
      <w:r>
        <w:rPr>
          <w:rFonts w:hint="eastAsia"/>
        </w:rPr>
        <w:t>标准化与规范化</w:t>
      </w:r>
    </w:p>
    <w:p w14:paraId="71B86B53">
      <w:pPr>
        <w:pStyle w:val="56"/>
        <w:spacing w:line="360" w:lineRule="auto"/>
        <w:ind w:firstLine="420"/>
        <w:rPr>
          <w:rFonts w:hint="eastAsia"/>
        </w:rPr>
      </w:pPr>
      <w:r>
        <w:rPr>
          <w:rFonts w:hint="eastAsia"/>
        </w:rPr>
        <w:t>监测数据及其处理过程应遵循统一标准和规范，包括数据格式、命名规则、单位、精度要求及记录方式。标准化处理有助于不同机构、不同时间、不同方法产生的数据能够进行有效对比和整合，提高数据应用价值。</w:t>
      </w:r>
    </w:p>
    <w:p w14:paraId="7F10EFD2">
      <w:pPr>
        <w:pStyle w:val="105"/>
        <w:spacing w:before="120" w:after="120" w:line="360" w:lineRule="auto"/>
        <w:rPr>
          <w:rFonts w:hint="eastAsia"/>
        </w:rPr>
      </w:pPr>
      <w:r>
        <w:rPr>
          <w:rFonts w:hint="eastAsia"/>
        </w:rPr>
        <w:t>科学性与合理性</w:t>
      </w:r>
    </w:p>
    <w:p w14:paraId="47CD44F9">
      <w:pPr>
        <w:pStyle w:val="56"/>
        <w:spacing w:line="360" w:lineRule="auto"/>
        <w:ind w:firstLine="420"/>
        <w:rPr>
          <w:rFonts w:hint="eastAsia"/>
        </w:rPr>
      </w:pPr>
      <w:r>
        <w:rPr>
          <w:rFonts w:hint="eastAsia"/>
        </w:rPr>
        <w:t>监测数据的采集与处理应基于科学原理和技术规范，结合环境指标特性、监测方法及设备性能，合理设置采样频次、采样点位及监测参数，保证数据具有代表性和可分析性。</w:t>
      </w:r>
    </w:p>
    <w:p w14:paraId="15D4DC52">
      <w:pPr>
        <w:pStyle w:val="105"/>
        <w:spacing w:before="120" w:after="120" w:line="360" w:lineRule="auto"/>
        <w:rPr>
          <w:rFonts w:hint="eastAsia"/>
        </w:rPr>
      </w:pPr>
      <w:r>
        <w:rPr>
          <w:rFonts w:hint="eastAsia"/>
        </w:rPr>
        <w:t>可追溯性</w:t>
      </w:r>
    </w:p>
    <w:p w14:paraId="2214E36C">
      <w:pPr>
        <w:pStyle w:val="56"/>
        <w:spacing w:line="360" w:lineRule="auto"/>
        <w:ind w:firstLine="420"/>
        <w:rPr>
          <w:rFonts w:hint="eastAsia"/>
        </w:rPr>
      </w:pPr>
      <w:r>
        <w:rPr>
          <w:rFonts w:hint="eastAsia"/>
        </w:rPr>
        <w:t>所有监测数据应建立可追溯体系，记录采集时间、地点、方法、设备、操作人员及数据处理过程，确保任何数据点都可以追溯至原始来源。可追溯性是保障数据质量、支撑环境评估和决策的重要基础。</w:t>
      </w:r>
    </w:p>
    <w:p w14:paraId="4CBEA3CB">
      <w:pPr>
        <w:pStyle w:val="105"/>
        <w:spacing w:before="120" w:after="120" w:line="360" w:lineRule="auto"/>
        <w:rPr>
          <w:rFonts w:hint="eastAsia"/>
        </w:rPr>
      </w:pPr>
      <w:r>
        <w:rPr>
          <w:rFonts w:hint="eastAsia"/>
        </w:rPr>
        <w:t>质量控制</w:t>
      </w:r>
    </w:p>
    <w:p w14:paraId="489E7A1D">
      <w:pPr>
        <w:pStyle w:val="56"/>
        <w:spacing w:line="360" w:lineRule="auto"/>
        <w:ind w:firstLine="420"/>
        <w:rPr>
          <w:rFonts w:hint="eastAsia"/>
        </w:rPr>
      </w:pPr>
      <w:r>
        <w:rPr>
          <w:rFonts w:hint="eastAsia"/>
        </w:rPr>
        <w:t>监测数据的质量控制应在采集前、采集中及采集后全过程实施，包括仪器设备校准、现场采样规范、数据录入与处理检查、异常值识别与处理、数据审核与复核等环节，确保数据满足精度和可靠性要求。</w:t>
      </w:r>
    </w:p>
    <w:p w14:paraId="07157642">
      <w:pPr>
        <w:pStyle w:val="105"/>
        <w:spacing w:before="120" w:after="120" w:line="360" w:lineRule="auto"/>
        <w:rPr>
          <w:rFonts w:hint="eastAsia"/>
        </w:rPr>
      </w:pPr>
      <w:r>
        <w:rPr>
          <w:rFonts w:hint="eastAsia"/>
        </w:rPr>
        <w:t>持续改进</w:t>
      </w:r>
    </w:p>
    <w:p w14:paraId="39B29B87">
      <w:pPr>
        <w:pStyle w:val="56"/>
        <w:spacing w:line="360" w:lineRule="auto"/>
        <w:ind w:firstLine="420"/>
      </w:pPr>
      <w:r>
        <w:rPr>
          <w:rFonts w:hint="eastAsia"/>
        </w:rPr>
        <w:t>应结合监测实践经验、技术进步及标准更新，持续优化数据采集、处理和管理流程。通过总结问题、改进方法、引入新技术，提高数据可信度和质控水平，推动生态环境监测数据管理的科学化、规范化和信息化发展。</w:t>
      </w:r>
    </w:p>
    <w:p w14:paraId="72832647">
      <w:pPr>
        <w:pStyle w:val="104"/>
        <w:spacing w:before="240" w:after="240" w:line="360" w:lineRule="auto"/>
        <w:rPr>
          <w:rFonts w:hint="eastAsia"/>
        </w:rPr>
      </w:pPr>
      <w:bookmarkStart w:id="52" w:name="_Toc209902643"/>
      <w:r>
        <w:rPr>
          <w:rFonts w:hint="eastAsia"/>
        </w:rPr>
        <w:t>数据采集与传输管理</w:t>
      </w:r>
      <w:bookmarkEnd w:id="52"/>
    </w:p>
    <w:p w14:paraId="07C63AA2">
      <w:pPr>
        <w:pStyle w:val="105"/>
        <w:spacing w:before="120" w:after="120" w:line="360" w:lineRule="auto"/>
        <w:rPr>
          <w:rFonts w:hint="eastAsia"/>
        </w:rPr>
      </w:pPr>
      <w:r>
        <w:rPr>
          <w:rFonts w:hint="eastAsia"/>
        </w:rPr>
        <w:t>采样点布设与采样频次</w:t>
      </w:r>
    </w:p>
    <w:p w14:paraId="5AC41072">
      <w:pPr>
        <w:pStyle w:val="56"/>
        <w:spacing w:line="360" w:lineRule="auto"/>
        <w:ind w:firstLine="420"/>
        <w:rPr>
          <w:rFonts w:hint="eastAsia"/>
        </w:rPr>
      </w:pPr>
      <w:r>
        <w:rPr>
          <w:rFonts w:hint="eastAsia"/>
        </w:rPr>
        <w:t>在生态环境监测中，采样点的选取应根据监测目标、环境特征和区域代表性确定，确保数据能够反映真实的环境状况。采样点应覆盖重点污染源、敏感区域及背景环境，并结合监测目的确定采样频次和采样时间，保证数据具有连续性和可比性。</w:t>
      </w:r>
    </w:p>
    <w:p w14:paraId="5EA8FED0">
      <w:pPr>
        <w:pStyle w:val="105"/>
        <w:spacing w:before="120" w:after="120" w:line="360" w:lineRule="auto"/>
        <w:rPr>
          <w:rFonts w:hint="eastAsia"/>
        </w:rPr>
      </w:pPr>
      <w:r>
        <w:rPr>
          <w:rFonts w:hint="eastAsia"/>
        </w:rPr>
        <w:t>采样方法规范</w:t>
      </w:r>
    </w:p>
    <w:p w14:paraId="14445465">
      <w:pPr>
        <w:pStyle w:val="56"/>
        <w:spacing w:line="360" w:lineRule="auto"/>
        <w:ind w:firstLine="420"/>
        <w:rPr>
          <w:rFonts w:hint="eastAsia"/>
        </w:rPr>
      </w:pPr>
      <w:r>
        <w:rPr>
          <w:rFonts w:hint="eastAsia"/>
        </w:rPr>
        <w:t>采样应严格按照标准方法执行，包括空气、水体、土壤及生物样品的采集。采样工具、容器及保存条件应符合规定，避免污染、交叉或样品降解。采样过程中应记录采样环境参数，如温度、湿度、水流速、风速及相关操作条件，为后续数据分析提供参考。</w:t>
      </w:r>
    </w:p>
    <w:p w14:paraId="20F96EA0">
      <w:pPr>
        <w:pStyle w:val="105"/>
        <w:spacing w:before="120" w:after="120" w:line="360" w:lineRule="auto"/>
        <w:rPr>
          <w:rFonts w:hint="eastAsia"/>
        </w:rPr>
      </w:pPr>
      <w:r>
        <w:rPr>
          <w:rFonts w:hint="eastAsia"/>
        </w:rPr>
        <w:t>仪器设备校准与管理</w:t>
      </w:r>
    </w:p>
    <w:p w14:paraId="1C15C4F2">
      <w:pPr>
        <w:pStyle w:val="56"/>
        <w:spacing w:line="360" w:lineRule="auto"/>
        <w:ind w:firstLine="420"/>
        <w:rPr>
          <w:rFonts w:hint="eastAsia"/>
        </w:rPr>
      </w:pPr>
      <w:r>
        <w:rPr>
          <w:rFonts w:hint="eastAsia"/>
        </w:rPr>
        <w:t>所有采集设备应定期进行校准，确保测量精度符合国家标准和技术规范要求。校准记录应完整保留，并在设备使用前检查设备状态和性能。关键仪器和设备应建立使用台账和维护记录，实现设备生命周期管理。</w:t>
      </w:r>
    </w:p>
    <w:p w14:paraId="1EE6C423">
      <w:pPr>
        <w:pStyle w:val="105"/>
        <w:spacing w:before="120" w:after="120" w:line="360" w:lineRule="auto"/>
        <w:rPr>
          <w:rFonts w:hint="eastAsia"/>
        </w:rPr>
      </w:pPr>
      <w:r>
        <w:rPr>
          <w:rFonts w:hint="eastAsia"/>
        </w:rPr>
        <w:t>数据传输安全</w:t>
      </w:r>
    </w:p>
    <w:p w14:paraId="15FF27D8">
      <w:pPr>
        <w:pStyle w:val="56"/>
        <w:spacing w:line="360" w:lineRule="auto"/>
        <w:ind w:firstLine="420"/>
        <w:rPr>
          <w:rFonts w:hint="eastAsia"/>
        </w:rPr>
      </w:pPr>
      <w:r>
        <w:rPr>
          <w:rFonts w:hint="eastAsia"/>
        </w:rPr>
        <w:t>采集完成的数据应通过安全、可靠的方式传输至数据管理平台或实验室系统。数据传输过程应采取加密、校验及备份措施，防止数据丢失、篡改或重复。对于远程监测设备，应建立自动数据上传、实时监控及异常报警机制，确保数据及时、完整地传输。</w:t>
      </w:r>
    </w:p>
    <w:p w14:paraId="67F7CFF0">
      <w:pPr>
        <w:pStyle w:val="105"/>
        <w:spacing w:before="120" w:after="120" w:line="360" w:lineRule="auto"/>
        <w:rPr>
          <w:rFonts w:hint="eastAsia"/>
        </w:rPr>
      </w:pPr>
      <w:r>
        <w:rPr>
          <w:rFonts w:hint="eastAsia"/>
        </w:rPr>
        <w:t>现场管理与操作规范</w:t>
      </w:r>
    </w:p>
    <w:p w14:paraId="28F12718">
      <w:pPr>
        <w:pStyle w:val="56"/>
        <w:spacing w:line="360" w:lineRule="auto"/>
        <w:ind w:firstLine="420"/>
        <w:rPr>
          <w:rFonts w:hint="eastAsia"/>
        </w:rPr>
      </w:pPr>
      <w:r>
        <w:rPr>
          <w:rFonts w:hint="eastAsia"/>
        </w:rPr>
        <w:t>采集过程中应明确操作人员责任，遵守安全操作规程，配备必要防护装备，确保人员及环境安全。采样记录、仪器参数及操作情况应同步记录，并形成可追溯的文档。对于特殊环境或高风险区域，应制定专项操作方案和应急预案，防止突发事件对数据质量或人员安全造成影响。</w:t>
      </w:r>
    </w:p>
    <w:p w14:paraId="27FC7634">
      <w:pPr>
        <w:pStyle w:val="105"/>
        <w:spacing w:before="120" w:after="120" w:line="360" w:lineRule="auto"/>
        <w:rPr>
          <w:rFonts w:hint="eastAsia"/>
        </w:rPr>
      </w:pPr>
      <w:r>
        <w:rPr>
          <w:rFonts w:hint="eastAsia"/>
        </w:rPr>
        <w:t>数据初步核验</w:t>
      </w:r>
    </w:p>
    <w:p w14:paraId="1B4F66A2">
      <w:pPr>
        <w:pStyle w:val="56"/>
        <w:spacing w:line="360" w:lineRule="auto"/>
        <w:ind w:firstLine="420"/>
        <w:rPr>
          <w:rFonts w:hint="eastAsia"/>
        </w:rPr>
      </w:pPr>
      <w:r>
        <w:rPr>
          <w:rFonts w:hint="eastAsia"/>
        </w:rPr>
        <w:t>数据采集完成后，应进行初步核验，包括完整性检查、数据格式检查及异常值识别。发现异常或缺失数据，应立即复查采样过程，必要时重新采样，确保进入处理环节的数据可靠、完整。</w:t>
      </w:r>
    </w:p>
    <w:p w14:paraId="222623B4">
      <w:pPr>
        <w:pStyle w:val="105"/>
        <w:spacing w:before="120" w:after="120" w:line="360" w:lineRule="auto"/>
        <w:rPr>
          <w:rFonts w:hint="eastAsia"/>
        </w:rPr>
      </w:pPr>
      <w:r>
        <w:rPr>
          <w:rFonts w:hint="eastAsia"/>
        </w:rPr>
        <w:t>备份与存档</w:t>
      </w:r>
    </w:p>
    <w:p w14:paraId="6227CA26">
      <w:pPr>
        <w:pStyle w:val="56"/>
        <w:spacing w:line="360" w:lineRule="auto"/>
        <w:ind w:firstLine="420"/>
      </w:pPr>
      <w:r>
        <w:rPr>
          <w:rFonts w:hint="eastAsia"/>
        </w:rPr>
        <w:t>采集的数据应建立本地和远程双重备份机制，确保数据在传输、存储及处理过程中不会丢失。采样记录、仪器参数、操作日志及环境条件应完整存档，为数据追溯和质量控制提供基础资料。</w:t>
      </w:r>
    </w:p>
    <w:p w14:paraId="30FFA8BD">
      <w:pPr>
        <w:pStyle w:val="104"/>
        <w:spacing w:before="240" w:after="240" w:line="360" w:lineRule="auto"/>
        <w:rPr>
          <w:rFonts w:hint="eastAsia"/>
        </w:rPr>
      </w:pPr>
      <w:bookmarkStart w:id="53" w:name="_Toc209902644"/>
      <w:r>
        <w:rPr>
          <w:rFonts w:hint="eastAsia"/>
        </w:rPr>
        <w:t>数据处理与质控</w:t>
      </w:r>
      <w:bookmarkEnd w:id="53"/>
    </w:p>
    <w:p w14:paraId="222CA908">
      <w:pPr>
        <w:pStyle w:val="105"/>
        <w:spacing w:before="120" w:after="120" w:line="360" w:lineRule="auto"/>
        <w:rPr>
          <w:rFonts w:hint="eastAsia"/>
        </w:rPr>
      </w:pPr>
      <w:r>
        <w:rPr>
          <w:rFonts w:hint="eastAsia"/>
        </w:rPr>
        <w:t>数据处理原则</w:t>
      </w:r>
    </w:p>
    <w:p w14:paraId="265D6289">
      <w:pPr>
        <w:pStyle w:val="56"/>
        <w:spacing w:line="360" w:lineRule="auto"/>
        <w:ind w:firstLine="420"/>
        <w:rPr>
          <w:rFonts w:hint="eastAsia"/>
        </w:rPr>
      </w:pPr>
      <w:r>
        <w:rPr>
          <w:rFonts w:hint="eastAsia"/>
        </w:rPr>
        <w:t>生态环境监测数据处理应遵循科学、系统、可追溯的原则。数据处理环节包括数据录入、清洗、校正、标准化、汇总和统计分析。所有处理过程应确保数据完整性、准确性和可比性，同时保留原始数据记录，保证数据可追溯。</w:t>
      </w:r>
    </w:p>
    <w:p w14:paraId="18D7E709">
      <w:pPr>
        <w:pStyle w:val="105"/>
        <w:spacing w:before="120" w:after="120" w:line="360" w:lineRule="auto"/>
        <w:rPr>
          <w:rFonts w:hint="eastAsia"/>
        </w:rPr>
      </w:pPr>
      <w:r>
        <w:rPr>
          <w:rFonts w:hint="eastAsia"/>
        </w:rPr>
        <w:t>数据录入与数字化管理</w:t>
      </w:r>
    </w:p>
    <w:p w14:paraId="2DC7132C">
      <w:pPr>
        <w:pStyle w:val="56"/>
        <w:spacing w:line="360" w:lineRule="auto"/>
        <w:ind w:firstLine="420"/>
        <w:rPr>
          <w:rFonts w:hint="eastAsia"/>
        </w:rPr>
      </w:pPr>
      <w:r>
        <w:rPr>
          <w:rFonts w:hint="eastAsia"/>
        </w:rPr>
        <w:t>现场采集的原始数据应及时录入数据管理系统，采用电子化、结构化格式存储。录入过程中应进行格式校验、字段完整性检查及重复数据排查，确保数据准确录入。纸质或手写记录应及时转录并与电子记录核对一致。</w:t>
      </w:r>
    </w:p>
    <w:p w14:paraId="672178D2">
      <w:pPr>
        <w:pStyle w:val="105"/>
        <w:spacing w:before="120" w:after="120" w:line="360" w:lineRule="auto"/>
        <w:rPr>
          <w:rFonts w:hint="eastAsia"/>
        </w:rPr>
      </w:pPr>
      <w:r>
        <w:rPr>
          <w:rFonts w:hint="eastAsia"/>
        </w:rPr>
        <w:t>数据清洗与异常值处理</w:t>
      </w:r>
    </w:p>
    <w:p w14:paraId="0A24F48C">
      <w:pPr>
        <w:pStyle w:val="56"/>
        <w:spacing w:line="360" w:lineRule="auto"/>
        <w:ind w:firstLine="420"/>
        <w:rPr>
          <w:rFonts w:hint="eastAsia"/>
        </w:rPr>
      </w:pPr>
      <w:r>
        <w:rPr>
          <w:rFonts w:hint="eastAsia"/>
        </w:rPr>
        <w:t>对监测数据进行清洗时，应识别和处理异常值、缺失值及噪声数据。异常值的识别可依据统计方法、历史数据趋势及现场采集记录进行。对于确认为错误或异常的数据，应标注处理方式，如剔除、修正或备注说明，确保最终分析结果的科学性和准确性。</w:t>
      </w:r>
    </w:p>
    <w:p w14:paraId="41853C96">
      <w:pPr>
        <w:pStyle w:val="105"/>
        <w:spacing w:before="120" w:after="120" w:line="360" w:lineRule="auto"/>
        <w:rPr>
          <w:rFonts w:hint="eastAsia"/>
        </w:rPr>
      </w:pPr>
      <w:r>
        <w:rPr>
          <w:rFonts w:hint="eastAsia"/>
        </w:rPr>
        <w:t>数据校正与标准化</w:t>
      </w:r>
    </w:p>
    <w:p w14:paraId="2F72226E">
      <w:pPr>
        <w:pStyle w:val="56"/>
        <w:spacing w:line="360" w:lineRule="auto"/>
        <w:ind w:firstLine="420"/>
        <w:rPr>
          <w:rFonts w:hint="eastAsia"/>
        </w:rPr>
      </w:pPr>
      <w:r>
        <w:rPr>
          <w:rFonts w:hint="eastAsia"/>
        </w:rPr>
        <w:t>数据处理过程中，应根据设备校准结果、环境条件及方法标准进行数据校正，消除系统误差和测量偏差。所有数据应统一单位、编码、命名规则和格式，实现标准化处理，便于跨机构、跨区域的数据对比和整合。</w:t>
      </w:r>
    </w:p>
    <w:p w14:paraId="306D458D">
      <w:pPr>
        <w:pStyle w:val="105"/>
        <w:spacing w:before="120" w:after="120" w:line="360" w:lineRule="auto"/>
        <w:rPr>
          <w:rFonts w:hint="eastAsia"/>
        </w:rPr>
      </w:pPr>
      <w:r>
        <w:rPr>
          <w:rFonts w:hint="eastAsia"/>
        </w:rPr>
        <w:t>质量控制措施</w:t>
      </w:r>
    </w:p>
    <w:p w14:paraId="6B120AEF">
      <w:pPr>
        <w:pStyle w:val="56"/>
        <w:spacing w:line="360" w:lineRule="auto"/>
        <w:ind w:firstLine="420"/>
        <w:rPr>
          <w:rFonts w:hint="eastAsia"/>
        </w:rPr>
      </w:pPr>
      <w:r>
        <w:rPr>
          <w:rFonts w:hint="eastAsia"/>
        </w:rPr>
        <w:t>在数据处理环节，应建立严格的质控措施，包括：</w:t>
      </w:r>
    </w:p>
    <w:p w14:paraId="13B7A128">
      <w:pPr>
        <w:pStyle w:val="132"/>
        <w:spacing w:line="360" w:lineRule="auto"/>
        <w:rPr>
          <w:rFonts w:hint="eastAsia"/>
        </w:rPr>
      </w:pPr>
      <w:r>
        <w:rPr>
          <w:rFonts w:hint="eastAsia"/>
        </w:rPr>
        <w:t>双人复核：关键数据录入、处理及分析环节应由不同人员复核，确保准确无误；</w:t>
      </w:r>
    </w:p>
    <w:p w14:paraId="61C4631D">
      <w:pPr>
        <w:pStyle w:val="132"/>
        <w:spacing w:line="360" w:lineRule="auto"/>
        <w:rPr>
          <w:rFonts w:hint="eastAsia"/>
        </w:rPr>
      </w:pPr>
      <w:r>
        <w:rPr>
          <w:rFonts w:hint="eastAsia"/>
        </w:rPr>
        <w:t>数据审核：采用软件或人工方法对处理结果进行一致性、完整性和合理性检查；</w:t>
      </w:r>
    </w:p>
    <w:p w14:paraId="1F1CCADD">
      <w:pPr>
        <w:pStyle w:val="132"/>
        <w:spacing w:line="360" w:lineRule="auto"/>
        <w:rPr>
          <w:rFonts w:hint="eastAsia"/>
        </w:rPr>
      </w:pPr>
      <w:r>
        <w:rPr>
          <w:rFonts w:hint="eastAsia"/>
        </w:rPr>
        <w:t>版本管理：对数据处理结果进行版本控制，记录每次处理和修改的时间、操作人员及处理说明；</w:t>
      </w:r>
    </w:p>
    <w:p w14:paraId="2DC523AD">
      <w:pPr>
        <w:pStyle w:val="132"/>
        <w:spacing w:line="360" w:lineRule="auto"/>
        <w:rPr>
          <w:rFonts w:hint="eastAsia"/>
        </w:rPr>
      </w:pPr>
      <w:r>
        <w:rPr>
          <w:rFonts w:hint="eastAsia"/>
        </w:rPr>
        <w:t>结果验证：对关键指标和分析结果进行统计或实验验证，确保数据合理性和可靠性。</w:t>
      </w:r>
    </w:p>
    <w:p w14:paraId="4E581C1B">
      <w:pPr>
        <w:pStyle w:val="105"/>
        <w:spacing w:before="120" w:after="120" w:line="360" w:lineRule="auto"/>
        <w:rPr>
          <w:rFonts w:hint="eastAsia"/>
        </w:rPr>
      </w:pPr>
      <w:r>
        <w:rPr>
          <w:rFonts w:hint="eastAsia"/>
        </w:rPr>
        <w:t>数据分析与可视化</w:t>
      </w:r>
    </w:p>
    <w:p w14:paraId="253B0A75">
      <w:pPr>
        <w:pStyle w:val="56"/>
        <w:spacing w:line="360" w:lineRule="auto"/>
        <w:ind w:firstLine="420"/>
        <w:rPr>
          <w:rFonts w:hint="eastAsia"/>
        </w:rPr>
      </w:pPr>
      <w:r>
        <w:rPr>
          <w:rFonts w:hint="eastAsia"/>
        </w:rPr>
        <w:t>在完成数据清洗和校正后，应对数据进行统计分析、趋势分析及可视化展示。分析方法应科学合理，符合环境监测指标的特性，并根据分析结果提供异常识别、趋势预警及决策支持。可视化结果应与原始数据关联，便于追溯和验证。</w:t>
      </w:r>
    </w:p>
    <w:p w14:paraId="3BAF40B5">
      <w:pPr>
        <w:pStyle w:val="105"/>
        <w:spacing w:before="120" w:after="120" w:line="360" w:lineRule="auto"/>
        <w:rPr>
          <w:rFonts w:hint="eastAsia"/>
        </w:rPr>
      </w:pPr>
      <w:r>
        <w:rPr>
          <w:rFonts w:hint="eastAsia"/>
        </w:rPr>
        <w:t>处理过程记录与追溯</w:t>
      </w:r>
    </w:p>
    <w:p w14:paraId="4D523060">
      <w:pPr>
        <w:pStyle w:val="56"/>
        <w:spacing w:line="360" w:lineRule="auto"/>
        <w:ind w:firstLine="420"/>
        <w:rPr>
          <w:rFonts w:hint="eastAsia"/>
        </w:rPr>
      </w:pPr>
      <w:r>
        <w:rPr>
          <w:rFonts w:hint="eastAsia"/>
        </w:rPr>
        <w:t>数据处理全过程应形成完整记录，包括处理方法、操作步骤、软件工具、参数设置及异常处理说明。所有记录应可追溯至原始采集数据，确保任何处理结果都可以查证来源和处理路径，为监管、审计及科研提供依据。</w:t>
      </w:r>
    </w:p>
    <w:p w14:paraId="347C1CAB">
      <w:pPr>
        <w:pStyle w:val="105"/>
        <w:spacing w:before="120" w:after="120" w:line="360" w:lineRule="auto"/>
        <w:rPr>
          <w:rFonts w:hint="eastAsia"/>
        </w:rPr>
      </w:pPr>
      <w:r>
        <w:rPr>
          <w:rFonts w:hint="eastAsia"/>
        </w:rPr>
        <w:t>数据安全与备份</w:t>
      </w:r>
    </w:p>
    <w:p w14:paraId="7F62ECBF">
      <w:pPr>
        <w:pStyle w:val="56"/>
        <w:spacing w:line="360" w:lineRule="auto"/>
        <w:ind w:firstLine="420"/>
      </w:pPr>
      <w:r>
        <w:rPr>
          <w:rFonts w:hint="eastAsia"/>
        </w:rPr>
        <w:t>处理完成的数据应进行备份，包括本地备份和远程备份，确保数据在存储和传输过程中不丢失或被篡改。对于敏感或重要数据，应采取加密、权限管理及安全审计措施，保障数据安全与可控性。</w:t>
      </w:r>
    </w:p>
    <w:p w14:paraId="24B98EED">
      <w:pPr>
        <w:pStyle w:val="104"/>
        <w:spacing w:before="240" w:after="240" w:line="360" w:lineRule="auto"/>
        <w:rPr>
          <w:rFonts w:hint="eastAsia"/>
        </w:rPr>
      </w:pPr>
      <w:bookmarkStart w:id="54" w:name="_Toc209902645"/>
      <w:r>
        <w:rPr>
          <w:rFonts w:hint="eastAsia"/>
        </w:rPr>
        <w:t>数据存储与档案管理</w:t>
      </w:r>
      <w:bookmarkEnd w:id="54"/>
    </w:p>
    <w:p w14:paraId="6BB8B6A8">
      <w:pPr>
        <w:pStyle w:val="105"/>
        <w:spacing w:before="120" w:after="120" w:line="360" w:lineRule="auto"/>
        <w:rPr>
          <w:rFonts w:hint="eastAsia"/>
        </w:rPr>
      </w:pPr>
      <w:r>
        <w:rPr>
          <w:rFonts w:hint="eastAsia"/>
        </w:rPr>
        <w:t>存储原则</w:t>
      </w:r>
    </w:p>
    <w:p w14:paraId="28442D44">
      <w:pPr>
        <w:pStyle w:val="56"/>
        <w:spacing w:line="360" w:lineRule="auto"/>
        <w:ind w:firstLine="420"/>
        <w:rPr>
          <w:rFonts w:hint="eastAsia"/>
        </w:rPr>
      </w:pPr>
      <w:r>
        <w:rPr>
          <w:rFonts w:hint="eastAsia"/>
        </w:rPr>
        <w:t>生态环境监测数据存储应遵循完整性、可追溯性和安全性原则，保证数据在整个生命周期内不丢失、不篡改，并能够随时追溯到原始采集来源。存储方式应兼顾电子化和纸质记录，确保数据管理系统稳定、可靠，支持长期存储与快速访问。</w:t>
      </w:r>
    </w:p>
    <w:p w14:paraId="5EC05696">
      <w:pPr>
        <w:pStyle w:val="105"/>
        <w:spacing w:before="120" w:after="120" w:line="360" w:lineRule="auto"/>
        <w:rPr>
          <w:rFonts w:hint="eastAsia"/>
        </w:rPr>
      </w:pPr>
      <w:r>
        <w:rPr>
          <w:rFonts w:hint="eastAsia"/>
        </w:rPr>
        <w:t>存储结构设计</w:t>
      </w:r>
    </w:p>
    <w:p w14:paraId="13C6AC8F">
      <w:pPr>
        <w:pStyle w:val="56"/>
        <w:spacing w:line="360" w:lineRule="auto"/>
        <w:ind w:firstLine="420"/>
        <w:rPr>
          <w:rFonts w:hint="eastAsia"/>
        </w:rPr>
      </w:pPr>
      <w:r>
        <w:rPr>
          <w:rFonts w:hint="eastAsia"/>
        </w:rPr>
        <w:t>数据存储应建立科学的层级结构，包括原始数据、处理数据、分析结果、报告及档案记录等不同类别。每类数据应明确存储路径、文件命名规则、版本管理和权限控制，实现有序、规范的档案管理。数据管理平台应支持多级分类、标签索引及搜索功能，便于快速检索与分析。</w:t>
      </w:r>
    </w:p>
    <w:p w14:paraId="1175F859">
      <w:pPr>
        <w:pStyle w:val="105"/>
        <w:spacing w:before="120" w:after="120" w:line="360" w:lineRule="auto"/>
        <w:rPr>
          <w:rFonts w:hint="eastAsia"/>
        </w:rPr>
      </w:pPr>
      <w:r>
        <w:rPr>
          <w:rFonts w:hint="eastAsia"/>
        </w:rPr>
        <w:t>备份与容灾管理</w:t>
      </w:r>
    </w:p>
    <w:p w14:paraId="75C5263A">
      <w:pPr>
        <w:pStyle w:val="56"/>
        <w:spacing w:line="360" w:lineRule="auto"/>
        <w:ind w:firstLine="420"/>
        <w:rPr>
          <w:rFonts w:hint="eastAsia"/>
        </w:rPr>
      </w:pPr>
      <w:r>
        <w:rPr>
          <w:rFonts w:hint="eastAsia"/>
        </w:rPr>
        <w:t>监测数据应采用本地备份、异地备份及云端备份等多重方式，确保数据在系统故障、自然灾害或意外操作时可快速恢复。备份应定期进行校验，验证数据完整性和可用性，并记录备份时间、操作人员及版本信息。</w:t>
      </w:r>
    </w:p>
    <w:p w14:paraId="063D5307">
      <w:pPr>
        <w:pStyle w:val="105"/>
        <w:spacing w:before="120" w:after="120" w:line="360" w:lineRule="auto"/>
        <w:rPr>
          <w:rFonts w:hint="eastAsia"/>
        </w:rPr>
      </w:pPr>
      <w:r>
        <w:rPr>
          <w:rFonts w:hint="eastAsia"/>
        </w:rPr>
        <w:t>权限管理与安全控制</w:t>
      </w:r>
    </w:p>
    <w:p w14:paraId="79A6F879">
      <w:pPr>
        <w:pStyle w:val="56"/>
        <w:spacing w:line="360" w:lineRule="auto"/>
        <w:ind w:firstLine="420"/>
        <w:rPr>
          <w:rFonts w:hint="eastAsia"/>
        </w:rPr>
      </w:pPr>
      <w:r>
        <w:rPr>
          <w:rFonts w:hint="eastAsia"/>
        </w:rPr>
        <w:t>数据存储系统应建立严格的权限管理制度，对不同用户设定访问、编辑和审核权限。对于关键或敏感数据，应采用加密存储、访问审计及安全认证机制，防止未授权访问、数据泄露或篡改。</w:t>
      </w:r>
    </w:p>
    <w:p w14:paraId="66400166">
      <w:pPr>
        <w:pStyle w:val="105"/>
        <w:spacing w:before="120" w:after="120" w:line="360" w:lineRule="auto"/>
        <w:rPr>
          <w:rFonts w:hint="eastAsia"/>
        </w:rPr>
      </w:pPr>
      <w:r>
        <w:rPr>
          <w:rFonts w:hint="eastAsia"/>
        </w:rPr>
        <w:t>长期保存与档案归档</w:t>
      </w:r>
    </w:p>
    <w:p w14:paraId="408285D0">
      <w:pPr>
        <w:pStyle w:val="56"/>
        <w:spacing w:line="360" w:lineRule="auto"/>
        <w:ind w:firstLine="420"/>
        <w:rPr>
          <w:rFonts w:hint="eastAsia"/>
        </w:rPr>
      </w:pPr>
      <w:r>
        <w:rPr>
          <w:rFonts w:hint="eastAsia"/>
        </w:rPr>
        <w:t>生态环境监测数据应按照国家相关法律法规及行业规范进行长期保存，保证数据在环境评估、科研分析及政策决策中的可用性。档案归档包括原始数据、处理数据、分析报告、异常处理记录及质量控制记录等，并应建立电子化与纸质化档案对照机制，确保信息完整、可追溯和可核查。</w:t>
      </w:r>
    </w:p>
    <w:p w14:paraId="414CB60A">
      <w:pPr>
        <w:pStyle w:val="105"/>
        <w:spacing w:before="120" w:after="120" w:line="360" w:lineRule="auto"/>
        <w:rPr>
          <w:rFonts w:hint="eastAsia"/>
        </w:rPr>
      </w:pPr>
      <w:r>
        <w:rPr>
          <w:rFonts w:hint="eastAsia"/>
        </w:rPr>
        <w:t>数据更新与版本控制</w:t>
      </w:r>
    </w:p>
    <w:p w14:paraId="36F06318">
      <w:pPr>
        <w:pStyle w:val="56"/>
        <w:spacing w:line="360" w:lineRule="auto"/>
        <w:ind w:firstLine="420"/>
        <w:rPr>
          <w:rFonts w:hint="eastAsia"/>
        </w:rPr>
      </w:pPr>
      <w:r>
        <w:rPr>
          <w:rFonts w:hint="eastAsia"/>
        </w:rPr>
        <w:t>在数据更新或修正过程中，应对原始数据及处理结果进行版本管理，记录修改内容、操作人员及时间，并保留历史版本。版本控制应确保旧数据可追溯，同时新数据能够反映最新监测情况，支持连续性分析和决策参考。</w:t>
      </w:r>
    </w:p>
    <w:p w14:paraId="564D2D9E">
      <w:pPr>
        <w:pStyle w:val="105"/>
        <w:spacing w:before="120" w:after="120" w:line="360" w:lineRule="auto"/>
        <w:rPr>
          <w:rFonts w:hint="eastAsia"/>
        </w:rPr>
      </w:pPr>
      <w:r>
        <w:rPr>
          <w:rFonts w:hint="eastAsia"/>
        </w:rPr>
        <w:t>档案检查与审计</w:t>
      </w:r>
    </w:p>
    <w:p w14:paraId="1C285EF3">
      <w:pPr>
        <w:pStyle w:val="56"/>
        <w:spacing w:line="360" w:lineRule="auto"/>
        <w:ind w:firstLine="420"/>
      </w:pPr>
      <w:r>
        <w:rPr>
          <w:rFonts w:hint="eastAsia"/>
        </w:rPr>
        <w:t>定期对存储数据和档案进行完整性检查和审计，验证数据记录、处理路径及追溯信息的准确性和可靠性。发现问题应立即修正，并形成记录，保证数据管理体系长期有效。</w:t>
      </w:r>
    </w:p>
    <w:p w14:paraId="5B07FA9B">
      <w:pPr>
        <w:pStyle w:val="104"/>
        <w:spacing w:before="240" w:after="240" w:line="360" w:lineRule="auto"/>
        <w:rPr>
          <w:rFonts w:hint="eastAsia"/>
        </w:rPr>
      </w:pPr>
      <w:bookmarkStart w:id="55" w:name="_Toc209902646"/>
      <w:r>
        <w:rPr>
          <w:rFonts w:hint="eastAsia"/>
        </w:rPr>
        <w:t>信息化平台与智能化管理</w:t>
      </w:r>
      <w:bookmarkEnd w:id="55"/>
    </w:p>
    <w:p w14:paraId="374B36D6">
      <w:pPr>
        <w:pStyle w:val="105"/>
        <w:spacing w:before="120" w:after="120" w:line="360" w:lineRule="auto"/>
        <w:rPr>
          <w:rFonts w:hint="eastAsia"/>
        </w:rPr>
      </w:pPr>
      <w:r>
        <w:rPr>
          <w:rFonts w:hint="eastAsia"/>
        </w:rPr>
        <w:t>信息化平台建设</w:t>
      </w:r>
    </w:p>
    <w:p w14:paraId="5B83842F">
      <w:pPr>
        <w:pStyle w:val="56"/>
        <w:spacing w:line="360" w:lineRule="auto"/>
        <w:ind w:firstLine="420"/>
        <w:rPr>
          <w:rFonts w:hint="eastAsia"/>
        </w:rPr>
      </w:pPr>
      <w:r>
        <w:rPr>
          <w:rFonts w:hint="eastAsia"/>
        </w:rPr>
        <w:t>生态环境监测数据管理应依托信息化平台，实现数据采集、传输、处理、存储、分析和可视化的全流程管理。平台应支持多源数据接入，包括传感器实时数据、人工采样数据及外部环境数据，实现数据统一管理、标准化处理和可追溯存储。</w:t>
      </w:r>
    </w:p>
    <w:p w14:paraId="580BCBBC">
      <w:pPr>
        <w:pStyle w:val="105"/>
        <w:spacing w:before="120" w:after="120" w:line="360" w:lineRule="auto"/>
        <w:rPr>
          <w:rFonts w:hint="eastAsia"/>
        </w:rPr>
      </w:pPr>
      <w:r>
        <w:rPr>
          <w:rFonts w:hint="eastAsia"/>
        </w:rPr>
        <w:t>数据实时监控</w:t>
      </w:r>
    </w:p>
    <w:p w14:paraId="5793C4E9">
      <w:pPr>
        <w:pStyle w:val="56"/>
        <w:spacing w:line="360" w:lineRule="auto"/>
        <w:ind w:firstLine="420"/>
        <w:rPr>
          <w:rFonts w:hint="eastAsia"/>
        </w:rPr>
      </w:pPr>
      <w:r>
        <w:rPr>
          <w:rFonts w:hint="eastAsia"/>
        </w:rPr>
        <w:t>信息化平台应具备实时数据监控功能，对监测设备运行状态、数据采集质量及传输过程进行动态监控。对于异常数据或设备故障，平台应自动发出预警，并记录事件信息，确保监测数据及时、可靠地采集和上传。</w:t>
      </w:r>
    </w:p>
    <w:p w14:paraId="2AAEEEAF">
      <w:pPr>
        <w:pStyle w:val="105"/>
        <w:spacing w:before="120" w:after="120" w:line="360" w:lineRule="auto"/>
        <w:rPr>
          <w:rFonts w:hint="eastAsia"/>
        </w:rPr>
      </w:pPr>
      <w:r>
        <w:rPr>
          <w:rFonts w:hint="eastAsia"/>
        </w:rPr>
        <w:t>智能分析与异常识别</w:t>
      </w:r>
    </w:p>
    <w:p w14:paraId="14077CAE">
      <w:pPr>
        <w:pStyle w:val="56"/>
        <w:spacing w:line="360" w:lineRule="auto"/>
        <w:ind w:firstLine="420"/>
        <w:rPr>
          <w:rFonts w:hint="eastAsia"/>
        </w:rPr>
      </w:pPr>
      <w:r>
        <w:rPr>
          <w:rFonts w:hint="eastAsia"/>
        </w:rPr>
        <w:t>平台应具备数据智能分析能力，能够自动统计、分类、趋势分析和异常识别。通过算法模型识别数据异常、潜在风险或污染趋势，为环境管理部门提供决策支持。分析结果应与原始数据关联，保证结果可追溯和验证。</w:t>
      </w:r>
    </w:p>
    <w:p w14:paraId="7D8661AF">
      <w:pPr>
        <w:pStyle w:val="105"/>
        <w:spacing w:before="120" w:after="120" w:line="360" w:lineRule="auto"/>
        <w:rPr>
          <w:rFonts w:hint="eastAsia"/>
        </w:rPr>
      </w:pPr>
      <w:r>
        <w:rPr>
          <w:rFonts w:hint="eastAsia"/>
        </w:rPr>
        <w:t>数据共享与互联互通</w:t>
      </w:r>
    </w:p>
    <w:p w14:paraId="275E7847">
      <w:pPr>
        <w:pStyle w:val="56"/>
        <w:spacing w:line="360" w:lineRule="auto"/>
        <w:ind w:firstLine="420"/>
        <w:rPr>
          <w:rFonts w:hint="eastAsia"/>
        </w:rPr>
      </w:pPr>
      <w:r>
        <w:rPr>
          <w:rFonts w:hint="eastAsia"/>
        </w:rPr>
        <w:t>信息化平台应支持数据共享，实现与监管部门、科研机构及其他相关系统的数据互联互通。共享过程中应遵循数据安全、权限控制和隐私保护原则，确保数据在跨机构应用中仍保持完整性和可靠性。</w:t>
      </w:r>
    </w:p>
    <w:p w14:paraId="1BACDFCE">
      <w:pPr>
        <w:pStyle w:val="105"/>
        <w:spacing w:before="120" w:after="120" w:line="360" w:lineRule="auto"/>
        <w:rPr>
          <w:rFonts w:hint="eastAsia"/>
        </w:rPr>
      </w:pPr>
      <w:r>
        <w:rPr>
          <w:rFonts w:hint="eastAsia"/>
        </w:rPr>
        <w:t>移动端与远程管理</w:t>
      </w:r>
    </w:p>
    <w:p w14:paraId="5212B395">
      <w:pPr>
        <w:pStyle w:val="56"/>
        <w:spacing w:line="360" w:lineRule="auto"/>
        <w:ind w:firstLine="420"/>
        <w:rPr>
          <w:rFonts w:hint="eastAsia"/>
        </w:rPr>
      </w:pPr>
      <w:r>
        <w:rPr>
          <w:rFonts w:hint="eastAsia"/>
        </w:rPr>
        <w:t>平台应支持移动终端访问，实现远程监控、数据上传和任务管理。移动端功能应与主平台保持同步，保证数据实时更新、操作记录可追溯，并可在特殊环境或突发情况下实现远程管理和快速响应。</w:t>
      </w:r>
    </w:p>
    <w:p w14:paraId="7C76F483">
      <w:pPr>
        <w:pStyle w:val="105"/>
        <w:spacing w:before="120" w:after="120" w:line="360" w:lineRule="auto"/>
        <w:rPr>
          <w:rFonts w:hint="eastAsia"/>
        </w:rPr>
      </w:pPr>
      <w:r>
        <w:rPr>
          <w:rFonts w:hint="eastAsia"/>
        </w:rPr>
        <w:t>智能化升级与技术优化</w:t>
      </w:r>
    </w:p>
    <w:p w14:paraId="7A8F3814">
      <w:pPr>
        <w:pStyle w:val="56"/>
        <w:spacing w:line="360" w:lineRule="auto"/>
        <w:ind w:firstLine="420"/>
        <w:rPr>
          <w:rFonts w:hint="eastAsia"/>
        </w:rPr>
      </w:pPr>
      <w:r>
        <w:rPr>
          <w:rFonts w:hint="eastAsia"/>
        </w:rPr>
        <w:t>随着人工智能、大数据、物联网及云计算技术的发展，信息化平台应不断升级和优化，引入智能化分析、自动异常检测和预测性维护等功能。通过持续优化平台功能，提高数据处理效率、分析精度和预警能力，推动生态环境监测数据管理的智能化和现代化。</w:t>
      </w:r>
    </w:p>
    <w:p w14:paraId="0BF88659">
      <w:pPr>
        <w:pStyle w:val="105"/>
        <w:spacing w:before="120" w:after="120" w:line="360" w:lineRule="auto"/>
        <w:rPr>
          <w:rFonts w:hint="eastAsia"/>
        </w:rPr>
      </w:pPr>
      <w:r>
        <w:rPr>
          <w:rFonts w:hint="eastAsia"/>
        </w:rPr>
        <w:t>安全与权限管理</w:t>
      </w:r>
    </w:p>
    <w:p w14:paraId="58B3E976">
      <w:pPr>
        <w:pStyle w:val="56"/>
        <w:spacing w:line="360" w:lineRule="auto"/>
        <w:ind w:firstLine="420"/>
      </w:pPr>
      <w:r>
        <w:rPr>
          <w:rFonts w:hint="eastAsia"/>
        </w:rPr>
        <w:t>信息化平台必须具备严格的安全管理机制，包括用户权限管理、数据加密、访问日志记录及异常操作审计。对敏感或关键数据，平台应设置多级权限、双重认证和操作审查，保障数据安全和可控。</w:t>
      </w:r>
    </w:p>
    <w:p w14:paraId="1FA4B6C3">
      <w:pPr>
        <w:pStyle w:val="104"/>
        <w:spacing w:before="240" w:after="240" w:line="360" w:lineRule="auto"/>
        <w:rPr>
          <w:rFonts w:hint="eastAsia"/>
        </w:rPr>
      </w:pPr>
      <w:bookmarkStart w:id="56" w:name="_Toc209902647"/>
      <w:r>
        <w:rPr>
          <w:rFonts w:hint="eastAsia"/>
        </w:rPr>
        <w:t>数据质量评估与风险管理</w:t>
      </w:r>
      <w:bookmarkEnd w:id="56"/>
    </w:p>
    <w:p w14:paraId="703789A5">
      <w:pPr>
        <w:pStyle w:val="105"/>
        <w:spacing w:before="120" w:after="120" w:line="360" w:lineRule="auto"/>
        <w:rPr>
          <w:rFonts w:hint="eastAsia"/>
        </w:rPr>
      </w:pPr>
      <w:r>
        <w:rPr>
          <w:rFonts w:hint="eastAsia"/>
        </w:rPr>
        <w:t>数据质量评估原则</w:t>
      </w:r>
    </w:p>
    <w:p w14:paraId="1DA8781A">
      <w:pPr>
        <w:pStyle w:val="56"/>
        <w:spacing w:line="360" w:lineRule="auto"/>
        <w:ind w:firstLine="420"/>
        <w:rPr>
          <w:rFonts w:hint="eastAsia"/>
        </w:rPr>
      </w:pPr>
      <w:r>
        <w:rPr>
          <w:rFonts w:hint="eastAsia"/>
        </w:rPr>
        <w:t>生态环境监测数据质量评估应遵循全面性、科学性、可追溯性和可量化原则。评估过程不仅包括数据准确性、完整性、及时性和一致性，还应结合历史数据趋势、监测方法和设备性能，确保数据能够真实反映环境状况并满足管理与科研需求。</w:t>
      </w:r>
    </w:p>
    <w:p w14:paraId="1CC1B013">
      <w:pPr>
        <w:pStyle w:val="105"/>
        <w:spacing w:before="120" w:after="120" w:line="360" w:lineRule="auto"/>
        <w:rPr>
          <w:rFonts w:hint="eastAsia"/>
        </w:rPr>
      </w:pPr>
      <w:r>
        <w:rPr>
          <w:rFonts w:hint="eastAsia"/>
        </w:rPr>
        <w:t>评估指标体系</w:t>
      </w:r>
    </w:p>
    <w:p w14:paraId="4D8C9627">
      <w:pPr>
        <w:pStyle w:val="56"/>
        <w:spacing w:line="360" w:lineRule="auto"/>
        <w:ind w:firstLine="420"/>
        <w:rPr>
          <w:rFonts w:hint="eastAsia"/>
        </w:rPr>
      </w:pPr>
      <w:r>
        <w:rPr>
          <w:rFonts w:hint="eastAsia"/>
        </w:rPr>
        <w:t>数据质量评估应建立多维指标体系，包括但不限于以下方面：</w:t>
      </w:r>
    </w:p>
    <w:p w14:paraId="50F31C6C">
      <w:pPr>
        <w:pStyle w:val="132"/>
        <w:spacing w:line="360" w:lineRule="auto"/>
        <w:rPr>
          <w:rFonts w:hint="eastAsia"/>
        </w:rPr>
      </w:pPr>
      <w:r>
        <w:rPr>
          <w:rFonts w:hint="eastAsia"/>
        </w:rPr>
        <w:t>准确性：数据与真实环境参数的偏差程度；</w:t>
      </w:r>
    </w:p>
    <w:p w14:paraId="32D247D3">
      <w:pPr>
        <w:pStyle w:val="132"/>
        <w:spacing w:line="360" w:lineRule="auto"/>
        <w:rPr>
          <w:rFonts w:hint="eastAsia"/>
        </w:rPr>
      </w:pPr>
      <w:r>
        <w:rPr>
          <w:rFonts w:hint="eastAsia"/>
        </w:rPr>
        <w:t>完整性：数据采集、传输、处理及存储过程中的缺失或丢失情况；</w:t>
      </w:r>
    </w:p>
    <w:p w14:paraId="31E132DA">
      <w:pPr>
        <w:pStyle w:val="132"/>
        <w:spacing w:line="360" w:lineRule="auto"/>
        <w:rPr>
          <w:rFonts w:hint="eastAsia"/>
        </w:rPr>
      </w:pPr>
      <w:r>
        <w:rPr>
          <w:rFonts w:hint="eastAsia"/>
        </w:rPr>
        <w:t>一致性：多源数据或多时间点数据的可比性和稳定性；</w:t>
      </w:r>
    </w:p>
    <w:p w14:paraId="75E49FE1">
      <w:pPr>
        <w:pStyle w:val="132"/>
        <w:spacing w:line="360" w:lineRule="auto"/>
        <w:rPr>
          <w:rFonts w:hint="eastAsia"/>
        </w:rPr>
      </w:pPr>
      <w:r>
        <w:rPr>
          <w:rFonts w:hint="eastAsia"/>
        </w:rPr>
        <w:t>及时性：数据采集、上传和处理的速度与监测频率要求的匹配度；</w:t>
      </w:r>
    </w:p>
    <w:p w14:paraId="62E9FBE2">
      <w:pPr>
        <w:pStyle w:val="132"/>
        <w:spacing w:line="360" w:lineRule="auto"/>
        <w:rPr>
          <w:rFonts w:hint="eastAsia"/>
        </w:rPr>
      </w:pPr>
      <w:r>
        <w:rPr>
          <w:rFonts w:hint="eastAsia"/>
        </w:rPr>
        <w:t>可追溯性：数据来源、采集方法、处理过程及责任人记录完整性。</w:t>
      </w:r>
    </w:p>
    <w:p w14:paraId="197D8486">
      <w:pPr>
        <w:pStyle w:val="105"/>
        <w:spacing w:before="120" w:after="120" w:line="360" w:lineRule="auto"/>
        <w:rPr>
          <w:rFonts w:hint="eastAsia"/>
        </w:rPr>
      </w:pPr>
      <w:r>
        <w:rPr>
          <w:rFonts w:hint="eastAsia"/>
        </w:rPr>
        <w:t>异常数据识别与处理</w:t>
      </w:r>
    </w:p>
    <w:p w14:paraId="7F51CE36">
      <w:pPr>
        <w:pStyle w:val="56"/>
        <w:spacing w:line="360" w:lineRule="auto"/>
        <w:ind w:firstLine="420"/>
        <w:rPr>
          <w:rFonts w:hint="eastAsia"/>
        </w:rPr>
      </w:pPr>
      <w:r>
        <w:rPr>
          <w:rFonts w:hint="eastAsia"/>
        </w:rPr>
        <w:t>在质量评估过程中，应对异常数据进行及时识别和处理。异常数据可通过统计方法、历史对比、算法分析或人工审核发现。处理方法包括标注、剔除、修正或备注说明，确保数据分析结果科学合理，并保留异常处理记录以实现完整追溯。</w:t>
      </w:r>
    </w:p>
    <w:p w14:paraId="1F0C8002">
      <w:pPr>
        <w:pStyle w:val="105"/>
        <w:spacing w:before="120" w:after="120" w:line="360" w:lineRule="auto"/>
        <w:rPr>
          <w:rFonts w:hint="eastAsia"/>
        </w:rPr>
      </w:pPr>
      <w:r>
        <w:rPr>
          <w:rFonts w:hint="eastAsia"/>
        </w:rPr>
        <w:t>风险识别与分级</w:t>
      </w:r>
    </w:p>
    <w:p w14:paraId="3D97891F">
      <w:pPr>
        <w:pStyle w:val="56"/>
        <w:spacing w:line="360" w:lineRule="auto"/>
        <w:ind w:firstLine="420"/>
        <w:rPr>
          <w:rFonts w:hint="eastAsia"/>
        </w:rPr>
      </w:pPr>
      <w:r>
        <w:rPr>
          <w:rFonts w:hint="eastAsia"/>
        </w:rPr>
        <w:t>基于数据质量评估结果，应对监测数据潜在风险进行识别与分级，包括设备故障风险、采样误差风险、传输丢失风险及数据处理偏差风险。风险分级可采用高、中、低三级或分值量化方法，为后续风险控制提供依据。</w:t>
      </w:r>
    </w:p>
    <w:p w14:paraId="7B1DB9DB">
      <w:pPr>
        <w:pStyle w:val="105"/>
        <w:spacing w:before="120" w:after="120" w:line="360" w:lineRule="auto"/>
        <w:rPr>
          <w:rFonts w:hint="eastAsia"/>
        </w:rPr>
      </w:pPr>
      <w:r>
        <w:rPr>
          <w:rFonts w:hint="eastAsia"/>
        </w:rPr>
        <w:t>风险控制与预警机制</w:t>
      </w:r>
    </w:p>
    <w:p w14:paraId="3E700FC1">
      <w:pPr>
        <w:pStyle w:val="56"/>
        <w:spacing w:line="360" w:lineRule="auto"/>
        <w:ind w:firstLine="420"/>
        <w:rPr>
          <w:rFonts w:hint="eastAsia"/>
        </w:rPr>
      </w:pPr>
      <w:r>
        <w:rPr>
          <w:rFonts w:hint="eastAsia"/>
        </w:rPr>
        <w:t>对识别出的高风险数据或监测环节，应采取控制措施，包括重复采样、设备维护、数据复核及算法修正等。同时，应建立自动化预警机制，通过信息化平台及时提示异常事件或潜在风险，确保数据质量问题能够在最短时间内被发现和处理。</w:t>
      </w:r>
      <w:bookmarkStart w:id="60" w:name="_GoBack"/>
      <w:bookmarkEnd w:id="60"/>
    </w:p>
    <w:p w14:paraId="1C4955BB">
      <w:pPr>
        <w:pStyle w:val="105"/>
        <w:spacing w:before="120" w:after="120" w:line="360" w:lineRule="auto"/>
        <w:rPr>
          <w:rFonts w:hint="eastAsia"/>
        </w:rPr>
      </w:pPr>
      <w:r>
        <w:rPr>
          <w:rFonts w:hint="eastAsia"/>
        </w:rPr>
        <w:t>质量改进与持续优化</w:t>
      </w:r>
    </w:p>
    <w:p w14:paraId="446AB7C8">
      <w:pPr>
        <w:pStyle w:val="56"/>
        <w:spacing w:line="360" w:lineRule="auto"/>
        <w:ind w:firstLine="420"/>
        <w:rPr>
          <w:rFonts w:hint="eastAsia"/>
        </w:rPr>
      </w:pPr>
      <w:r>
        <w:rPr>
          <w:rFonts w:hint="eastAsia"/>
        </w:rPr>
        <w:t>在数据质量评估和风险管理过程中，应总结经验、分析问题原因，优化采样方法、设备管理、数据处理流程及信息化平台功能。通过持续改进，实现监测数据质量的动态提升和管理流程的优化，为环境监测、决策和科研提供可靠的数据支撑。</w:t>
      </w:r>
    </w:p>
    <w:p w14:paraId="5EB07374">
      <w:pPr>
        <w:pStyle w:val="105"/>
        <w:spacing w:before="120" w:after="120" w:line="360" w:lineRule="auto"/>
        <w:rPr>
          <w:rFonts w:hint="eastAsia"/>
        </w:rPr>
      </w:pPr>
      <w:r>
        <w:rPr>
          <w:rFonts w:hint="eastAsia"/>
        </w:rPr>
        <w:t>档案记录与追溯管理</w:t>
      </w:r>
    </w:p>
    <w:p w14:paraId="2A9065F3">
      <w:pPr>
        <w:pStyle w:val="56"/>
        <w:spacing w:line="360" w:lineRule="auto"/>
        <w:ind w:firstLine="420"/>
      </w:pPr>
      <w:r>
        <w:rPr>
          <w:rFonts w:hint="eastAsia"/>
        </w:rPr>
        <w:t>所有质量评估、异常处理、风险识别及预警事件应完整记录并归档，包括评估方法、操作人员、处理措施及处理结果。记录应可追溯至原始采集数据及处理环节，确保数据全生命周期的可验证性和可控性。</w:t>
      </w:r>
    </w:p>
    <w:p w14:paraId="311204EC">
      <w:pPr>
        <w:pStyle w:val="56"/>
        <w:ind w:firstLine="420"/>
      </w:pPr>
    </w:p>
    <w:bookmarkEnd w:id="26"/>
    <w:p w14:paraId="30429236">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7" w:name="BookMark6"/>
    </w:p>
    <w:p w14:paraId="5B7FD095">
      <w:pPr>
        <w:pStyle w:val="63"/>
        <w:spacing w:after="120" w:line="360" w:lineRule="auto"/>
        <w:rPr>
          <w:rFonts w:hint="eastAsia"/>
        </w:rPr>
      </w:pPr>
      <w:bookmarkStart w:id="58" w:name="_Toc209902648"/>
      <w:r>
        <w:rPr>
          <w:rFonts w:hint="eastAsia"/>
          <w:spacing w:val="105"/>
        </w:rPr>
        <w:t>参考文</w:t>
      </w:r>
      <w:r>
        <w:rPr>
          <w:rFonts w:hint="eastAsia"/>
        </w:rPr>
        <w:t>献</w:t>
      </w:r>
      <w:bookmarkEnd w:id="58"/>
    </w:p>
    <w:p w14:paraId="6D290509">
      <w:pPr>
        <w:pStyle w:val="56"/>
        <w:spacing w:line="360" w:lineRule="auto"/>
        <w:ind w:firstLine="420"/>
      </w:pPr>
      <w:r>
        <w:t>[</w:t>
      </w:r>
      <w:r>
        <w:rPr>
          <w:rFonts w:hint="eastAsia"/>
        </w:rPr>
        <w:t>1</w:t>
      </w:r>
      <w:r>
        <w:t xml:space="preserve">] DB13/T 6055-2025  </w:t>
      </w:r>
      <w:r>
        <w:rPr>
          <w:rFonts w:hint="eastAsia"/>
        </w:rPr>
        <w:t>生态环境监测机构实验室信息管理系统质量控制与溯源管理技术规范</w:t>
      </w:r>
    </w:p>
    <w:p w14:paraId="1F342E08">
      <w:pPr>
        <w:pStyle w:val="56"/>
        <w:spacing w:line="360" w:lineRule="auto"/>
        <w:ind w:firstLine="420"/>
      </w:pPr>
      <w:r>
        <w:t>[</w:t>
      </w:r>
      <w:r>
        <w:rPr>
          <w:rFonts w:hint="eastAsia"/>
        </w:rPr>
        <w:t>2</w:t>
      </w:r>
      <w:r>
        <w:t xml:space="preserve">] DB34/T 4687.1-2024  </w:t>
      </w:r>
      <w:r>
        <w:rPr>
          <w:rFonts w:hint="eastAsia"/>
        </w:rPr>
        <w:t xml:space="preserve">生态环境数据共享技术规范 </w:t>
      </w:r>
      <w:r>
        <w:t xml:space="preserve"> </w:t>
      </w:r>
      <w:r>
        <w:rPr>
          <w:rFonts w:hint="eastAsia"/>
        </w:rPr>
        <w:t>第1部分：排污单位自动监测</w:t>
      </w:r>
    </w:p>
    <w:p w14:paraId="66F026EC">
      <w:pPr>
        <w:pStyle w:val="56"/>
        <w:spacing w:line="360" w:lineRule="auto"/>
        <w:ind w:firstLine="420"/>
        <w:rPr>
          <w:rFonts w:hint="eastAsia"/>
        </w:rPr>
      </w:pPr>
      <w:r>
        <w:t>[</w:t>
      </w:r>
      <w:r>
        <w:rPr>
          <w:rFonts w:hint="eastAsia"/>
        </w:rPr>
        <w:t>3</w:t>
      </w:r>
      <w:r>
        <w:t xml:space="preserve">] T/ZS 0278-2022  </w:t>
      </w:r>
      <w:r>
        <w:rPr>
          <w:rFonts w:hint="eastAsia"/>
        </w:rPr>
        <w:t>生态环境监测实验室质控技术指南</w:t>
      </w:r>
    </w:p>
    <w:bookmarkEnd w:id="57"/>
    <w:p w14:paraId="169962F0">
      <w:pPr>
        <w:pStyle w:val="56"/>
        <w:ind w:firstLine="0" w:firstLineChars="0"/>
        <w:jc w:val="center"/>
      </w:pPr>
      <w:bookmarkStart w:id="59" w:name="BookMark8"/>
      <w:r>
        <w:drawing>
          <wp:inline distT="0" distB="0" distL="0" distR="0">
            <wp:extent cx="1485900" cy="317500"/>
            <wp:effectExtent l="0" t="0" r="0" b="6350"/>
            <wp:docPr id="831461579" name="图片 1"/>
            <wp:cNvGraphicFramePr/>
            <a:graphic xmlns:a="http://schemas.openxmlformats.org/drawingml/2006/main">
              <a:graphicData uri="http://schemas.openxmlformats.org/drawingml/2006/picture">
                <pic:pic xmlns:pic="http://schemas.openxmlformats.org/drawingml/2006/picture">
                  <pic:nvPicPr>
                    <pic:cNvPr id="831461579"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61CA">
    <w:pPr>
      <w:pStyle w:val="51"/>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CD934">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0C5D">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F2899">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D806F">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3AA39">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0C97">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0FD1">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D1B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E2D9">
    <w:pPr>
      <w:pStyle w:val="62"/>
    </w:pPr>
    <w:r>
      <w:fldChar w:fldCharType="begin"/>
    </w:r>
    <w:r>
      <w:instrText xml:space="preserve"> STYLEREF  标准文件_文件编号 \* MERGEFORMAT </w:instrText>
    </w:r>
    <w:r>
      <w:fldChar w:fldCharType="separate"/>
    </w:r>
    <w:r>
      <w:t>T/XJBX 0099—2025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AC55">
    <w:pPr>
      <w:pStyle w:val="61"/>
    </w:pPr>
    <w:r>
      <w:fldChar w:fldCharType="begin"/>
    </w:r>
    <w:r>
      <w:instrText xml:space="preserve"> STYLEREF  标准文件_文件编号  \* MERGEFORMAT </w:instrText>
    </w:r>
    <w:r>
      <w:fldChar w:fldCharType="separate"/>
    </w:r>
    <w:r>
      <w:t>T/XJBX 0099—2025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8593">
    <w:pPr>
      <w:pStyle w:val="62"/>
    </w:pPr>
    <w:r>
      <w:fldChar w:fldCharType="begin"/>
    </w:r>
    <w:r>
      <w:instrText xml:space="preserve"> STYLEREF  标准文件_文件编号 \* MERGEFORMAT </w:instrText>
    </w:r>
    <w:r>
      <w:fldChar w:fldCharType="separate"/>
    </w:r>
    <w:r>
      <w:t>T/XJBX 0099—2025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C22F">
    <w:pPr>
      <w:pStyle w:val="61"/>
    </w:pPr>
    <w:r>
      <w:pict>
        <v:shape id="_x0000_s1034" o:spid="_x0000_s1034" o:spt="136" type="#_x0000_t136" style="position:absolute;left:0pt;height:59.9pt;width:599.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0099—2025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91BD">
    <w:pPr>
      <w:pStyle w:val="62"/>
    </w:pPr>
    <w:r>
      <w:fldChar w:fldCharType="begin"/>
    </w:r>
    <w:r>
      <w:instrText xml:space="preserve"> STYLEREF  标准文件_文件编号 \* MERGEFORMAT </w:instrText>
    </w:r>
    <w:r>
      <w:fldChar w:fldCharType="separate"/>
    </w:r>
    <w:r>
      <w:t>T/XJBX 0099—2025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0099—2025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0099—2025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DF75">
    <w:pPr>
      <w:pStyle w:val="61"/>
    </w:pPr>
    <w:r>
      <w:fldChar w:fldCharType="begin"/>
    </w:r>
    <w:r>
      <w:instrText xml:space="preserve"> STYLEREF  标准文件_文件编号  \* MERGEFORMAT </w:instrText>
    </w:r>
    <w:r>
      <w:fldChar w:fldCharType="separate"/>
    </w:r>
    <w:r>
      <w:t>T/XJBX 0099—2025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03860">
    <w:pPr>
      <w:pStyle w:val="62"/>
    </w:pPr>
    <w:r>
      <w:fldChar w:fldCharType="begin"/>
    </w:r>
    <w:r>
      <w:instrText xml:space="preserve"> STYLEREF  标准文件_文件编号 \* MERGEFORMAT </w:instrText>
    </w:r>
    <w:r>
      <w:fldChar w:fldCharType="separate"/>
    </w:r>
    <w:r>
      <w:t>T/XJBX 0099—2025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6196">
    <w:pPr>
      <w:pStyle w:val="61"/>
    </w:pPr>
    <w:r>
      <w:fldChar w:fldCharType="begin"/>
    </w:r>
    <w:r>
      <w:instrText xml:space="preserve"> STYLEREF  标准文件_文件编号  \* MERGEFORMAT </w:instrText>
    </w:r>
    <w:r>
      <w:fldChar w:fldCharType="separate"/>
    </w:r>
    <w:r>
      <w:t>T/XJBX 0099—2025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gUAFst+UC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768"/>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8FC"/>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BAC"/>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927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69BE963E">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569AD6BB">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705DF6F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442F12"/>
    <w:rsid w:val="008A4D07"/>
    <w:rsid w:val="009B6447"/>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34"/>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6834</Words>
  <Characters>7208</Characters>
  <Lines>61</Lines>
  <Paragraphs>17</Paragraphs>
  <TotalTime>26</TotalTime>
  <ScaleCrop>false</ScaleCrop>
  <LinksUpToDate>false</LinksUpToDate>
  <CharactersWithSpaces>7316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2025-09-28T07:28:53Z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1F1598C7E72F4A419D39A93E4845D8ED_12</vt:lpwstr>
  </property>
</Properties>
</file>