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8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93.080.20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0"/>
            </w:textInput>
          </w:ffData>
        </w:fldChar>
      </w:r>
      <w:bookmarkStart w:id="6" w:name="NSTD_CODE_F"/>
      <w:r>
        <w:instrText xml:space="preserve"> FORMTEXT </w:instrText>
      </w:r>
      <w:r>
        <w:fldChar w:fldCharType="separate"/>
      </w:r>
      <w:r>
        <w:t>0100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中小型水利工程装配式结构施工技术规范"/>
            </w:textInput>
          </w:ffData>
        </w:fldChar>
      </w:r>
      <w:bookmarkStart w:id="9" w:name="CSTD_NAME"/>
      <w:r>
        <w:instrText xml:space="preserve"> FORMTEXT </w:instrText>
      </w:r>
      <w:r>
        <w:fldChar w:fldCharType="separate"/>
      </w:r>
      <w:r>
        <w:t>中小型水利工程装配式结构施工技术规范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refabricated structure construction technology of small and medium-sized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prefabricated structure construction technology of small and medium-sized water conservancy projects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E311678">
      <w:pPr>
        <w:pStyle w:val="91"/>
        <w:spacing w:after="360"/>
        <w:rPr>
          <w:rFonts w:hint="eastAsia"/>
        </w:rPr>
      </w:pPr>
      <w:bookmarkStart w:id="21" w:name="BookMark1"/>
      <w:r>
        <w:rPr>
          <w:rFonts w:hint="eastAsia"/>
          <w:spacing w:val="320"/>
        </w:rPr>
        <w:t>目</w:t>
      </w:r>
      <w:r>
        <w:rPr>
          <w:rFonts w:hint="eastAsia"/>
        </w:rPr>
        <w:t>次</w:t>
      </w:r>
    </w:p>
    <w:p w14:paraId="0A95FEA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"_Toc209903559" </w:instrText>
      </w:r>
      <w:r>
        <w:fldChar w:fldCharType="separate"/>
      </w:r>
      <w:r>
        <w:rPr>
          <w:rStyle w:val="32"/>
        </w:rPr>
        <w:t>前言</w:t>
      </w:r>
      <w:r>
        <w:tab/>
      </w:r>
      <w:r>
        <w:fldChar w:fldCharType="begin"/>
      </w:r>
      <w:r>
        <w:instrText xml:space="preserve"> PAGEREF _Toc209903559 \h </w:instrText>
      </w:r>
      <w:r>
        <w:fldChar w:fldCharType="separate"/>
      </w:r>
      <w:r>
        <w:t>III</w:t>
      </w:r>
      <w:r>
        <w:fldChar w:fldCharType="end"/>
      </w:r>
      <w:r>
        <w:fldChar w:fldCharType="end"/>
      </w:r>
    </w:p>
    <w:p w14:paraId="37572D7A">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"_Toc209903560" </w:instrText>
      </w:r>
      <w:r>
        <w:fldChar w:fldCharType="separate"/>
      </w:r>
      <w:r>
        <w:rPr>
          <w:rStyle w:val="32"/>
        </w:rPr>
        <w:t>引言</w:t>
      </w:r>
      <w:r>
        <w:tab/>
      </w:r>
      <w:r>
        <w:fldChar w:fldCharType="begin"/>
      </w:r>
      <w:r>
        <w:instrText xml:space="preserve"> PAGEREF _Toc209903560 \h </w:instrText>
      </w:r>
      <w:r>
        <w:fldChar w:fldCharType="separate"/>
      </w:r>
      <w:r>
        <w:t>V</w:t>
      </w:r>
      <w:r>
        <w:fldChar w:fldCharType="end"/>
      </w:r>
      <w:r>
        <w:fldChar w:fldCharType="end"/>
      </w:r>
    </w:p>
    <w:p w14:paraId="26786EDF">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"_Toc209903561" </w:instrText>
      </w:r>
      <w:r>
        <w:fldChar w:fldCharType="separate"/>
      </w:r>
      <w:r>
        <w:rPr>
          <w:rStyle w:val="32"/>
        </w:rPr>
        <w:t>1  范围</w:t>
      </w:r>
      <w:r>
        <w:tab/>
      </w:r>
      <w:r>
        <w:fldChar w:fldCharType="begin"/>
      </w:r>
      <w:r>
        <w:instrText xml:space="preserve"> PAGEREF _Toc209903561 \h </w:instrText>
      </w:r>
      <w:r>
        <w:fldChar w:fldCharType="separate"/>
      </w:r>
      <w:r>
        <w:t>1</w:t>
      </w:r>
      <w:r>
        <w:fldChar w:fldCharType="end"/>
      </w:r>
      <w:r>
        <w:fldChar w:fldCharType="end"/>
      </w:r>
    </w:p>
    <w:p w14:paraId="75423AC6">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"_Toc209903562" </w:instrText>
      </w:r>
      <w:r>
        <w:fldChar w:fldCharType="separate"/>
      </w:r>
      <w:r>
        <w:rPr>
          <w:rStyle w:val="32"/>
        </w:rPr>
        <w:t>2  规范性引用文件</w:t>
      </w:r>
      <w:r>
        <w:tab/>
      </w:r>
      <w:r>
        <w:fldChar w:fldCharType="begin"/>
      </w:r>
      <w:r>
        <w:instrText xml:space="preserve"> PAGEREF _Toc209903562 \h </w:instrText>
      </w:r>
      <w:r>
        <w:fldChar w:fldCharType="separate"/>
      </w:r>
      <w:r>
        <w:t>1</w:t>
      </w:r>
      <w:r>
        <w:fldChar w:fldCharType="end"/>
      </w:r>
      <w:r>
        <w:fldChar w:fldCharType="end"/>
      </w:r>
    </w:p>
    <w:p w14:paraId="08D5AF0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"_Toc209903563" </w:instrText>
      </w:r>
      <w:r>
        <w:fldChar w:fldCharType="separate"/>
      </w:r>
      <w:r>
        <w:rPr>
          <w:rStyle w:val="32"/>
        </w:rPr>
        <w:t>3  术语和定义</w:t>
      </w:r>
      <w:r>
        <w:tab/>
      </w:r>
      <w:r>
        <w:fldChar w:fldCharType="begin"/>
      </w:r>
      <w:r>
        <w:instrText xml:space="preserve"> PAGEREF _Toc209903563 \h </w:instrText>
      </w:r>
      <w:r>
        <w:fldChar w:fldCharType="separate"/>
      </w:r>
      <w:r>
        <w:t>1</w:t>
      </w:r>
      <w:r>
        <w:fldChar w:fldCharType="end"/>
      </w:r>
      <w:r>
        <w:fldChar w:fldCharType="end"/>
      </w:r>
    </w:p>
    <w:p w14:paraId="08A74A3A">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"_Toc209903564" </w:instrText>
      </w:r>
      <w:r>
        <w:fldChar w:fldCharType="separate"/>
      </w:r>
      <w:r>
        <w:rPr>
          <w:rStyle w:val="32"/>
        </w:rPr>
        <w:t>4  总体原则</w:t>
      </w:r>
      <w:r>
        <w:tab/>
      </w:r>
      <w:r>
        <w:fldChar w:fldCharType="begin"/>
      </w:r>
      <w:r>
        <w:instrText xml:space="preserve"> PAGEREF _Toc209903564 \h </w:instrText>
      </w:r>
      <w:r>
        <w:fldChar w:fldCharType="separate"/>
      </w:r>
      <w:r>
        <w:t>2</w:t>
      </w:r>
      <w:r>
        <w:fldChar w:fldCharType="end"/>
      </w:r>
      <w:r>
        <w:fldChar w:fldCharType="end"/>
      </w:r>
    </w:p>
    <w:p w14:paraId="14D74187">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"_Toc209903565" </w:instrText>
      </w:r>
      <w:r>
        <w:fldChar w:fldCharType="separate"/>
      </w:r>
      <w:r>
        <w:rPr>
          <w:rStyle w:val="32"/>
        </w:rPr>
        <w:t>5  施工工艺与操作要求</w:t>
      </w:r>
      <w:r>
        <w:tab/>
      </w:r>
      <w:r>
        <w:fldChar w:fldCharType="begin"/>
      </w:r>
      <w:r>
        <w:instrText xml:space="preserve"> PAGEREF _Toc209903565 \h </w:instrText>
      </w:r>
      <w:r>
        <w:fldChar w:fldCharType="separate"/>
      </w:r>
      <w:r>
        <w:t>3</w:t>
      </w:r>
      <w:r>
        <w:fldChar w:fldCharType="end"/>
      </w:r>
      <w:r>
        <w:fldChar w:fldCharType="end"/>
      </w:r>
    </w:p>
    <w:p w14:paraId="20F9A333">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"_Toc209903566" </w:instrText>
      </w:r>
      <w:r>
        <w:fldChar w:fldCharType="separate"/>
      </w:r>
      <w:r>
        <w:rPr>
          <w:rStyle w:val="32"/>
        </w:rPr>
        <w:t>6  安全管理与质量控制</w:t>
      </w:r>
      <w:r>
        <w:tab/>
      </w:r>
      <w:r>
        <w:fldChar w:fldCharType="begin"/>
      </w:r>
      <w:r>
        <w:instrText xml:space="preserve"> PAGEREF _Toc209903566 \h </w:instrText>
      </w:r>
      <w:r>
        <w:fldChar w:fldCharType="separate"/>
      </w:r>
      <w:r>
        <w:t>4</w:t>
      </w:r>
      <w:r>
        <w:fldChar w:fldCharType="end"/>
      </w:r>
      <w:r>
        <w:fldChar w:fldCharType="end"/>
      </w:r>
    </w:p>
    <w:p w14:paraId="23F6962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"_Toc209903567" </w:instrText>
      </w:r>
      <w:r>
        <w:fldChar w:fldCharType="separate"/>
      </w:r>
      <w:r>
        <w:rPr>
          <w:rStyle w:val="32"/>
        </w:rPr>
        <w:t>7  施工验收与资料管理</w:t>
      </w:r>
      <w:r>
        <w:tab/>
      </w:r>
      <w:r>
        <w:fldChar w:fldCharType="begin"/>
      </w:r>
      <w:r>
        <w:instrText xml:space="preserve"> PAGEREF _Toc209903567 \h </w:instrText>
      </w:r>
      <w:r>
        <w:fldChar w:fldCharType="separate"/>
      </w:r>
      <w:r>
        <w:t>5</w:t>
      </w:r>
      <w:r>
        <w:fldChar w:fldCharType="end"/>
      </w:r>
      <w:r>
        <w:fldChar w:fldCharType="end"/>
      </w:r>
    </w:p>
    <w:p w14:paraId="45E9FEC0">
      <w:pPr>
        <w:pStyle w:val="19"/>
        <w:tabs>
          <w:tab w:val="right" w:leader="dot" w:pos="9344"/>
        </w:tabs>
        <w:rPr>
          <w:rFonts w:asciiTheme="minorHAnsi" w:hAnsiTheme="minorHAnsi" w:eastAsiaTheme="minorEastAsia" w:cstheme="minorBidi"/>
          <w:szCs w:val="22"/>
        </w:rPr>
      </w:pPr>
      <w:r>
        <w:fldChar w:fldCharType="begin"/>
      </w:r>
      <w:r>
        <w:instrText xml:space="preserve"> HYPERLINK \l "_Toc209903568" </w:instrText>
      </w:r>
      <w:r>
        <w:fldChar w:fldCharType="separate"/>
      </w:r>
      <w:r>
        <w:rPr>
          <w:rStyle w:val="32"/>
        </w:rPr>
        <w:t>参考文献</w:t>
      </w:r>
      <w:r>
        <w:tab/>
      </w:r>
      <w:r>
        <w:fldChar w:fldCharType="begin"/>
      </w:r>
      <w:r>
        <w:instrText xml:space="preserve"> PAGEREF _Toc209903568 \h </w:instrText>
      </w:r>
      <w:r>
        <w:fldChar w:fldCharType="separate"/>
      </w:r>
      <w:r>
        <w:t>7</w:t>
      </w:r>
      <w:r>
        <w:fldChar w:fldCharType="end"/>
      </w:r>
      <w:r>
        <w:fldChar w:fldCharType="end"/>
      </w:r>
    </w:p>
    <w:p w14:paraId="679E256E">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03559"/>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本文件起草单位：朝阳市水务事务服务中心。</w:t>
      </w:r>
    </w:p>
    <w:p w14:paraId="42BC1C2C">
      <w:pPr>
        <w:pStyle w:val="56"/>
        <w:spacing w:line="360" w:lineRule="auto"/>
        <w:ind w:firstLine="420"/>
      </w:pPr>
      <w:r>
        <w:rPr>
          <w:rFonts w:hint="eastAsia"/>
        </w:rPr>
        <w:t>本文件主要起草人：于永波。</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4104DD8B">
      <w:pPr>
        <w:pStyle w:val="89"/>
        <w:spacing w:after="360"/>
      </w:pPr>
      <w:bookmarkStart w:id="24" w:name="_Toc209903560"/>
      <w:bookmarkStart w:id="25" w:name="BookMark3"/>
      <w:r>
        <w:rPr>
          <w:spacing w:val="320"/>
        </w:rPr>
        <w:t>引</w:t>
      </w:r>
      <w:r>
        <w:t>言</w:t>
      </w:r>
      <w:bookmarkEnd w:id="24"/>
    </w:p>
    <w:p w14:paraId="1157A5B9">
      <w:pPr>
        <w:pStyle w:val="56"/>
        <w:spacing w:line="360" w:lineRule="auto"/>
        <w:ind w:firstLine="420"/>
        <w:rPr>
          <w:rFonts w:hint="eastAsia"/>
        </w:rPr>
      </w:pPr>
      <w:r>
        <w:rPr>
          <w:rFonts w:hint="eastAsia"/>
        </w:rPr>
        <w:t>随着水利工程建设规模的不断扩大以及施工技术的现代化发展，中小型水利工程在灌溉、排水、蓄水、防洪及生态修复等方面发挥着重要作用。传统的现浇混凝土施工方式存在工期长、质量受环境影响大、施工安全风险高以及资源消耗较多等问题，难以满足现代水利工程快速、高效、可持续建设的需求。</w:t>
      </w:r>
    </w:p>
    <w:p w14:paraId="660CD96B">
      <w:pPr>
        <w:pStyle w:val="56"/>
        <w:spacing w:line="360" w:lineRule="auto"/>
        <w:ind w:firstLine="420"/>
        <w:rPr>
          <w:rFonts w:hint="eastAsia"/>
        </w:rPr>
      </w:pPr>
      <w:r>
        <w:rPr>
          <w:rFonts w:hint="eastAsia"/>
        </w:rPr>
        <w:t>装配式结构施工作为现代建筑和水利工程领域的重要技术手段，通过工厂化预制构件、现场装配拼接和标准化施工流程，实现结构施工的快速化、质量可控化和资源节约化。其在中小型水利工程中应用，不仅能够缩短工期、降低现场作业难度，还可以有效提升工程质量、减少施工安全风险，并优化工程管理和资源配置。</w:t>
      </w:r>
    </w:p>
    <w:p w14:paraId="43213FE8">
      <w:pPr>
        <w:pStyle w:val="56"/>
        <w:spacing w:line="360" w:lineRule="auto"/>
        <w:ind w:firstLine="420"/>
        <w:rPr>
          <w:rFonts w:hint="eastAsia"/>
        </w:rPr>
      </w:pPr>
      <w:r>
        <w:rPr>
          <w:rFonts w:hint="eastAsia"/>
        </w:rPr>
        <w:t>然而，装配式结构施工技术在水利工程中的推广应用仍面临技术规范不统一、施工工艺不完善、构件连接及防渗措施要求不明确等问题。为确保装配式结构施工质量和工程安全，制定统一的技术规范具有重要意义。本文件结合国内外相关技术标准、工程实践经验和专家共识，提出中小型水利工程装配式结构施工的工艺流程、施工要求、质量控制、验收标准及安全管理等技术要求，旨在为设计、施工、监理和管理单位提供标准化的施工指导。</w:t>
      </w:r>
    </w:p>
    <w:p w14:paraId="42EAE8EF">
      <w:pPr>
        <w:pStyle w:val="56"/>
        <w:spacing w:line="360" w:lineRule="auto"/>
        <w:ind w:firstLine="420"/>
      </w:pPr>
      <w:r>
        <w:rPr>
          <w:rFonts w:hint="eastAsia"/>
        </w:rPr>
        <w:t>本文件适用于中小型水利工程的装配式结构施工，包括渠道、泵站、拦河闸、涵洞、排涝设施及相关附属构筑物。通过规范化施工流程、明确技术要求和控制要点，可以提高工程施工效率，保障结构安全性与耐久性，实现水利工程的可持续发展和现代化管理。</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中小型水利工程装配式结构施工技术规范</w:t>
          </w:r>
        </w:p>
      </w:sdtContent>
    </w:sdt>
    <w:bookmarkEnd w:id="27"/>
    <w:p w14:paraId="153BF6ED">
      <w:pPr>
        <w:pStyle w:val="104"/>
        <w:spacing w:before="240" w:after="240" w:line="360" w:lineRule="auto"/>
      </w:pPr>
      <w:bookmarkStart w:id="28" w:name="_Toc26648465"/>
      <w:bookmarkStart w:id="29" w:name="_Toc97192964"/>
      <w:bookmarkStart w:id="30" w:name="_Toc17233333"/>
      <w:bookmarkStart w:id="31" w:name="_Toc26986530"/>
      <w:bookmarkStart w:id="32" w:name="_Toc26718930"/>
      <w:bookmarkStart w:id="33" w:name="_Toc17233325"/>
      <w:bookmarkStart w:id="34" w:name="_Toc24884211"/>
      <w:bookmarkStart w:id="35" w:name="_Toc26986771"/>
      <w:bookmarkStart w:id="36" w:name="_Toc209903561"/>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0AFFC617">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本文件规定了中小型水利工程装配式结构施工的施工工艺与操作要求、安全管理与质量控制及施工验收与资料管理等内容。</w:t>
      </w:r>
    </w:p>
    <w:p w14:paraId="115F0A3E">
      <w:pPr>
        <w:pStyle w:val="56"/>
        <w:spacing w:line="360" w:lineRule="auto"/>
        <w:ind w:firstLine="420"/>
      </w:pPr>
      <w:r>
        <w:rPr>
          <w:rFonts w:hint="eastAsia"/>
        </w:rPr>
        <w:t>本文件适用于中小型水利工程中装配式结构的施工技术要求，涵盖渠道、泵站、拦河闸、涵洞、排涝设施及相关附属构筑物的施工全过程。</w:t>
      </w:r>
    </w:p>
    <w:p w14:paraId="1F7FEEB2">
      <w:pPr>
        <w:pStyle w:val="104"/>
        <w:spacing w:before="240" w:after="240" w:line="360" w:lineRule="auto"/>
      </w:pPr>
      <w:bookmarkStart w:id="43" w:name="_Toc26718931"/>
      <w:bookmarkStart w:id="44" w:name="_Toc26986531"/>
      <w:bookmarkStart w:id="45" w:name="_Toc26986772"/>
      <w:bookmarkStart w:id="46" w:name="_Toc20990356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B9151">
      <w:pPr>
        <w:pStyle w:val="56"/>
        <w:spacing w:line="360" w:lineRule="auto"/>
        <w:ind w:firstLine="420"/>
      </w:pPr>
      <w:r>
        <w:t>GB 50199</w:t>
      </w:r>
      <w:r>
        <w:rPr>
          <w:rFonts w:hint="eastAsia"/>
        </w:rPr>
        <w:t>—</w:t>
      </w:r>
      <w:r>
        <w:t xml:space="preserve">2013 </w:t>
      </w:r>
      <w:r>
        <w:rPr>
          <w:rFonts w:hint="eastAsia"/>
        </w:rPr>
        <w:t>水利水电工程结构可靠性设计统一标准</w:t>
      </w:r>
    </w:p>
    <w:p w14:paraId="025F240F">
      <w:pPr>
        <w:pStyle w:val="56"/>
        <w:spacing w:line="360" w:lineRule="auto"/>
        <w:ind w:firstLine="420"/>
      </w:pPr>
      <w:r>
        <w:rPr>
          <w:rFonts w:hint="eastAsia"/>
        </w:rPr>
        <w:t>GB/T 1.1—2020 标准化工作导则  第1部分:标准化文件的结构和起草规则</w:t>
      </w:r>
    </w:p>
    <w:p w14:paraId="6962992E">
      <w:pPr>
        <w:pStyle w:val="104"/>
        <w:spacing w:before="240" w:after="240" w:line="360" w:lineRule="auto"/>
      </w:pPr>
      <w:bookmarkStart w:id="48" w:name="_Toc97192966"/>
      <w:bookmarkStart w:id="49" w:name="_Toc209903563"/>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64359447">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装配式结构 prefabricated structure</w:t>
      </w:r>
    </w:p>
    <w:p w14:paraId="768656FC">
      <w:pPr>
        <w:pStyle w:val="56"/>
        <w:spacing w:line="360" w:lineRule="auto"/>
        <w:ind w:firstLine="420"/>
        <w:rPr>
          <w:rFonts w:hint="eastAsia"/>
        </w:rPr>
      </w:pPr>
      <w:r>
        <w:rPr>
          <w:rFonts w:hint="eastAsia"/>
        </w:rPr>
        <w:t>通过在工厂预制构件，并在施工现场进行吊装、拼接和固定形成的建筑或构筑物结构。</w:t>
      </w:r>
    </w:p>
    <w:p w14:paraId="69F491FB">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构件预制 component prefabrication</w:t>
      </w:r>
    </w:p>
    <w:p w14:paraId="66913D6C">
      <w:pPr>
        <w:pStyle w:val="56"/>
        <w:spacing w:line="360" w:lineRule="auto"/>
        <w:ind w:firstLine="420"/>
        <w:rPr>
          <w:rFonts w:hint="eastAsia"/>
        </w:rPr>
      </w:pPr>
      <w:r>
        <w:rPr>
          <w:rFonts w:hint="eastAsia"/>
        </w:rPr>
        <w:t>在工厂或预制场所按设计要求制造装配式结构构件，包括模板制作、混凝土浇筑、养护及尺寸检测等全过程。</w:t>
      </w:r>
    </w:p>
    <w:p w14:paraId="0B1A7C86">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构件吊装 component hoisting</w:t>
      </w:r>
    </w:p>
    <w:p w14:paraId="1227D475">
      <w:pPr>
        <w:pStyle w:val="56"/>
        <w:spacing w:line="360" w:lineRule="auto"/>
        <w:ind w:firstLine="420"/>
        <w:rPr>
          <w:rFonts w:hint="eastAsia"/>
        </w:rPr>
      </w:pPr>
      <w:r>
        <w:rPr>
          <w:rFonts w:hint="eastAsia"/>
        </w:rPr>
        <w:t>使用起重机械或专用设备将预制构件从运输位置移至安装位置的操作过程，要求确保安全、稳定和位置精确。</w:t>
      </w:r>
    </w:p>
    <w:p w14:paraId="49AD4FD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接口拼接 joint assembly</w:t>
      </w:r>
    </w:p>
    <w:p w14:paraId="18DCE132">
      <w:pPr>
        <w:pStyle w:val="56"/>
        <w:spacing w:line="360" w:lineRule="auto"/>
        <w:ind w:firstLine="420"/>
        <w:rPr>
          <w:rFonts w:hint="eastAsia"/>
        </w:rPr>
      </w:pPr>
      <w:r>
        <w:rPr>
          <w:rFonts w:hint="eastAsia"/>
        </w:rPr>
        <w:t>在施工现场将预制构件按照设计要求进行连接、固定、密封或焊接的过程，包括垂直接口、水平接口及管道或管线接口处理。</w:t>
      </w:r>
    </w:p>
    <w:p w14:paraId="68D1C9A9">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装配精度 assembly accuracy</w:t>
      </w:r>
    </w:p>
    <w:p w14:paraId="533240EB">
      <w:pPr>
        <w:pStyle w:val="56"/>
        <w:spacing w:line="360" w:lineRule="auto"/>
        <w:ind w:firstLine="420"/>
        <w:rPr>
          <w:rFonts w:hint="eastAsia"/>
        </w:rPr>
      </w:pPr>
      <w:r>
        <w:rPr>
          <w:rFonts w:hint="eastAsia"/>
        </w:rPr>
        <w:t>指装配式结构构件在现场安装后的位置、标高、平整度和间隙等参数与设计要求的符合程度。</w:t>
      </w:r>
    </w:p>
    <w:p w14:paraId="4C015C8E">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施工质量控制 construction quality control</w:t>
      </w:r>
    </w:p>
    <w:p w14:paraId="6B487E83">
      <w:pPr>
        <w:pStyle w:val="56"/>
        <w:spacing w:line="360" w:lineRule="auto"/>
        <w:ind w:firstLine="420"/>
        <w:rPr>
          <w:rFonts w:hint="eastAsia"/>
        </w:rPr>
      </w:pPr>
      <w:r>
        <w:rPr>
          <w:rFonts w:hint="eastAsia"/>
        </w:rPr>
        <w:t>对装配式结构施工过程中的材料、构件、设备及操作流程进行监控和管理，确保施工符合设计、规范及安全要求。</w:t>
      </w:r>
    </w:p>
    <w:p w14:paraId="0ECBC04B">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防渗措施 anti-seepage measure</w:t>
      </w:r>
    </w:p>
    <w:p w14:paraId="399CAE40">
      <w:pPr>
        <w:pStyle w:val="56"/>
        <w:spacing w:line="360" w:lineRule="auto"/>
        <w:ind w:firstLine="420"/>
        <w:rPr>
          <w:rFonts w:hint="eastAsia"/>
        </w:rPr>
      </w:pPr>
      <w:r>
        <w:rPr>
          <w:rFonts w:hint="eastAsia"/>
        </w:rPr>
        <w:t>在装配式水利结构施工中，采取的防止水渗漏或地下水入侵的技术和操作方法，包括密封处理、防水材料应用及接口加固等。</w:t>
      </w:r>
    </w:p>
    <w:p w14:paraId="00473CBD">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现场安装 on-site installation</w:t>
      </w:r>
    </w:p>
    <w:p w14:paraId="47F1E086">
      <w:pPr>
        <w:pStyle w:val="56"/>
        <w:spacing w:line="360" w:lineRule="auto"/>
        <w:ind w:firstLine="420"/>
        <w:rPr>
          <w:rFonts w:hint="eastAsia"/>
        </w:rPr>
      </w:pPr>
      <w:r>
        <w:rPr>
          <w:rFonts w:hint="eastAsia"/>
        </w:rPr>
        <w:t>指在施工现场完成构件吊装、拼接、固定及辅助设施安装的全过程，确保装配式结构整体性能和功能符合设计要求。</w:t>
      </w:r>
    </w:p>
    <w:p w14:paraId="06C2DAC0">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质量验收 quality acceptance</w:t>
      </w:r>
    </w:p>
    <w:p w14:paraId="7C4EBC62">
      <w:pPr>
        <w:pStyle w:val="56"/>
        <w:spacing w:line="360" w:lineRule="auto"/>
        <w:ind w:firstLine="420"/>
        <w:rPr>
          <w:rFonts w:hint="eastAsia"/>
        </w:rPr>
      </w:pPr>
      <w:r>
        <w:rPr>
          <w:rFonts w:hint="eastAsia"/>
        </w:rPr>
        <w:t>施工完成后，对装配式结构的尺寸、拼接、混凝土强度、防渗性能及整体稳定性等进行检查和评估，确认是否满足设计和规范要求的过程。</w:t>
      </w:r>
    </w:p>
    <w:p w14:paraId="0B458874">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施工安全管理 construction safety management</w:t>
      </w:r>
    </w:p>
    <w:p w14:paraId="12062132">
      <w:pPr>
        <w:pStyle w:val="56"/>
        <w:spacing w:line="360" w:lineRule="auto"/>
        <w:ind w:firstLine="420"/>
      </w:pPr>
      <w:r>
        <w:rPr>
          <w:rFonts w:hint="eastAsia"/>
        </w:rPr>
        <w:t>在装配式结构施工全过程中，采取的风险识别、安全防护、作业许可、人员培训及现场监控等措施，确保施工人员和工程安全。</w:t>
      </w:r>
    </w:p>
    <w:p w14:paraId="2EFC8721">
      <w:pPr>
        <w:pStyle w:val="104"/>
        <w:spacing w:before="240" w:after="240" w:line="360" w:lineRule="auto"/>
        <w:rPr>
          <w:rFonts w:hint="eastAsia"/>
        </w:rPr>
      </w:pPr>
      <w:bookmarkStart w:id="51" w:name="_Toc209903564"/>
      <w:r>
        <w:rPr>
          <w:rFonts w:hint="eastAsia"/>
        </w:rPr>
        <w:t>总体原则</w:t>
      </w:r>
      <w:bookmarkEnd w:id="51"/>
    </w:p>
    <w:p w14:paraId="1FF5E8DD">
      <w:pPr>
        <w:pStyle w:val="105"/>
        <w:spacing w:before="120" w:after="120" w:line="360" w:lineRule="auto"/>
        <w:rPr>
          <w:rFonts w:hint="eastAsia"/>
        </w:rPr>
      </w:pPr>
      <w:r>
        <w:rPr>
          <w:rFonts w:hint="eastAsia"/>
        </w:rPr>
        <w:t>施工前准备</w:t>
      </w:r>
    </w:p>
    <w:p w14:paraId="37F33662">
      <w:pPr>
        <w:pStyle w:val="56"/>
        <w:spacing w:line="360" w:lineRule="auto"/>
        <w:ind w:firstLine="420"/>
        <w:rPr>
          <w:rFonts w:hint="eastAsia"/>
        </w:rPr>
      </w:pPr>
      <w:r>
        <w:rPr>
          <w:rFonts w:hint="eastAsia"/>
        </w:rPr>
        <w:t>在装配式结构施工前，施工单位应对工程现场进行全面勘察和准备，包括施工环境、地基条件、运输通道及起重设备的可用性评估。应确保施工图纸完整、构件预制完成且符合设计要求，并对施工人员进行技术培训和安全教育，明确岗位职责和操作规程。</w:t>
      </w:r>
    </w:p>
    <w:p w14:paraId="5247C036">
      <w:pPr>
        <w:pStyle w:val="105"/>
        <w:spacing w:before="120" w:after="120" w:line="360" w:lineRule="auto"/>
        <w:rPr>
          <w:rFonts w:hint="eastAsia"/>
        </w:rPr>
      </w:pPr>
      <w:r>
        <w:rPr>
          <w:rFonts w:hint="eastAsia"/>
        </w:rPr>
        <w:t>施工工艺规范化</w:t>
      </w:r>
    </w:p>
    <w:p w14:paraId="25A5C1DE">
      <w:pPr>
        <w:pStyle w:val="56"/>
        <w:spacing w:line="360" w:lineRule="auto"/>
        <w:ind w:firstLine="420"/>
        <w:rPr>
          <w:rFonts w:hint="eastAsia"/>
        </w:rPr>
      </w:pPr>
      <w:r>
        <w:rPr>
          <w:rFonts w:hint="eastAsia"/>
        </w:rPr>
        <w:t>装配式结构施工应遵循标准化流程，包括构件运输、吊装、接口拼接、防渗处理和固定加固等环节。施工过程中应严格按照设计和规范要求执行，确保构件安装位置、标高、垂直度及拼缝精度符合要求，保证结构整体性能和耐久性。</w:t>
      </w:r>
    </w:p>
    <w:p w14:paraId="3E77D8CB">
      <w:pPr>
        <w:pStyle w:val="105"/>
        <w:spacing w:before="120" w:after="120" w:line="360" w:lineRule="auto"/>
        <w:rPr>
          <w:rFonts w:hint="eastAsia"/>
        </w:rPr>
      </w:pPr>
      <w:r>
        <w:rPr>
          <w:rFonts w:hint="eastAsia"/>
        </w:rPr>
        <w:t>质量控制</w:t>
      </w:r>
    </w:p>
    <w:p w14:paraId="16C4B74B">
      <w:pPr>
        <w:pStyle w:val="56"/>
        <w:spacing w:line="360" w:lineRule="auto"/>
        <w:ind w:firstLine="420"/>
        <w:rPr>
          <w:rFonts w:hint="eastAsia"/>
        </w:rPr>
      </w:pPr>
      <w:r>
        <w:rPr>
          <w:rFonts w:hint="eastAsia"/>
        </w:rPr>
        <w:t>施工全过程应建立严格的质量控制体系，对构件预制、运输、吊装、接口处理及防渗措施进行实时监控。关键环节应采取复核或双人检查制度，确保施工数据准确、操作规范。施工完成后，应进行全面验收，包括尺寸检测、混凝土强度测试、防渗性能评估及结构稳定性检查。</w:t>
      </w:r>
    </w:p>
    <w:p w14:paraId="281466D5">
      <w:pPr>
        <w:pStyle w:val="105"/>
        <w:spacing w:before="120" w:after="120" w:line="360" w:lineRule="auto"/>
        <w:rPr>
          <w:rFonts w:hint="eastAsia"/>
        </w:rPr>
      </w:pPr>
      <w:r>
        <w:rPr>
          <w:rFonts w:hint="eastAsia"/>
        </w:rPr>
        <w:t>安全与环保管理</w:t>
      </w:r>
    </w:p>
    <w:p w14:paraId="31B9CE80">
      <w:pPr>
        <w:pStyle w:val="56"/>
        <w:spacing w:line="360" w:lineRule="auto"/>
        <w:ind w:firstLine="420"/>
        <w:rPr>
          <w:rFonts w:hint="eastAsia"/>
        </w:rPr>
      </w:pPr>
      <w:r>
        <w:rPr>
          <w:rFonts w:hint="eastAsia"/>
        </w:rPr>
        <w:t>施工过程中必须贯彻安全第一原则，施工人员必须佩戴防护用品，并遵守操作规程。针对吊装作业、高处作业及水工环境，应采取专门安全措施。施工现场应保持整洁，采取防尘、防水污染及废弃物管理措施，减少对环境的影响。</w:t>
      </w:r>
    </w:p>
    <w:p w14:paraId="1D1FACBC">
      <w:pPr>
        <w:pStyle w:val="105"/>
        <w:spacing w:before="120" w:after="120" w:line="360" w:lineRule="auto"/>
        <w:rPr>
          <w:rFonts w:hint="eastAsia"/>
        </w:rPr>
      </w:pPr>
      <w:r>
        <w:rPr>
          <w:rFonts w:hint="eastAsia"/>
        </w:rPr>
        <w:t>施工进度与协调管理</w:t>
      </w:r>
    </w:p>
    <w:p w14:paraId="63325EEB">
      <w:pPr>
        <w:pStyle w:val="56"/>
        <w:spacing w:line="360" w:lineRule="auto"/>
        <w:ind w:firstLine="420"/>
        <w:rPr>
          <w:rFonts w:hint="eastAsia"/>
        </w:rPr>
      </w:pPr>
      <w:r>
        <w:rPr>
          <w:rFonts w:hint="eastAsia"/>
        </w:rPr>
        <w:t>施工单位应根据工程计划合理安排构件运输和安装顺序，确保各施工环节衔接顺畅。应建立施工协调机制，解决施工过程中出现的技术、物流及安全问题，保证工程按期完成，同时不影响施工质量和安全。</w:t>
      </w:r>
    </w:p>
    <w:p w14:paraId="546728BE">
      <w:pPr>
        <w:pStyle w:val="105"/>
        <w:spacing w:before="120" w:after="120" w:line="360" w:lineRule="auto"/>
        <w:rPr>
          <w:rFonts w:hint="eastAsia"/>
        </w:rPr>
      </w:pPr>
      <w:r>
        <w:rPr>
          <w:rFonts w:hint="eastAsia"/>
        </w:rPr>
        <w:t>信息化与档案管理</w:t>
      </w:r>
    </w:p>
    <w:p w14:paraId="1B30AB33">
      <w:pPr>
        <w:pStyle w:val="56"/>
        <w:spacing w:line="360" w:lineRule="auto"/>
        <w:ind w:firstLine="420"/>
      </w:pPr>
      <w:r>
        <w:rPr>
          <w:rFonts w:hint="eastAsia"/>
        </w:rPr>
        <w:t>施工单位应建立施工信息管理系统，对构件预制、运输、吊装及验收数据进行记录和管理，实现数据可追溯和施工过程可监督。所有施工记录、检测数据和验收结果应归档保存，为后续维护、监管和工程改造提供依据。</w:t>
      </w:r>
    </w:p>
    <w:p w14:paraId="4C2E702C">
      <w:pPr>
        <w:pStyle w:val="104"/>
        <w:spacing w:before="240" w:after="240" w:line="360" w:lineRule="auto"/>
        <w:rPr>
          <w:rFonts w:hint="eastAsia"/>
        </w:rPr>
      </w:pPr>
      <w:bookmarkStart w:id="52" w:name="_Toc209903565"/>
      <w:r>
        <w:rPr>
          <w:rFonts w:hint="eastAsia"/>
        </w:rPr>
        <w:t>施工工艺与操作要求</w:t>
      </w:r>
      <w:bookmarkEnd w:id="52"/>
    </w:p>
    <w:p w14:paraId="7B2BA436">
      <w:pPr>
        <w:pStyle w:val="105"/>
        <w:spacing w:before="120" w:after="120" w:line="360" w:lineRule="auto"/>
        <w:rPr>
          <w:rFonts w:hint="eastAsia"/>
        </w:rPr>
      </w:pPr>
      <w:r>
        <w:rPr>
          <w:rFonts w:hint="eastAsia"/>
        </w:rPr>
        <w:t>构件预制</w:t>
      </w:r>
    </w:p>
    <w:p w14:paraId="5447ABE5">
      <w:pPr>
        <w:pStyle w:val="56"/>
        <w:spacing w:line="360" w:lineRule="auto"/>
        <w:ind w:firstLine="420"/>
        <w:rPr>
          <w:rFonts w:hint="eastAsia"/>
        </w:rPr>
      </w:pPr>
      <w:r>
        <w:rPr>
          <w:rFonts w:hint="eastAsia"/>
        </w:rPr>
        <w:t>装配式构件应在工厂或预制场按照设计图纸和规范要求完成制作。预制过程中应严格控制混凝土配比、养护条件及尺寸精度，确保强度、耐久性和防渗性能符合设计标准。预制构件出厂前，应进行外观检查、尺寸检测及必要的结构强度试验，合格后方可运输至施工现场。</w:t>
      </w:r>
    </w:p>
    <w:p w14:paraId="25E8E8A6">
      <w:pPr>
        <w:pStyle w:val="105"/>
        <w:spacing w:before="120" w:after="120" w:line="360" w:lineRule="auto"/>
        <w:rPr>
          <w:rFonts w:hint="eastAsia"/>
        </w:rPr>
      </w:pPr>
      <w:r>
        <w:rPr>
          <w:rFonts w:hint="eastAsia"/>
        </w:rPr>
        <w:t>构件运输</w:t>
      </w:r>
    </w:p>
    <w:p w14:paraId="7331F6E7">
      <w:pPr>
        <w:pStyle w:val="56"/>
        <w:spacing w:line="360" w:lineRule="auto"/>
        <w:ind w:firstLine="420"/>
        <w:rPr>
          <w:rFonts w:hint="eastAsia"/>
        </w:rPr>
      </w:pPr>
      <w:r>
        <w:rPr>
          <w:rFonts w:hint="eastAsia"/>
        </w:rPr>
        <w:t>预制构件运输前，应根据构件尺寸、重量和运输条件制定运输方案，确保运输过程安全稳定。运输车辆应配备防护设施，防止构件受损、倾斜或位移。运输途中应避免颠簸和碰撞，必要时使用专用吊装或固定装置进行加固。运输到施工现场后，应按照施工顺序进行堆放，便于吊装和安装。</w:t>
      </w:r>
    </w:p>
    <w:p w14:paraId="69068153">
      <w:pPr>
        <w:pStyle w:val="105"/>
        <w:spacing w:before="120" w:after="120" w:line="360" w:lineRule="auto"/>
        <w:rPr>
          <w:rFonts w:hint="eastAsia"/>
        </w:rPr>
      </w:pPr>
      <w:r>
        <w:rPr>
          <w:rFonts w:hint="eastAsia"/>
        </w:rPr>
        <w:t>构件吊装与定位</w:t>
      </w:r>
    </w:p>
    <w:p w14:paraId="399C2FE9">
      <w:pPr>
        <w:pStyle w:val="56"/>
        <w:spacing w:line="360" w:lineRule="auto"/>
        <w:ind w:firstLine="420"/>
        <w:rPr>
          <w:rFonts w:hint="eastAsia"/>
        </w:rPr>
      </w:pPr>
      <w:r>
        <w:rPr>
          <w:rFonts w:hint="eastAsia"/>
        </w:rPr>
        <w:t>现场吊装应采用符合规范要求的起重设备和吊装工具，确保吊装安全。构件吊装过程中，应严格控制吊点位置、吊装速度和吊装角度，避免构件变形或损坏。吊装完成后，应进行精确定位，包括水平、垂直、标高及间隙校正，确保构件与设计要求一致。对关键接口和拼接面，应采取临时固定措施，保证安装稳定。</w:t>
      </w:r>
    </w:p>
    <w:p w14:paraId="2A75E94B">
      <w:pPr>
        <w:pStyle w:val="105"/>
        <w:spacing w:before="120" w:after="120" w:line="360" w:lineRule="auto"/>
        <w:rPr>
          <w:rFonts w:hint="eastAsia"/>
        </w:rPr>
      </w:pPr>
      <w:r>
        <w:rPr>
          <w:rFonts w:hint="eastAsia"/>
        </w:rPr>
        <w:t>接口拼接与固定</w:t>
      </w:r>
    </w:p>
    <w:p w14:paraId="0883B6B2">
      <w:pPr>
        <w:pStyle w:val="56"/>
        <w:spacing w:line="360" w:lineRule="auto"/>
        <w:ind w:firstLine="420"/>
        <w:rPr>
          <w:rFonts w:hint="eastAsia"/>
        </w:rPr>
      </w:pPr>
      <w:r>
        <w:rPr>
          <w:rFonts w:hint="eastAsia"/>
        </w:rPr>
        <w:t>构件拼接时，应按照设计图纸和施工规范要求完成接口处理，包括焊接、螺栓连接或专用固定件安装。接口应平整、紧密，必要时应用密封材料、防水胶或嵌缝处理，以确保防渗效果。拼接完成后，应对接口位置、紧固程度和密封性能进行检查和确认。</w:t>
      </w:r>
    </w:p>
    <w:p w14:paraId="05BBB006">
      <w:pPr>
        <w:pStyle w:val="105"/>
        <w:spacing w:before="120" w:after="120" w:line="360" w:lineRule="auto"/>
        <w:rPr>
          <w:rFonts w:hint="eastAsia"/>
        </w:rPr>
      </w:pPr>
      <w:r>
        <w:rPr>
          <w:rFonts w:hint="eastAsia"/>
        </w:rPr>
        <w:t>防渗措施</w:t>
      </w:r>
    </w:p>
    <w:p w14:paraId="0C5C896F">
      <w:pPr>
        <w:pStyle w:val="56"/>
        <w:spacing w:line="360" w:lineRule="auto"/>
        <w:ind w:firstLine="420"/>
        <w:rPr>
          <w:rFonts w:hint="eastAsia"/>
        </w:rPr>
      </w:pPr>
      <w:r>
        <w:rPr>
          <w:rFonts w:hint="eastAsia"/>
        </w:rPr>
        <w:t>针对水利工程特点，应在装配式结构施工中采取有效防渗措施。包括接口密封、防水材料涂敷、防渗胶条或止水带安装等。防渗措施应覆盖关键节点和潜在渗漏区域，施工完成后应进行防渗性能检测，确保结构的水密性满足设计要求。</w:t>
      </w:r>
    </w:p>
    <w:p w14:paraId="0DA26C1D">
      <w:pPr>
        <w:pStyle w:val="105"/>
        <w:spacing w:before="120" w:after="120" w:line="360" w:lineRule="auto"/>
        <w:rPr>
          <w:rFonts w:hint="eastAsia"/>
        </w:rPr>
      </w:pPr>
      <w:r>
        <w:rPr>
          <w:rFonts w:hint="eastAsia"/>
        </w:rPr>
        <w:t>现场安装</w:t>
      </w:r>
    </w:p>
    <w:p w14:paraId="2B1A3B46">
      <w:pPr>
        <w:pStyle w:val="56"/>
        <w:spacing w:line="360" w:lineRule="auto"/>
        <w:ind w:firstLine="420"/>
        <w:rPr>
          <w:rFonts w:hint="eastAsia"/>
        </w:rPr>
      </w:pPr>
      <w:r>
        <w:rPr>
          <w:rFonts w:hint="eastAsia"/>
        </w:rPr>
        <w:t>现场安装包括构件吊装、接口拼接、防渗处理及附属设施安装等全过程。施工人员应按照施工方案操作，严格遵守安全规范，确保构件安装顺序合理、拼接精度达标。安装完成后，应进行整体检查，确保装配式结构整体稳定、平整、密实，并符合设计及规范要求。</w:t>
      </w:r>
    </w:p>
    <w:p w14:paraId="231BFCD2">
      <w:pPr>
        <w:pStyle w:val="105"/>
        <w:spacing w:before="120" w:after="120" w:line="360" w:lineRule="auto"/>
        <w:rPr>
          <w:rFonts w:hint="eastAsia"/>
        </w:rPr>
      </w:pPr>
      <w:r>
        <w:rPr>
          <w:rFonts w:hint="eastAsia"/>
        </w:rPr>
        <w:t>施工质量检查与验收</w:t>
      </w:r>
    </w:p>
    <w:p w14:paraId="00650897">
      <w:pPr>
        <w:pStyle w:val="56"/>
        <w:spacing w:line="360" w:lineRule="auto"/>
        <w:ind w:firstLine="420"/>
      </w:pPr>
      <w:r>
        <w:rPr>
          <w:rFonts w:hint="eastAsia"/>
        </w:rPr>
        <w:t>施工过程中的每一环节均应进行质量检查，包括预制构件验收、运输损伤检查、吊装定位、接口拼接、防渗性能及结构整体性检查。施工完成后，应进行全面验收，记录施工数据和质量情况，为后续使用和维护提供依据。对发现的问题，应及时整改并复检，确保结构整体质量符合标准要求。</w:t>
      </w:r>
    </w:p>
    <w:p w14:paraId="4A433A87">
      <w:pPr>
        <w:pStyle w:val="104"/>
        <w:spacing w:before="240" w:after="240" w:line="360" w:lineRule="auto"/>
        <w:rPr>
          <w:rFonts w:hint="eastAsia"/>
        </w:rPr>
      </w:pPr>
      <w:bookmarkStart w:id="53" w:name="_Toc209903566"/>
      <w:r>
        <w:rPr>
          <w:rFonts w:hint="eastAsia"/>
        </w:rPr>
        <w:t>安全管理与质量控制</w:t>
      </w:r>
      <w:bookmarkEnd w:id="53"/>
    </w:p>
    <w:p w14:paraId="13897783">
      <w:pPr>
        <w:pStyle w:val="105"/>
        <w:spacing w:before="120" w:after="120" w:line="360" w:lineRule="auto"/>
        <w:rPr>
          <w:rFonts w:hint="eastAsia"/>
        </w:rPr>
      </w:pPr>
      <w:r>
        <w:rPr>
          <w:rFonts w:hint="eastAsia"/>
        </w:rPr>
        <w:t>施工人员资质与培训</w:t>
      </w:r>
    </w:p>
    <w:p w14:paraId="1BBA9E14">
      <w:pPr>
        <w:pStyle w:val="56"/>
        <w:spacing w:line="360" w:lineRule="auto"/>
        <w:ind w:firstLine="420"/>
        <w:rPr>
          <w:rFonts w:hint="eastAsia"/>
        </w:rPr>
      </w:pPr>
      <w:r>
        <w:rPr>
          <w:rFonts w:hint="eastAsia"/>
        </w:rPr>
        <w:t>参与装配式结构施工的人员应持有相应资质证书，熟悉施工图纸、操作规程及安全要求。施工单位应定期组织培训，内容包括施工技术要点、吊装操作、防渗施工、安全防护措施及应急处理流程，确保施工人员掌握岗位技能和安全操作规范。</w:t>
      </w:r>
    </w:p>
    <w:p w14:paraId="36CA90C7">
      <w:pPr>
        <w:pStyle w:val="105"/>
        <w:spacing w:before="120" w:after="120" w:line="360" w:lineRule="auto"/>
        <w:rPr>
          <w:rFonts w:hint="eastAsia"/>
        </w:rPr>
      </w:pPr>
      <w:r>
        <w:rPr>
          <w:rFonts w:hint="eastAsia"/>
        </w:rPr>
        <w:t>施工现场安全管理</w:t>
      </w:r>
    </w:p>
    <w:p w14:paraId="1420E9DA">
      <w:pPr>
        <w:pStyle w:val="56"/>
        <w:spacing w:line="360" w:lineRule="auto"/>
        <w:ind w:firstLine="420"/>
        <w:rPr>
          <w:rFonts w:hint="eastAsia"/>
        </w:rPr>
      </w:pPr>
      <w:r>
        <w:rPr>
          <w:rFonts w:hint="eastAsia"/>
        </w:rPr>
        <w:t>施工现场应设置明显的安全标识和隔离措施，禁止非施工人员进入危险区域。吊装作业、高处作业及水域作业应采取专门安全措施，如挂设警示标志、使用安全带、配置救生设备及防护栏杆等。施工现场应保持整洁有序，确保通道畅通，消防设施、应急器材及救援通道完备。</w:t>
      </w:r>
    </w:p>
    <w:p w14:paraId="2A20B040">
      <w:pPr>
        <w:pStyle w:val="105"/>
        <w:spacing w:before="120" w:after="120" w:line="360" w:lineRule="auto"/>
        <w:rPr>
          <w:rFonts w:hint="eastAsia"/>
        </w:rPr>
      </w:pPr>
      <w:r>
        <w:rPr>
          <w:rFonts w:hint="eastAsia"/>
        </w:rPr>
        <w:t>关键环节质量控制</w:t>
      </w:r>
    </w:p>
    <w:p w14:paraId="431646CA">
      <w:pPr>
        <w:pStyle w:val="56"/>
        <w:spacing w:line="360" w:lineRule="auto"/>
        <w:ind w:firstLine="420"/>
        <w:rPr>
          <w:rFonts w:hint="eastAsia"/>
        </w:rPr>
      </w:pPr>
      <w:r>
        <w:rPr>
          <w:rFonts w:hint="eastAsia"/>
        </w:rPr>
        <w:t>对预制构件、吊装、接口拼接、防渗处理及固定加固等关键施工环节，应采取质量控制措施，包括双人复核、现场测量及关键点检查。施工单位应建立施工检查制度，及时发现和纠正偏差或缺陷，确保每一道工序符合设计和规范要求。</w:t>
      </w:r>
    </w:p>
    <w:p w14:paraId="38B2934F">
      <w:pPr>
        <w:pStyle w:val="105"/>
        <w:spacing w:before="120" w:after="120" w:line="360" w:lineRule="auto"/>
        <w:rPr>
          <w:rFonts w:hint="eastAsia"/>
        </w:rPr>
      </w:pPr>
      <w:r>
        <w:rPr>
          <w:rFonts w:hint="eastAsia"/>
        </w:rPr>
        <w:t>施工材料与构件管理</w:t>
      </w:r>
    </w:p>
    <w:p w14:paraId="35CA21E1">
      <w:pPr>
        <w:pStyle w:val="56"/>
        <w:spacing w:line="360" w:lineRule="auto"/>
        <w:ind w:firstLine="420"/>
        <w:rPr>
          <w:rFonts w:hint="eastAsia"/>
        </w:rPr>
      </w:pPr>
      <w:r>
        <w:rPr>
          <w:rFonts w:hint="eastAsia"/>
        </w:rPr>
        <w:t>所有施工材料及预制构件必须符合设计要求和国家标准。施工单位应建立材料和构件的入场验收、储存、运输及使用记录，确保材料性能稳定、数量充足，并在施工中避免损坏或污染。</w:t>
      </w:r>
    </w:p>
    <w:p w14:paraId="78CCFF22">
      <w:pPr>
        <w:pStyle w:val="105"/>
        <w:spacing w:before="120" w:after="120" w:line="360" w:lineRule="auto"/>
        <w:rPr>
          <w:rFonts w:hint="eastAsia"/>
        </w:rPr>
      </w:pPr>
      <w:r>
        <w:rPr>
          <w:rFonts w:hint="eastAsia"/>
        </w:rPr>
        <w:t>施工过程监控</w:t>
      </w:r>
    </w:p>
    <w:p w14:paraId="6B64BD46">
      <w:pPr>
        <w:pStyle w:val="56"/>
        <w:spacing w:line="360" w:lineRule="auto"/>
        <w:ind w:firstLine="420"/>
        <w:rPr>
          <w:rFonts w:hint="eastAsia"/>
        </w:rPr>
      </w:pPr>
      <w:r>
        <w:rPr>
          <w:rFonts w:hint="eastAsia"/>
        </w:rPr>
        <w:t>施工过程中，应通过现场管理、信息化监控或第三方监督等方式，对施工进度、操作规范及质量状况进行实时监控。关键施工数据应记录在案，并建立可追溯体系，为后续质量复查和工程验收提供依据。</w:t>
      </w:r>
    </w:p>
    <w:p w14:paraId="23AEE8AB">
      <w:pPr>
        <w:pStyle w:val="105"/>
        <w:spacing w:before="120" w:after="120" w:line="360" w:lineRule="auto"/>
        <w:rPr>
          <w:rFonts w:hint="eastAsia"/>
        </w:rPr>
      </w:pPr>
      <w:r>
        <w:rPr>
          <w:rFonts w:hint="eastAsia"/>
        </w:rPr>
        <w:t>应急管理</w:t>
      </w:r>
    </w:p>
    <w:p w14:paraId="0820BDB1">
      <w:pPr>
        <w:pStyle w:val="56"/>
        <w:spacing w:line="360" w:lineRule="auto"/>
        <w:ind w:firstLine="420"/>
        <w:rPr>
          <w:rFonts w:hint="eastAsia"/>
        </w:rPr>
      </w:pPr>
      <w:r>
        <w:rPr>
          <w:rFonts w:hint="eastAsia"/>
        </w:rPr>
        <w:t>施工单位应制定施工应急预案，涵盖事故报警、应急处置、人员疏散、救援措施及信息报告流程。应急预案应针对可能发生的吊装事故、构件损坏、水域作业风险及其他安全事件，确保能够快速、有效处置突发情况。</w:t>
      </w:r>
    </w:p>
    <w:p w14:paraId="5D9BE141">
      <w:pPr>
        <w:pStyle w:val="105"/>
        <w:spacing w:before="120" w:after="120" w:line="360" w:lineRule="auto"/>
        <w:rPr>
          <w:rFonts w:hint="eastAsia"/>
        </w:rPr>
      </w:pPr>
      <w:r>
        <w:rPr>
          <w:rFonts w:hint="eastAsia"/>
        </w:rPr>
        <w:t>验收与整改机制</w:t>
      </w:r>
    </w:p>
    <w:p w14:paraId="776A7A1C">
      <w:pPr>
        <w:pStyle w:val="56"/>
        <w:spacing w:line="360" w:lineRule="auto"/>
        <w:ind w:firstLine="420"/>
      </w:pPr>
      <w:r>
        <w:rPr>
          <w:rFonts w:hint="eastAsia"/>
        </w:rPr>
        <w:t>对施工中发现的质量问题或安全隐患，应立即记录并采取整改措施。整改完成后，应进行复检和确认，确保问题彻底解决。施工单位应建立问题闭环管理体系，实现施工质量和安全的持续改进。</w:t>
      </w:r>
    </w:p>
    <w:p w14:paraId="5D82DD64">
      <w:pPr>
        <w:pStyle w:val="104"/>
        <w:spacing w:before="240" w:after="240" w:line="360" w:lineRule="auto"/>
        <w:rPr>
          <w:rFonts w:hint="eastAsia"/>
        </w:rPr>
      </w:pPr>
      <w:bookmarkStart w:id="54" w:name="_Toc209903567"/>
      <w:r>
        <w:rPr>
          <w:rFonts w:hint="eastAsia"/>
        </w:rPr>
        <w:t>施工验收与资料管理</w:t>
      </w:r>
      <w:bookmarkEnd w:id="54"/>
    </w:p>
    <w:p w14:paraId="06DE8C9E">
      <w:pPr>
        <w:pStyle w:val="105"/>
        <w:spacing w:before="120" w:after="120" w:line="360" w:lineRule="auto"/>
        <w:rPr>
          <w:rFonts w:hint="eastAsia"/>
        </w:rPr>
      </w:pPr>
      <w:r>
        <w:rPr>
          <w:rFonts w:hint="eastAsia"/>
        </w:rPr>
        <w:t>验收准备</w:t>
      </w:r>
    </w:p>
    <w:p w14:paraId="22C53FE0">
      <w:pPr>
        <w:pStyle w:val="56"/>
        <w:spacing w:line="360" w:lineRule="auto"/>
        <w:ind w:firstLine="420"/>
        <w:rPr>
          <w:rFonts w:hint="eastAsia"/>
        </w:rPr>
      </w:pPr>
      <w:r>
        <w:rPr>
          <w:rFonts w:hint="eastAsia"/>
        </w:rPr>
        <w:t>施工完成后，应根据设计要求和施工规范对装配式结构进行验收准备。验收前应确保施工现场整洁，所有构件安装完毕，接口处理、防渗措施及固定加固完成，并准备好验收所需的检测仪器、工具和资料。</w:t>
      </w:r>
    </w:p>
    <w:p w14:paraId="487C8086">
      <w:pPr>
        <w:pStyle w:val="105"/>
        <w:spacing w:before="120" w:after="120" w:line="360" w:lineRule="auto"/>
        <w:rPr>
          <w:rFonts w:hint="eastAsia"/>
        </w:rPr>
      </w:pPr>
      <w:r>
        <w:rPr>
          <w:rFonts w:hint="eastAsia"/>
        </w:rPr>
        <w:t>验收内容</w:t>
      </w:r>
    </w:p>
    <w:p w14:paraId="6B5B724D">
      <w:pPr>
        <w:pStyle w:val="56"/>
        <w:spacing w:line="360" w:lineRule="auto"/>
        <w:ind w:firstLine="420"/>
        <w:rPr>
          <w:rFonts w:hint="eastAsia"/>
        </w:rPr>
      </w:pPr>
      <w:r>
        <w:rPr>
          <w:rFonts w:hint="eastAsia"/>
        </w:rPr>
        <w:t>施工验收应包括以下内容：</w:t>
      </w:r>
    </w:p>
    <w:p w14:paraId="7053F7FD">
      <w:pPr>
        <w:pStyle w:val="132"/>
        <w:spacing w:line="360" w:lineRule="auto"/>
        <w:rPr>
          <w:rFonts w:hint="eastAsia"/>
        </w:rPr>
      </w:pPr>
      <w:r>
        <w:rPr>
          <w:rFonts w:hint="eastAsia"/>
        </w:rPr>
        <w:t>构件尺寸与装配精度：检查构件的标高、水平度、垂直度、间隙及拼接精度是否符合设计要求；</w:t>
      </w:r>
    </w:p>
    <w:p w14:paraId="0432343F">
      <w:pPr>
        <w:pStyle w:val="132"/>
        <w:spacing w:line="360" w:lineRule="auto"/>
        <w:rPr>
          <w:rFonts w:hint="eastAsia"/>
        </w:rPr>
      </w:pPr>
      <w:r>
        <w:rPr>
          <w:rFonts w:hint="eastAsia"/>
        </w:rPr>
        <w:t>接口与防渗处理：检查接口拼接、密封、防水材料及止水措施的完整性和密封效果，确保防渗性能满足设计要求；</w:t>
      </w:r>
    </w:p>
    <w:p w14:paraId="65D92C19">
      <w:pPr>
        <w:pStyle w:val="132"/>
        <w:spacing w:line="360" w:lineRule="auto"/>
        <w:rPr>
          <w:rFonts w:hint="eastAsia"/>
        </w:rPr>
      </w:pPr>
      <w:r>
        <w:rPr>
          <w:rFonts w:hint="eastAsia"/>
        </w:rPr>
        <w:t>混凝土及材料质量：核查混凝土强度、养护情况及构件材料的性能指标是否符合标准要求；</w:t>
      </w:r>
    </w:p>
    <w:p w14:paraId="0B3F2B73">
      <w:pPr>
        <w:pStyle w:val="132"/>
        <w:spacing w:line="360" w:lineRule="auto"/>
        <w:rPr>
          <w:rFonts w:hint="eastAsia"/>
        </w:rPr>
      </w:pPr>
      <w:r>
        <w:rPr>
          <w:rFonts w:hint="eastAsia"/>
        </w:rPr>
        <w:t>整体结构稳定性：评估结构整体平整度、稳定性及施工过程中可能产生的偏差是否在允许范围内；</w:t>
      </w:r>
    </w:p>
    <w:p w14:paraId="719A52DD">
      <w:pPr>
        <w:pStyle w:val="132"/>
        <w:spacing w:line="360" w:lineRule="auto"/>
        <w:rPr>
          <w:rFonts w:hint="eastAsia"/>
        </w:rPr>
      </w:pPr>
      <w:r>
        <w:rPr>
          <w:rFonts w:hint="eastAsia"/>
        </w:rPr>
        <w:t>安全设施与施工环境：检查施工现场安全措施落实情况，包括安全标识、护栏、应急通道及消防设施。</w:t>
      </w:r>
    </w:p>
    <w:p w14:paraId="1DD2E595">
      <w:pPr>
        <w:pStyle w:val="105"/>
        <w:spacing w:before="120" w:after="120" w:line="360" w:lineRule="auto"/>
        <w:rPr>
          <w:rFonts w:hint="eastAsia"/>
        </w:rPr>
      </w:pPr>
      <w:r>
        <w:rPr>
          <w:rFonts w:hint="eastAsia"/>
        </w:rPr>
        <w:t>验收方法</w:t>
      </w:r>
    </w:p>
    <w:p w14:paraId="3EBE4305">
      <w:pPr>
        <w:pStyle w:val="56"/>
        <w:spacing w:line="360" w:lineRule="auto"/>
        <w:ind w:firstLine="420"/>
        <w:rPr>
          <w:rFonts w:hint="eastAsia"/>
        </w:rPr>
      </w:pPr>
      <w:r>
        <w:rPr>
          <w:rFonts w:hint="eastAsia"/>
        </w:rPr>
        <w:t>验收应采用现场检查、测量、无损检测和抽样试验等方法进行。对关键接口和高风险区域，可进行重点检测和复核。验收过程中应有监理单位、施工单位和设计单位代表参与，确保验收的客观性和公正性。</w:t>
      </w:r>
    </w:p>
    <w:p w14:paraId="2BD9EC60">
      <w:pPr>
        <w:pStyle w:val="105"/>
        <w:spacing w:before="120" w:after="120" w:line="360" w:lineRule="auto"/>
        <w:rPr>
          <w:rFonts w:hint="eastAsia"/>
        </w:rPr>
      </w:pPr>
      <w:r>
        <w:rPr>
          <w:rFonts w:hint="eastAsia"/>
        </w:rPr>
        <w:t>验收记录与报告</w:t>
      </w:r>
    </w:p>
    <w:p w14:paraId="624DFACF">
      <w:pPr>
        <w:pStyle w:val="56"/>
        <w:spacing w:line="360" w:lineRule="auto"/>
        <w:ind w:firstLine="420"/>
        <w:rPr>
          <w:rFonts w:hint="eastAsia"/>
        </w:rPr>
      </w:pPr>
      <w:r>
        <w:rPr>
          <w:rFonts w:hint="eastAsia"/>
        </w:rPr>
        <w:t>验收完成后，施工单位应编制验收报告，报告内容包括工程概况、验收方法、检测数据、发现问题及整改建议。验收报告应由施工单位、监理单位签字确认，并存档备案。报告应详细记录各施工环节的质量情况，为后续使用、维护及监管提供依据。</w:t>
      </w:r>
    </w:p>
    <w:p w14:paraId="48E8847F">
      <w:pPr>
        <w:pStyle w:val="105"/>
        <w:spacing w:before="120" w:after="120" w:line="360" w:lineRule="auto"/>
        <w:rPr>
          <w:rFonts w:hint="eastAsia"/>
        </w:rPr>
      </w:pPr>
      <w:r>
        <w:rPr>
          <w:rFonts w:hint="eastAsia"/>
        </w:rPr>
        <w:t>资料管理与归档</w:t>
      </w:r>
    </w:p>
    <w:p w14:paraId="1B2FD4DB">
      <w:pPr>
        <w:pStyle w:val="56"/>
        <w:spacing w:line="360" w:lineRule="auto"/>
        <w:ind w:firstLine="420"/>
        <w:rPr>
          <w:rFonts w:hint="eastAsia"/>
        </w:rPr>
      </w:pPr>
      <w:r>
        <w:rPr>
          <w:rFonts w:hint="eastAsia"/>
        </w:rPr>
        <w:t>施工过程中产生的设计图纸、施工记录、材料检验报告、施工日志、检测数据和验收报告等资料应完整归档。资料管理应实现电子化和纸质化双重保存，确保数据的完整性、可追溯性和长期可用性。施工单位应建立资料管理制度，确保资料在工程后期维护和管理中能够快速查阅和使用。</w:t>
      </w:r>
    </w:p>
    <w:p w14:paraId="10C2EBCE">
      <w:pPr>
        <w:pStyle w:val="105"/>
        <w:spacing w:before="120" w:after="120" w:line="360" w:lineRule="auto"/>
        <w:rPr>
          <w:rFonts w:hint="eastAsia"/>
        </w:rPr>
      </w:pPr>
      <w:r>
        <w:rPr>
          <w:rFonts w:hint="eastAsia"/>
        </w:rPr>
        <w:t>整改与复检</w:t>
      </w:r>
    </w:p>
    <w:p w14:paraId="689253E6">
      <w:pPr>
        <w:pStyle w:val="56"/>
        <w:spacing w:line="360" w:lineRule="auto"/>
        <w:ind w:firstLine="420"/>
        <w:rPr>
          <w:rFonts w:hint="eastAsia"/>
        </w:rPr>
      </w:pPr>
      <w:r>
        <w:rPr>
          <w:rFonts w:hint="eastAsia"/>
        </w:rPr>
        <w:t>对于验收中发现的缺陷或不符合项，施工单位应根据整改要求及时进行处理。整改完成后，应进行复检，确认问题已解决，并将复检结果纳入工程档案。所有整改措施和复检记录应详细记录，形成闭环管理，保证施工质量和结构安全。</w:t>
      </w:r>
    </w:p>
    <w:p w14:paraId="311204EC">
      <w:pPr>
        <w:pStyle w:val="56"/>
        <w:ind w:firstLine="420"/>
      </w:pPr>
    </w:p>
    <w:bookmarkEnd w:id="26"/>
    <w:p w14:paraId="77559717">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5" w:name="BookMark6"/>
    </w:p>
    <w:p w14:paraId="7005DB6F">
      <w:pPr>
        <w:pStyle w:val="63"/>
        <w:spacing w:after="120" w:line="360" w:lineRule="auto"/>
        <w:rPr>
          <w:rFonts w:hint="eastAsia"/>
        </w:rPr>
      </w:pPr>
      <w:bookmarkStart w:id="56" w:name="_Toc209903568"/>
      <w:r>
        <w:rPr>
          <w:rFonts w:hint="eastAsia"/>
          <w:spacing w:val="105"/>
        </w:rPr>
        <w:t>参考文</w:t>
      </w:r>
      <w:r>
        <w:rPr>
          <w:rFonts w:hint="eastAsia"/>
        </w:rPr>
        <w:t>献</w:t>
      </w:r>
      <w:bookmarkEnd w:id="56"/>
    </w:p>
    <w:p w14:paraId="3B31F3BC">
      <w:pPr>
        <w:pStyle w:val="56"/>
        <w:spacing w:line="360" w:lineRule="auto"/>
        <w:ind w:firstLine="420"/>
      </w:pPr>
      <w:r>
        <w:rPr>
          <w:rFonts w:hint="eastAsia"/>
        </w:rPr>
        <w:t>[1</w:t>
      </w:r>
      <w:r>
        <w:t xml:space="preserve">] DB36/T 2133-2025  </w:t>
      </w:r>
      <w:r>
        <w:rPr>
          <w:rFonts w:hint="eastAsia"/>
        </w:rPr>
        <w:t>水利工程装配式植草混凝土护坡技术规范</w:t>
      </w:r>
    </w:p>
    <w:p w14:paraId="2D40B107">
      <w:pPr>
        <w:pStyle w:val="56"/>
        <w:spacing w:line="360" w:lineRule="auto"/>
        <w:ind w:firstLine="420"/>
        <w:rPr>
          <w:rFonts w:hint="eastAsia"/>
        </w:rPr>
      </w:pPr>
      <w:r>
        <w:t>[</w:t>
      </w:r>
      <w:r>
        <w:rPr>
          <w:rFonts w:hint="eastAsia"/>
        </w:rPr>
        <w:t>2</w:t>
      </w:r>
      <w:r>
        <w:t xml:space="preserve">] DB41/T 2472-2023  </w:t>
      </w:r>
      <w:r>
        <w:rPr>
          <w:rFonts w:hint="eastAsia"/>
        </w:rPr>
        <w:t>水利工程预制混凝土联锁式砌块护坡施工规范</w:t>
      </w:r>
    </w:p>
    <w:bookmarkEnd w:id="55"/>
    <w:p w14:paraId="1741FF94">
      <w:pPr>
        <w:pStyle w:val="56"/>
        <w:ind w:firstLine="0" w:firstLineChars="0"/>
        <w:jc w:val="center"/>
      </w:pPr>
      <w:bookmarkStart w:id="57" w:name="BookMark8"/>
      <w:r>
        <w:drawing>
          <wp:inline distT="0" distB="0" distL="0" distR="0">
            <wp:extent cx="1485900" cy="317500"/>
            <wp:effectExtent l="0" t="0" r="0" b="6350"/>
            <wp:docPr id="1390624729" name="图片 1"/>
            <wp:cNvGraphicFramePr/>
            <a:graphic xmlns:a="http://schemas.openxmlformats.org/drawingml/2006/main">
              <a:graphicData uri="http://schemas.openxmlformats.org/drawingml/2006/picture">
                <pic:pic xmlns:pic="http://schemas.openxmlformats.org/drawingml/2006/picture">
                  <pic:nvPicPr>
                    <pic:cNvPr id="1390624729"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A7E1">
    <w:pPr>
      <w:pStyle w:val="51"/>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E7D5">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33F1">
    <w:pPr>
      <w:pStyle w:val="51"/>
    </w:pPr>
    <w:r>
      <w:fldChar w:fldCharType="begin"/>
    </w:r>
    <w:r>
      <w:instrText xml:space="preserve"> PAGE   \* MERGEFORMAT \* MERGEFORMAT </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9DBC">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8039">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99E7">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F9D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54ECF">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C2E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1FCF">
    <w:pPr>
      <w:pStyle w:val="62"/>
    </w:pPr>
    <w:r>
      <w:fldChar w:fldCharType="begin"/>
    </w:r>
    <w:r>
      <w:instrText xml:space="preserve"> STYLEREF  标准文件_文件编号 \* MERGEFORMAT </w:instrText>
    </w:r>
    <w:r>
      <w:fldChar w:fldCharType="separate"/>
    </w:r>
    <w:r>
      <w:t>T/XJBX 0100—2025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E667">
    <w:pPr>
      <w:pStyle w:val="61"/>
    </w:pPr>
    <w:r>
      <w:fldChar w:fldCharType="begin"/>
    </w:r>
    <w:r>
      <w:instrText xml:space="preserve"> STYLEREF  标准文件_文件编号  \* MERGEFORMAT </w:instrText>
    </w:r>
    <w:r>
      <w:fldChar w:fldCharType="separate"/>
    </w:r>
    <w:r>
      <w:t>T/XJBX 0100—2025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270">
    <w:pPr>
      <w:pStyle w:val="62"/>
    </w:pPr>
    <w:r>
      <w:fldChar w:fldCharType="begin"/>
    </w:r>
    <w:r>
      <w:instrText xml:space="preserve"> STYLEREF  标准文件_文件编号 \* MERGEFORMAT </w:instrText>
    </w:r>
    <w:r>
      <w:fldChar w:fldCharType="separate"/>
    </w:r>
    <w:r>
      <w:t>T/XJBX 0100—2025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69F4">
    <w:pPr>
      <w:pStyle w:val="61"/>
    </w:pPr>
    <w:r>
      <w:fldChar w:fldCharType="begin"/>
    </w:r>
    <w:r>
      <w:instrText xml:space="preserve"> STYLEREF  标准文件_文件编号  \* MERGEFORMAT </w:instrText>
    </w:r>
    <w:r>
      <w:fldChar w:fldCharType="separate"/>
    </w:r>
    <w:r>
      <w:t>T/XJBX 0100—2025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5AE6">
    <w:pPr>
      <w:pStyle w:val="62"/>
    </w:pPr>
    <w:r>
      <w:fldChar w:fldCharType="begin"/>
    </w:r>
    <w:r>
      <w:instrText xml:space="preserve"> STYLEREF  标准文件_文件编号 \* MERGEFORMAT </w:instrText>
    </w:r>
    <w:r>
      <w:fldChar w:fldCharType="separate"/>
    </w:r>
    <w:r>
      <w:t>T/XJBX 0100—2025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0100—2025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E83C">
    <w:pPr>
      <w:pStyle w:val="61"/>
    </w:pPr>
    <w:r>
      <w:fldChar w:fldCharType="begin"/>
    </w:r>
    <w:r>
      <w:instrText xml:space="preserve"> STYLEREF  标准文件_文件编号  \* MERGEFORMAT </w:instrText>
    </w:r>
    <w:r>
      <w:fldChar w:fldCharType="separate"/>
    </w:r>
    <w:r>
      <w:t>T/XJBX 0100—2025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6CE8">
    <w:pPr>
      <w:pStyle w:val="62"/>
    </w:pPr>
    <w:r>
      <w:fldChar w:fldCharType="begin"/>
    </w:r>
    <w:r>
      <w:instrText xml:space="preserve"> STYLEREF  标准文件_文件编号 \* MERGEFORMAT </w:instrText>
    </w:r>
    <w:r>
      <w:fldChar w:fldCharType="separate"/>
    </w:r>
    <w:r>
      <w:t>T/XJBX 0100—2025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C414">
    <w:pPr>
      <w:pStyle w:val="61"/>
    </w:pPr>
    <w:r>
      <w:fldChar w:fldCharType="begin"/>
    </w:r>
    <w:r>
      <w:instrText xml:space="preserve"> STYLEREF  标准文件_文件编号  \* MERGEFORMAT </w:instrText>
    </w:r>
    <w:r>
      <w:fldChar w:fldCharType="separate"/>
    </w:r>
    <w:r>
      <w:t>T/XJBX 0100—2025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9E"/>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68A"/>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375"/>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52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51593D4F">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74023335">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556BB6E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1D6761"/>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4971</Words>
  <Characters>5344</Characters>
  <Lines>46</Lines>
  <Paragraphs>13</Paragraphs>
  <TotalTime>21</TotalTime>
  <ScaleCrop>false</ScaleCrop>
  <LinksUpToDate>false</LinksUpToDate>
  <CharactersWithSpaces>5436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2025-09-28T07:30:04Z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FE25E8BD3A744D78A1451AB701FA0B53_12</vt:lpwstr>
  </property>
</Properties>
</file>