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44D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B1A6CB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FC99B0B">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65.020.01"/>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65.020.01</w:t>
            </w:r>
            <w:r>
              <w:rPr>
                <w:rFonts w:ascii="黑体" w:hAnsi="黑体" w:eastAsia="黑体"/>
                <w:sz w:val="21"/>
                <w:szCs w:val="21"/>
              </w:rPr>
              <w:fldChar w:fldCharType="end"/>
            </w:r>
            <w:bookmarkEnd w:id="0"/>
          </w:p>
        </w:tc>
      </w:tr>
      <w:tr w14:paraId="54C42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C37C91F">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76F0B8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32B83E0">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1A19399E">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B 05"/>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B 05</w:t>
            </w:r>
            <w:r>
              <w:rPr>
                <w:rFonts w:ascii="黑体" w:hAnsi="黑体" w:eastAsia="黑体"/>
                <w:sz w:val="21"/>
                <w:szCs w:val="21"/>
              </w:rPr>
              <w:fldChar w:fldCharType="end"/>
            </w:r>
            <w:bookmarkEnd w:id="2"/>
          </w:p>
        </w:tc>
      </w:tr>
    </w:tbl>
    <w:p w14:paraId="055F17D2">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2C21905B">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097"/>
            </w:textInput>
          </w:ffData>
        </w:fldChar>
      </w:r>
      <w:bookmarkStart w:id="6" w:name="NSTD_CODE_F"/>
      <w:r>
        <w:instrText xml:space="preserve"> FORMTEXT </w:instrText>
      </w:r>
      <w:r>
        <w:fldChar w:fldCharType="separate"/>
      </w:r>
      <w:r>
        <w:t>0097</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1EABCE53">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01702C5">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4DD21762">
      <w:pPr>
        <w:pStyle w:val="50"/>
        <w:framePr w:w="9639" w:h="6976" w:hRule="exact" w:hSpace="0" w:vSpace="0" w:wrap="around" w:hAnchor="page" w:y="6408"/>
        <w:jc w:val="center"/>
        <w:rPr>
          <w:rFonts w:ascii="黑体" w:hAnsi="黑体" w:eastAsia="黑体"/>
          <w:b w:val="0"/>
          <w:bCs w:val="0"/>
          <w:w w:val="100"/>
        </w:rPr>
      </w:pPr>
    </w:p>
    <w:p w14:paraId="0FD7DFF3">
      <w:pPr>
        <w:pStyle w:val="197"/>
        <w:framePr w:h="6974" w:hRule="exact" w:wrap="around" w:x="1419" w:anchorLock="1"/>
      </w:pPr>
      <w:r>
        <w:fldChar w:fldCharType="begin">
          <w:ffData>
            <w:name w:val="CSTD_NAME"/>
            <w:enabled/>
            <w:calcOnExit w:val="0"/>
            <w:textInput>
              <w:default w:val="农产品质量安全区块链追溯技术规范"/>
            </w:textInput>
          </w:ffData>
        </w:fldChar>
      </w:r>
      <w:bookmarkStart w:id="9" w:name="CSTD_NAME"/>
      <w:r>
        <w:instrText xml:space="preserve"> FORMTEXT </w:instrText>
      </w:r>
      <w:r>
        <w:fldChar w:fldCharType="separate"/>
      </w:r>
      <w:r>
        <w:t>农产品质量安全区块链追溯技术规范</w:t>
      </w:r>
      <w:r>
        <w:fldChar w:fldCharType="end"/>
      </w:r>
      <w:bookmarkEnd w:id="9"/>
    </w:p>
    <w:p w14:paraId="67B71C7B">
      <w:pPr>
        <w:framePr w:w="9639" w:h="6974" w:hRule="exact" w:wrap="around" w:vAnchor="page" w:hAnchor="page" w:x="1419" w:y="6408" w:anchorLock="1"/>
        <w:ind w:left="-1418"/>
      </w:pPr>
    </w:p>
    <w:p w14:paraId="76CC8527">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Specification for blockchain traceability technology of agricultural product quality and safety"/>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Specification for blockchain traceability technology of agricultural product quality and safety</w:t>
      </w:r>
      <w:r>
        <w:rPr>
          <w:rFonts w:ascii="黑体" w:hAnsi="黑体" w:eastAsia="黑体"/>
          <w:szCs w:val="28"/>
        </w:rPr>
        <w:fldChar w:fldCharType="end"/>
      </w:r>
      <w:bookmarkEnd w:id="10"/>
    </w:p>
    <w:p w14:paraId="1F1D2DA5">
      <w:pPr>
        <w:framePr w:w="9639" w:h="6974" w:hRule="exact" w:wrap="around" w:vAnchor="page" w:hAnchor="page" w:x="1419" w:y="6408" w:anchorLock="1"/>
        <w:spacing w:line="760" w:lineRule="exact"/>
        <w:ind w:left="-1418"/>
      </w:pPr>
    </w:p>
    <w:p w14:paraId="3D6CCBD0">
      <w:pPr>
        <w:pStyle w:val="125"/>
        <w:framePr w:w="9639" w:h="6974" w:hRule="exact" w:wrap="around" w:vAnchor="page" w:hAnchor="page" w:x="1419" w:y="6408" w:anchorLock="1"/>
        <w:textAlignment w:val="bottom"/>
        <w:rPr>
          <w:rFonts w:eastAsia="黑体"/>
          <w:szCs w:val="28"/>
        </w:rPr>
      </w:pPr>
    </w:p>
    <w:p w14:paraId="11D3BF3C">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5C1E0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7FF84249">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213EB9E">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1430B68">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041943C4">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8496568">
      <w:pPr>
        <w:rPr>
          <w:rFonts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670C76CE">
      <w:pPr>
        <w:pStyle w:val="91"/>
        <w:spacing w:after="360"/>
        <w:rPr>
          <w:rFonts w:hint="eastAsia"/>
        </w:rPr>
      </w:pPr>
      <w:bookmarkStart w:id="21" w:name="BookMark1"/>
      <w:r>
        <w:rPr>
          <w:rFonts w:hint="eastAsia"/>
          <w:spacing w:val="320"/>
        </w:rPr>
        <w:t>目</w:t>
      </w:r>
      <w:r>
        <w:rPr>
          <w:rFonts w:hint="eastAsia"/>
        </w:rPr>
        <w:t>次</w:t>
      </w:r>
    </w:p>
    <w:p w14:paraId="4B32D2C9">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"_Toc209900255" </w:instrText>
      </w:r>
      <w:r>
        <w:fldChar w:fldCharType="separate"/>
      </w:r>
      <w:r>
        <w:rPr>
          <w:rStyle w:val="32"/>
        </w:rPr>
        <w:t>前言</w:t>
      </w:r>
      <w:r>
        <w:tab/>
      </w:r>
      <w:r>
        <w:fldChar w:fldCharType="begin"/>
      </w:r>
      <w:r>
        <w:instrText xml:space="preserve"> PAGEREF _Toc209900255 \h </w:instrText>
      </w:r>
      <w:r>
        <w:fldChar w:fldCharType="separate"/>
      </w:r>
      <w:r>
        <w:t>III</w:t>
      </w:r>
      <w:r>
        <w:fldChar w:fldCharType="end"/>
      </w:r>
      <w:r>
        <w:fldChar w:fldCharType="end"/>
      </w:r>
    </w:p>
    <w:p w14:paraId="77CD4E3F">
      <w:pPr>
        <w:pStyle w:val="19"/>
        <w:tabs>
          <w:tab w:val="right" w:leader="dot" w:pos="9344"/>
        </w:tabs>
        <w:rPr>
          <w:rFonts w:asciiTheme="minorHAnsi" w:hAnsiTheme="minorHAnsi" w:eastAsiaTheme="minorEastAsia" w:cstheme="minorBidi"/>
          <w:szCs w:val="22"/>
        </w:rPr>
      </w:pPr>
      <w:r>
        <w:fldChar w:fldCharType="begin"/>
      </w:r>
      <w:r>
        <w:instrText xml:space="preserve"> HYPERLINK \l "_Toc209900256" </w:instrText>
      </w:r>
      <w:r>
        <w:fldChar w:fldCharType="separate"/>
      </w:r>
      <w:r>
        <w:rPr>
          <w:rStyle w:val="32"/>
        </w:rPr>
        <w:t>引言</w:t>
      </w:r>
      <w:r>
        <w:tab/>
      </w:r>
      <w:r>
        <w:fldChar w:fldCharType="begin"/>
      </w:r>
      <w:r>
        <w:instrText xml:space="preserve"> PAGEREF _Toc209900256 \h </w:instrText>
      </w:r>
      <w:r>
        <w:fldChar w:fldCharType="separate"/>
      </w:r>
      <w:r>
        <w:t>V</w:t>
      </w:r>
      <w:r>
        <w:fldChar w:fldCharType="end"/>
      </w:r>
      <w:r>
        <w:fldChar w:fldCharType="end"/>
      </w:r>
    </w:p>
    <w:p w14:paraId="1A3FAFF0">
      <w:pPr>
        <w:pStyle w:val="19"/>
        <w:tabs>
          <w:tab w:val="right" w:leader="dot" w:pos="9344"/>
        </w:tabs>
        <w:rPr>
          <w:rFonts w:asciiTheme="minorHAnsi" w:hAnsiTheme="minorHAnsi" w:eastAsiaTheme="minorEastAsia" w:cstheme="minorBidi"/>
          <w:szCs w:val="22"/>
        </w:rPr>
      </w:pPr>
      <w:r>
        <w:fldChar w:fldCharType="begin"/>
      </w:r>
      <w:r>
        <w:instrText xml:space="preserve"> HYPERLINK \l "_Toc209900257" </w:instrText>
      </w:r>
      <w:r>
        <w:fldChar w:fldCharType="separate"/>
      </w:r>
      <w:r>
        <w:rPr>
          <w:rStyle w:val="32"/>
        </w:rPr>
        <w:t>1  范围</w:t>
      </w:r>
      <w:r>
        <w:tab/>
      </w:r>
      <w:r>
        <w:fldChar w:fldCharType="begin"/>
      </w:r>
      <w:r>
        <w:instrText xml:space="preserve"> PAGEREF _Toc209900257 \h </w:instrText>
      </w:r>
      <w:r>
        <w:fldChar w:fldCharType="separate"/>
      </w:r>
      <w:r>
        <w:t>1</w:t>
      </w:r>
      <w:r>
        <w:fldChar w:fldCharType="end"/>
      </w:r>
      <w:r>
        <w:fldChar w:fldCharType="end"/>
      </w:r>
    </w:p>
    <w:p w14:paraId="184D5724">
      <w:pPr>
        <w:pStyle w:val="19"/>
        <w:tabs>
          <w:tab w:val="right" w:leader="dot" w:pos="9344"/>
        </w:tabs>
        <w:rPr>
          <w:rFonts w:asciiTheme="minorHAnsi" w:hAnsiTheme="minorHAnsi" w:eastAsiaTheme="minorEastAsia" w:cstheme="minorBidi"/>
          <w:szCs w:val="22"/>
        </w:rPr>
      </w:pPr>
      <w:r>
        <w:fldChar w:fldCharType="begin"/>
      </w:r>
      <w:r>
        <w:instrText xml:space="preserve"> HYPERLINK \l "_Toc209900258" </w:instrText>
      </w:r>
      <w:r>
        <w:fldChar w:fldCharType="separate"/>
      </w:r>
      <w:r>
        <w:rPr>
          <w:rStyle w:val="32"/>
        </w:rPr>
        <w:t>2  规范性引用文件</w:t>
      </w:r>
      <w:r>
        <w:tab/>
      </w:r>
      <w:r>
        <w:fldChar w:fldCharType="begin"/>
      </w:r>
      <w:r>
        <w:instrText xml:space="preserve"> PAGEREF _Toc209900258 \h </w:instrText>
      </w:r>
      <w:r>
        <w:fldChar w:fldCharType="separate"/>
      </w:r>
      <w:r>
        <w:t>1</w:t>
      </w:r>
      <w:r>
        <w:fldChar w:fldCharType="end"/>
      </w:r>
      <w:r>
        <w:fldChar w:fldCharType="end"/>
      </w:r>
    </w:p>
    <w:p w14:paraId="6A14C875">
      <w:pPr>
        <w:pStyle w:val="19"/>
        <w:tabs>
          <w:tab w:val="right" w:leader="dot" w:pos="9344"/>
        </w:tabs>
        <w:rPr>
          <w:rFonts w:asciiTheme="minorHAnsi" w:hAnsiTheme="minorHAnsi" w:eastAsiaTheme="minorEastAsia" w:cstheme="minorBidi"/>
          <w:szCs w:val="22"/>
        </w:rPr>
      </w:pPr>
      <w:r>
        <w:fldChar w:fldCharType="begin"/>
      </w:r>
      <w:r>
        <w:instrText xml:space="preserve"> HYPERLINK \l "_Toc209900259" </w:instrText>
      </w:r>
      <w:r>
        <w:fldChar w:fldCharType="separate"/>
      </w:r>
      <w:r>
        <w:rPr>
          <w:rStyle w:val="32"/>
        </w:rPr>
        <w:t>3  术语和定义</w:t>
      </w:r>
      <w:r>
        <w:tab/>
      </w:r>
      <w:r>
        <w:fldChar w:fldCharType="begin"/>
      </w:r>
      <w:r>
        <w:instrText xml:space="preserve"> PAGEREF _Toc209900259 \h </w:instrText>
      </w:r>
      <w:r>
        <w:fldChar w:fldCharType="separate"/>
      </w:r>
      <w:r>
        <w:t>1</w:t>
      </w:r>
      <w:r>
        <w:fldChar w:fldCharType="end"/>
      </w:r>
      <w:r>
        <w:fldChar w:fldCharType="end"/>
      </w:r>
    </w:p>
    <w:p w14:paraId="3A5B1C2D">
      <w:pPr>
        <w:pStyle w:val="19"/>
        <w:tabs>
          <w:tab w:val="right" w:leader="dot" w:pos="9344"/>
        </w:tabs>
        <w:rPr>
          <w:rFonts w:asciiTheme="minorHAnsi" w:hAnsiTheme="minorHAnsi" w:eastAsiaTheme="minorEastAsia" w:cstheme="minorBidi"/>
          <w:szCs w:val="22"/>
        </w:rPr>
      </w:pPr>
      <w:r>
        <w:fldChar w:fldCharType="begin"/>
      </w:r>
      <w:r>
        <w:instrText xml:space="preserve"> HYPERLINK \l "_Toc209900260" </w:instrText>
      </w:r>
      <w:r>
        <w:fldChar w:fldCharType="separate"/>
      </w:r>
      <w:r>
        <w:rPr>
          <w:rStyle w:val="32"/>
        </w:rPr>
        <w:t>4  总体原则</w:t>
      </w:r>
      <w:r>
        <w:tab/>
      </w:r>
      <w:r>
        <w:fldChar w:fldCharType="begin"/>
      </w:r>
      <w:r>
        <w:instrText xml:space="preserve"> PAGEREF _Toc209900260 \h </w:instrText>
      </w:r>
      <w:r>
        <w:fldChar w:fldCharType="separate"/>
      </w:r>
      <w:r>
        <w:t>3</w:t>
      </w:r>
      <w:r>
        <w:fldChar w:fldCharType="end"/>
      </w:r>
      <w:r>
        <w:fldChar w:fldCharType="end"/>
      </w:r>
    </w:p>
    <w:p w14:paraId="5454C4DC">
      <w:pPr>
        <w:pStyle w:val="19"/>
        <w:tabs>
          <w:tab w:val="right" w:leader="dot" w:pos="9344"/>
        </w:tabs>
        <w:rPr>
          <w:rFonts w:asciiTheme="minorHAnsi" w:hAnsiTheme="minorHAnsi" w:eastAsiaTheme="minorEastAsia" w:cstheme="minorBidi"/>
          <w:szCs w:val="22"/>
        </w:rPr>
      </w:pPr>
      <w:r>
        <w:fldChar w:fldCharType="begin"/>
      </w:r>
      <w:r>
        <w:instrText xml:space="preserve"> HYPERLINK \l "_Toc209900261" </w:instrText>
      </w:r>
      <w:r>
        <w:fldChar w:fldCharType="separate"/>
      </w:r>
      <w:r>
        <w:rPr>
          <w:rStyle w:val="32"/>
        </w:rPr>
        <w:t>5  区块链系统架构与技术要求</w:t>
      </w:r>
      <w:r>
        <w:tab/>
      </w:r>
      <w:r>
        <w:fldChar w:fldCharType="begin"/>
      </w:r>
      <w:r>
        <w:instrText xml:space="preserve"> PAGEREF _Toc209900261 \h </w:instrText>
      </w:r>
      <w:r>
        <w:fldChar w:fldCharType="separate"/>
      </w:r>
      <w:r>
        <w:t>3</w:t>
      </w:r>
      <w:r>
        <w:fldChar w:fldCharType="end"/>
      </w:r>
      <w:r>
        <w:fldChar w:fldCharType="end"/>
      </w:r>
    </w:p>
    <w:p w14:paraId="531115F2">
      <w:pPr>
        <w:pStyle w:val="19"/>
        <w:tabs>
          <w:tab w:val="right" w:leader="dot" w:pos="9344"/>
        </w:tabs>
        <w:rPr>
          <w:rFonts w:asciiTheme="minorHAnsi" w:hAnsiTheme="minorHAnsi" w:eastAsiaTheme="minorEastAsia" w:cstheme="minorBidi"/>
          <w:szCs w:val="22"/>
        </w:rPr>
      </w:pPr>
      <w:r>
        <w:fldChar w:fldCharType="begin"/>
      </w:r>
      <w:r>
        <w:instrText xml:space="preserve"> HYPERLINK \l "_Toc209900262" </w:instrText>
      </w:r>
      <w:r>
        <w:fldChar w:fldCharType="separate"/>
      </w:r>
      <w:r>
        <w:rPr>
          <w:rStyle w:val="32"/>
        </w:rPr>
        <w:t>6  信息采集与数据管理</w:t>
      </w:r>
      <w:r>
        <w:tab/>
      </w:r>
      <w:r>
        <w:fldChar w:fldCharType="begin"/>
      </w:r>
      <w:r>
        <w:instrText xml:space="preserve"> PAGEREF _Toc209900262 \h </w:instrText>
      </w:r>
      <w:r>
        <w:fldChar w:fldCharType="separate"/>
      </w:r>
      <w:r>
        <w:t>4</w:t>
      </w:r>
      <w:r>
        <w:fldChar w:fldCharType="end"/>
      </w:r>
      <w:r>
        <w:fldChar w:fldCharType="end"/>
      </w:r>
    </w:p>
    <w:p w14:paraId="5183BF94">
      <w:pPr>
        <w:pStyle w:val="19"/>
        <w:tabs>
          <w:tab w:val="right" w:leader="dot" w:pos="9344"/>
        </w:tabs>
        <w:rPr>
          <w:rFonts w:asciiTheme="minorHAnsi" w:hAnsiTheme="minorHAnsi" w:eastAsiaTheme="minorEastAsia" w:cstheme="minorBidi"/>
          <w:szCs w:val="22"/>
        </w:rPr>
      </w:pPr>
      <w:r>
        <w:fldChar w:fldCharType="begin"/>
      </w:r>
      <w:r>
        <w:instrText xml:space="preserve"> HYPERLINK \l "_Toc209900263" </w:instrText>
      </w:r>
      <w:r>
        <w:fldChar w:fldCharType="separate"/>
      </w:r>
      <w:r>
        <w:rPr>
          <w:rStyle w:val="32"/>
        </w:rPr>
        <w:t>7  智能合约与业务规则管理</w:t>
      </w:r>
      <w:r>
        <w:tab/>
      </w:r>
      <w:r>
        <w:fldChar w:fldCharType="begin"/>
      </w:r>
      <w:r>
        <w:instrText xml:space="preserve"> PAGEREF _Toc209900263 \h </w:instrText>
      </w:r>
      <w:r>
        <w:fldChar w:fldCharType="separate"/>
      </w:r>
      <w:r>
        <w:t>6</w:t>
      </w:r>
      <w:r>
        <w:fldChar w:fldCharType="end"/>
      </w:r>
      <w:r>
        <w:fldChar w:fldCharType="end"/>
      </w:r>
    </w:p>
    <w:p w14:paraId="4659625D">
      <w:pPr>
        <w:pStyle w:val="19"/>
        <w:tabs>
          <w:tab w:val="right" w:leader="dot" w:pos="9344"/>
        </w:tabs>
        <w:rPr>
          <w:rFonts w:asciiTheme="minorHAnsi" w:hAnsiTheme="minorHAnsi" w:eastAsiaTheme="minorEastAsia" w:cstheme="minorBidi"/>
          <w:szCs w:val="22"/>
        </w:rPr>
      </w:pPr>
      <w:r>
        <w:fldChar w:fldCharType="begin"/>
      </w:r>
      <w:r>
        <w:instrText xml:space="preserve"> HYPERLINK \l "_Toc209900264" </w:instrText>
      </w:r>
      <w:r>
        <w:fldChar w:fldCharType="separate"/>
      </w:r>
      <w:r>
        <w:rPr>
          <w:rStyle w:val="32"/>
        </w:rPr>
        <w:t>8  监管管理与数据共享</w:t>
      </w:r>
      <w:r>
        <w:tab/>
      </w:r>
      <w:r>
        <w:fldChar w:fldCharType="begin"/>
      </w:r>
      <w:r>
        <w:instrText xml:space="preserve"> PAGEREF _Toc209900264 \h </w:instrText>
      </w:r>
      <w:r>
        <w:fldChar w:fldCharType="separate"/>
      </w:r>
      <w:r>
        <w:t>7</w:t>
      </w:r>
      <w:r>
        <w:fldChar w:fldCharType="end"/>
      </w:r>
      <w:r>
        <w:fldChar w:fldCharType="end"/>
      </w:r>
    </w:p>
    <w:p w14:paraId="6E1F5C34">
      <w:pPr>
        <w:pStyle w:val="19"/>
        <w:tabs>
          <w:tab w:val="right" w:leader="dot" w:pos="9344"/>
        </w:tabs>
        <w:rPr>
          <w:rFonts w:asciiTheme="minorHAnsi" w:hAnsiTheme="minorHAnsi" w:eastAsiaTheme="minorEastAsia" w:cstheme="minorBidi"/>
          <w:szCs w:val="22"/>
        </w:rPr>
      </w:pPr>
      <w:r>
        <w:fldChar w:fldCharType="begin"/>
      </w:r>
      <w:r>
        <w:instrText xml:space="preserve"> HYPERLINK \l "_Toc209900265" </w:instrText>
      </w:r>
      <w:r>
        <w:fldChar w:fldCharType="separate"/>
      </w:r>
      <w:r>
        <w:rPr>
          <w:rStyle w:val="32"/>
        </w:rPr>
        <w:t>9  系统安全与运维管理</w:t>
      </w:r>
      <w:r>
        <w:tab/>
      </w:r>
      <w:r>
        <w:fldChar w:fldCharType="begin"/>
      </w:r>
      <w:r>
        <w:instrText xml:space="preserve"> PAGEREF _Toc209900265 \h </w:instrText>
      </w:r>
      <w:r>
        <w:fldChar w:fldCharType="separate"/>
      </w:r>
      <w:r>
        <w:t>8</w:t>
      </w:r>
      <w:r>
        <w:fldChar w:fldCharType="end"/>
      </w:r>
      <w:r>
        <w:fldChar w:fldCharType="end"/>
      </w:r>
    </w:p>
    <w:p w14:paraId="44212F9A">
      <w:pPr>
        <w:pStyle w:val="19"/>
        <w:tabs>
          <w:tab w:val="right" w:leader="dot" w:pos="9344"/>
        </w:tabs>
        <w:rPr>
          <w:rFonts w:asciiTheme="minorHAnsi" w:hAnsiTheme="minorHAnsi" w:eastAsiaTheme="minorEastAsia" w:cstheme="minorBidi"/>
          <w:szCs w:val="22"/>
        </w:rPr>
      </w:pPr>
      <w:r>
        <w:fldChar w:fldCharType="begin"/>
      </w:r>
      <w:r>
        <w:instrText xml:space="preserve"> HYPERLINK \l "_Toc209900266" </w:instrText>
      </w:r>
      <w:r>
        <w:fldChar w:fldCharType="separate"/>
      </w:r>
      <w:r>
        <w:rPr>
          <w:rStyle w:val="32"/>
        </w:rPr>
        <w:t>参考文献</w:t>
      </w:r>
      <w:r>
        <w:tab/>
      </w:r>
      <w:r>
        <w:fldChar w:fldCharType="begin"/>
      </w:r>
      <w:r>
        <w:instrText xml:space="preserve"> PAGEREF _Toc209900266 \h </w:instrText>
      </w:r>
      <w:r>
        <w:fldChar w:fldCharType="separate"/>
      </w:r>
      <w:r>
        <w:t>10</w:t>
      </w:r>
      <w:r>
        <w:fldChar w:fldCharType="end"/>
      </w:r>
      <w:r>
        <w:fldChar w:fldCharType="end"/>
      </w:r>
    </w:p>
    <w:p w14:paraId="35AD649C">
      <w:pPr>
        <w:pStyle w:val="91"/>
        <w:spacing w:after="360"/>
        <w:sectPr>
          <w:headerReference r:id="rId12" w:type="first"/>
          <w:headerReference r:id="rId10" w:type="default"/>
          <w:footerReference r:id="rId13" w:type="default"/>
          <w:headerReference r:id="rId11"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355CEC1D">
      <w:pPr>
        <w:pStyle w:val="89"/>
        <w:spacing w:before="900" w:after="360"/>
      </w:pPr>
      <w:bookmarkStart w:id="22" w:name="_Toc209900255"/>
      <w:bookmarkStart w:id="23" w:name="BookMark2"/>
      <w:r>
        <w:rPr>
          <w:spacing w:val="320"/>
        </w:rPr>
        <w:t>前</w:t>
      </w:r>
      <w:r>
        <w:t>言</w:t>
      </w:r>
      <w:bookmarkEnd w:id="22"/>
    </w:p>
    <w:p w14:paraId="35AC2FAA">
      <w:pPr>
        <w:pStyle w:val="56"/>
        <w:spacing w:line="360" w:lineRule="auto"/>
        <w:ind w:firstLine="420"/>
      </w:pPr>
      <w:r>
        <w:rPr>
          <w:rFonts w:hint="eastAsia"/>
        </w:rPr>
        <w:t>本文件按照GB/T 1.1—2020《标准化工作导则  第1部分：标准化文件的结构和起草规则》的规定起草。</w:t>
      </w:r>
    </w:p>
    <w:p w14:paraId="6BB17D8D">
      <w:pPr>
        <w:pStyle w:val="56"/>
        <w:spacing w:line="360" w:lineRule="auto"/>
        <w:ind w:firstLine="420"/>
      </w:pPr>
      <w:r>
        <w:rPr>
          <w:rFonts w:hint="eastAsia"/>
        </w:rPr>
        <w:t>请注意本文件的某些内容可能涉及专利。本文件的发布机构不承担识别专利的责任。</w:t>
      </w:r>
    </w:p>
    <w:p w14:paraId="79EFE827">
      <w:pPr>
        <w:pStyle w:val="56"/>
        <w:spacing w:line="360" w:lineRule="auto"/>
        <w:ind w:firstLine="420"/>
      </w:pPr>
      <w:r>
        <w:rPr>
          <w:rFonts w:hint="eastAsia"/>
        </w:rPr>
        <w:t>本文件由西安市计量标准检测认证协会提出并归口。</w:t>
      </w:r>
    </w:p>
    <w:p w14:paraId="7718CD44">
      <w:pPr>
        <w:pStyle w:val="56"/>
        <w:spacing w:line="360" w:lineRule="auto"/>
        <w:ind w:firstLine="420"/>
      </w:pPr>
      <w:r>
        <w:rPr>
          <w:rFonts w:hint="eastAsia"/>
        </w:rPr>
        <w:t>本文件起草单位：江门海关技术中心。</w:t>
      </w:r>
    </w:p>
    <w:p w14:paraId="42BC1C2C">
      <w:pPr>
        <w:pStyle w:val="56"/>
        <w:spacing w:line="360" w:lineRule="auto"/>
        <w:ind w:firstLine="420"/>
      </w:pPr>
      <w:r>
        <w:rPr>
          <w:rFonts w:hint="eastAsia"/>
        </w:rPr>
        <w:t>本文件主要起草人：谌瑜。</w:t>
      </w:r>
    </w:p>
    <w:p w14:paraId="4F59AFA1">
      <w:pPr>
        <w:pStyle w:val="56"/>
        <w:ind w:firstLine="420"/>
      </w:pPr>
    </w:p>
    <w:p w14:paraId="43B1A6EE">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bookmarkStart w:id="60" w:name="_GoBack"/>
      <w:bookmarkEnd w:id="60"/>
    </w:p>
    <w:bookmarkEnd w:id="23"/>
    <w:p w14:paraId="4104DD8B">
      <w:pPr>
        <w:pStyle w:val="89"/>
        <w:spacing w:after="360"/>
      </w:pPr>
      <w:bookmarkStart w:id="24" w:name="_Toc209900256"/>
      <w:bookmarkStart w:id="25" w:name="BookMark3"/>
      <w:r>
        <w:rPr>
          <w:spacing w:val="320"/>
        </w:rPr>
        <w:t>引</w:t>
      </w:r>
      <w:r>
        <w:t>言</w:t>
      </w:r>
      <w:bookmarkEnd w:id="24"/>
    </w:p>
    <w:p w14:paraId="5FF1A191">
      <w:pPr>
        <w:pStyle w:val="56"/>
        <w:spacing w:line="360" w:lineRule="auto"/>
        <w:ind w:firstLine="420"/>
        <w:rPr>
          <w:rFonts w:hint="eastAsia"/>
        </w:rPr>
      </w:pPr>
      <w:r>
        <w:rPr>
          <w:rFonts w:hint="eastAsia"/>
        </w:rPr>
        <w:t>随着农业现代化和食品安全要求的不断提高，农产品质量安全监管已成为社会关注的重点。传统农产品追溯系统存在信息孤岛、数据造假、可追溯性差及监管效率低等问题，难以满足市场对透明化、可验证和安全保障的需求。区块链技术以其去中心化、数据不可篡改和可溯源等特性，为农产品质量安全追溯提供了新的技术手段和发展方向。</w:t>
      </w:r>
    </w:p>
    <w:p w14:paraId="738140FD">
      <w:pPr>
        <w:pStyle w:val="56"/>
        <w:spacing w:line="360" w:lineRule="auto"/>
        <w:ind w:firstLine="420"/>
        <w:rPr>
          <w:rFonts w:hint="eastAsia"/>
        </w:rPr>
      </w:pPr>
      <w:r>
        <w:rPr>
          <w:rFonts w:hint="eastAsia"/>
        </w:rPr>
        <w:t>区块链追溯技术可实现从农田生产、加工、物流运输、销售直至消费者的全程信息记录和验证，通过智能合约、加密算法及分布式账本保证数据真实性、完整性和安全性。应用区块链技术能够增强农产品供应链透明度，提高监管效率，降低信息造假风险，为消费者提供可信赖的产品质量信息，同时为政府监管部门和企业提供可靠的数据支撑和决策依据。</w:t>
      </w:r>
    </w:p>
    <w:p w14:paraId="6677DE2E">
      <w:pPr>
        <w:pStyle w:val="56"/>
        <w:spacing w:line="360" w:lineRule="auto"/>
        <w:ind w:firstLine="420"/>
        <w:rPr>
          <w:rFonts w:hint="eastAsia"/>
        </w:rPr>
      </w:pPr>
      <w:r>
        <w:rPr>
          <w:rFonts w:hint="eastAsia"/>
        </w:rPr>
        <w:t>目前，国内外在农产品区块链追溯方面已有一定实践经验，但缺乏统一的技术规范和标准，导致系统设计、数据采集、信息上链、智能合约执行及数据共享等环节存在不一致性。为了规范区块链追溯技术在农产品质量安全中的应用，提升追溯系统的标准化、可操作性和安全性，本文件系统提出了技术架构、数据采集、信息上链、智能合约设计、数据访问及共享、监管管理以及安全保障等方面的技术要求与实施指南。</w:t>
      </w:r>
    </w:p>
    <w:p w14:paraId="42EAE8EF">
      <w:pPr>
        <w:pStyle w:val="56"/>
        <w:spacing w:line="360" w:lineRule="auto"/>
        <w:ind w:firstLine="420"/>
      </w:pPr>
      <w:r>
        <w:rPr>
          <w:rFonts w:hint="eastAsia"/>
        </w:rPr>
        <w:t>本文件适用于农产品生产、加工、物流及销售各环节的区块链追溯系统建设，包括粮食、蔬菜、水果、畜禽产品及水产品等多种农产品类型。文件的实施有助于推动农产品质量安全追溯体系的标准化建设，实现全程可追溯、信息可信、监管高效和消费者可验证，促进农业产业链透明化与现代化管理。</w:t>
      </w:r>
    </w:p>
    <w:p w14:paraId="50D9A392">
      <w:pPr>
        <w:pStyle w:val="56"/>
        <w:ind w:firstLine="420"/>
      </w:pPr>
    </w:p>
    <w:p w14:paraId="1F60BA12">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12C43CC1">
      <w:pPr>
        <w:spacing w:line="20" w:lineRule="exact"/>
        <w:jc w:val="center"/>
        <w:rPr>
          <w:rFonts w:ascii="黑体" w:hAnsi="黑体" w:eastAsia="黑体"/>
          <w:sz w:val="32"/>
          <w:szCs w:val="32"/>
        </w:rPr>
      </w:pPr>
      <w:bookmarkStart w:id="26" w:name="BookMark4"/>
    </w:p>
    <w:p w14:paraId="0D5B76E8">
      <w:pPr>
        <w:spacing w:line="20" w:lineRule="exact"/>
        <w:jc w:val="center"/>
        <w:rPr>
          <w:rFonts w:ascii="黑体" w:hAnsi="黑体" w:eastAsia="黑体"/>
          <w:sz w:val="32"/>
          <w:szCs w:val="32"/>
        </w:rPr>
      </w:pPr>
    </w:p>
    <w:sdt>
      <w:sdtPr>
        <w:tag w:val="NEW_STAND_NAME"/>
        <w:id w:val="595910757"/>
        <w:lock w:val="sdtLocked"/>
        <w:placeholder>
          <w:docPart w:val="428A614B804142AE8BDBB50A8A79792D"/>
        </w:placeholder>
      </w:sdtPr>
      <w:sdtContent>
        <w:p w14:paraId="08ED5E01">
          <w:pPr>
            <w:pStyle w:val="177"/>
          </w:pPr>
          <w:bookmarkStart w:id="27" w:name="NEW_STAND_NAME"/>
          <w:r>
            <w:rPr>
              <w:rFonts w:hint="eastAsia"/>
            </w:rPr>
            <w:t>农产品质量安全区块链追溯技术规范</w:t>
          </w:r>
        </w:p>
      </w:sdtContent>
    </w:sdt>
    <w:bookmarkEnd w:id="27"/>
    <w:p w14:paraId="153BF6ED">
      <w:pPr>
        <w:pStyle w:val="104"/>
        <w:spacing w:before="240" w:after="240" w:line="360" w:lineRule="auto"/>
      </w:pPr>
      <w:bookmarkStart w:id="28" w:name="_Toc24884211"/>
      <w:bookmarkStart w:id="29" w:name="_Toc17233325"/>
      <w:bookmarkStart w:id="30" w:name="_Toc17233333"/>
      <w:bookmarkStart w:id="31" w:name="_Toc209900257"/>
      <w:bookmarkStart w:id="32" w:name="_Toc24884218"/>
      <w:bookmarkStart w:id="33" w:name="_Toc26718930"/>
      <w:bookmarkStart w:id="34" w:name="_Toc26648465"/>
      <w:bookmarkStart w:id="35" w:name="_Toc26986530"/>
      <w:bookmarkStart w:id="36" w:name="_Toc26986771"/>
      <w:bookmarkStart w:id="37" w:name="_Toc97192964"/>
      <w:r>
        <w:rPr>
          <w:rFonts w:hint="eastAsia"/>
        </w:rPr>
        <w:t>范围</w:t>
      </w:r>
      <w:bookmarkEnd w:id="28"/>
      <w:bookmarkEnd w:id="29"/>
      <w:bookmarkEnd w:id="30"/>
      <w:bookmarkEnd w:id="31"/>
      <w:bookmarkEnd w:id="32"/>
      <w:bookmarkEnd w:id="33"/>
      <w:bookmarkEnd w:id="34"/>
      <w:bookmarkEnd w:id="35"/>
      <w:bookmarkEnd w:id="36"/>
      <w:bookmarkEnd w:id="37"/>
    </w:p>
    <w:p w14:paraId="69699F06">
      <w:pPr>
        <w:pStyle w:val="56"/>
        <w:spacing w:line="360" w:lineRule="auto"/>
        <w:ind w:firstLine="420"/>
      </w:pPr>
      <w:bookmarkStart w:id="38" w:name="_Toc24884212"/>
      <w:bookmarkStart w:id="39" w:name="_Toc17233334"/>
      <w:bookmarkStart w:id="40" w:name="_Toc17233326"/>
      <w:bookmarkStart w:id="41" w:name="_Toc24884219"/>
      <w:bookmarkStart w:id="42" w:name="_Toc26648466"/>
      <w:r>
        <w:rPr>
          <w:rFonts w:hint="eastAsia"/>
        </w:rPr>
        <w:t>本文件规定了农产品质量安全区块链追溯技术的总体原则、区块链系统架构与技术要求、信息采集与数据管理、智能合约与业务规则管理、监管管理与数据共享及系统安全与运维管理。</w:t>
      </w:r>
    </w:p>
    <w:p w14:paraId="1406A244">
      <w:pPr>
        <w:pStyle w:val="56"/>
        <w:spacing w:line="360" w:lineRule="auto"/>
        <w:ind w:firstLine="420"/>
      </w:pPr>
      <w:r>
        <w:rPr>
          <w:rFonts w:hint="eastAsia"/>
        </w:rPr>
        <w:t>本文件适用于农产品质量安全区块链追溯系统的设计、建设、运行和管理。</w:t>
      </w:r>
    </w:p>
    <w:p w14:paraId="1F7FEEB2">
      <w:pPr>
        <w:pStyle w:val="104"/>
        <w:spacing w:before="240" w:after="240" w:line="360" w:lineRule="auto"/>
      </w:pPr>
      <w:bookmarkStart w:id="43" w:name="_Toc26718931"/>
      <w:bookmarkStart w:id="44" w:name="_Toc26986531"/>
      <w:bookmarkStart w:id="45" w:name="_Toc97192965"/>
      <w:bookmarkStart w:id="46" w:name="_Toc209900258"/>
      <w:bookmarkStart w:id="47" w:name="_Toc26986772"/>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E937BECAD2B34860A158A768CA921C5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9F4EAAC">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6996A17">
      <w:pPr>
        <w:pStyle w:val="56"/>
        <w:spacing w:line="360" w:lineRule="auto"/>
        <w:ind w:firstLine="420"/>
      </w:pPr>
      <w:r>
        <w:rPr>
          <w:rFonts w:hint="eastAsia"/>
        </w:rPr>
        <w:t>GB/T 1.1—2020 标准化工作导则  第1部分:标准化文件的结构和起草规则</w:t>
      </w:r>
    </w:p>
    <w:p w14:paraId="34DF5223">
      <w:pPr>
        <w:pStyle w:val="56"/>
        <w:spacing w:line="360" w:lineRule="auto"/>
        <w:ind w:firstLine="420"/>
      </w:pPr>
      <w:r>
        <w:t>GB/T 26407</w:t>
      </w:r>
      <w:r>
        <w:rPr>
          <w:rFonts w:hint="eastAsia"/>
        </w:rPr>
        <w:t>—</w:t>
      </w:r>
      <w:r>
        <w:t xml:space="preserve">2011 </w:t>
      </w:r>
      <w:r>
        <w:rPr>
          <w:rFonts w:hint="eastAsia"/>
        </w:rPr>
        <w:t>初级农产品安全区域化管理体系  要求</w:t>
      </w:r>
    </w:p>
    <w:p w14:paraId="64D9F4FC">
      <w:pPr>
        <w:pStyle w:val="56"/>
        <w:spacing w:line="360" w:lineRule="auto"/>
        <w:ind w:firstLine="420"/>
        <w:rPr>
          <w:rFonts w:hint="eastAsia"/>
        </w:rPr>
      </w:pPr>
      <w:r>
        <w:t>GB/T 30763</w:t>
      </w:r>
      <w:r>
        <w:rPr>
          <w:rFonts w:hint="eastAsia"/>
        </w:rPr>
        <w:t>—</w:t>
      </w:r>
      <w:r>
        <w:t xml:space="preserve">2014 </w:t>
      </w:r>
      <w:r>
        <w:rPr>
          <w:rFonts w:hint="eastAsia"/>
        </w:rPr>
        <w:t>农产品质量分级导则</w:t>
      </w:r>
    </w:p>
    <w:p w14:paraId="2EB94F32">
      <w:pPr>
        <w:pStyle w:val="56"/>
        <w:spacing w:line="360" w:lineRule="auto"/>
        <w:ind w:firstLine="420"/>
        <w:rPr>
          <w:rFonts w:hint="eastAsia"/>
        </w:rPr>
      </w:pPr>
      <w:r>
        <w:t>GB/T 42571</w:t>
      </w:r>
      <w:r>
        <w:rPr>
          <w:rFonts w:hint="eastAsia"/>
        </w:rPr>
        <w:t>—</w:t>
      </w:r>
      <w:r>
        <w:t xml:space="preserve">2023 </w:t>
      </w:r>
      <w:r>
        <w:rPr>
          <w:rFonts w:hint="eastAsia"/>
        </w:rPr>
        <w:t>信息安全技术 区块链信息服务安全规范</w:t>
      </w:r>
    </w:p>
    <w:p w14:paraId="6962992E">
      <w:pPr>
        <w:pStyle w:val="104"/>
        <w:spacing w:before="240" w:after="240" w:line="360" w:lineRule="auto"/>
      </w:pPr>
      <w:bookmarkStart w:id="48" w:name="_Toc97192966"/>
      <w:bookmarkStart w:id="49" w:name="_Toc209900259"/>
      <w:r>
        <w:rPr>
          <w:rFonts w:hint="eastAsia"/>
          <w:szCs w:val="21"/>
        </w:rPr>
        <w:t>术语和定义</w:t>
      </w:r>
      <w:bookmarkEnd w:id="48"/>
      <w:bookmarkEnd w:id="49"/>
    </w:p>
    <w:sdt>
      <w:sdtPr>
        <w:id w:val="-1909835108"/>
        <w:placeholder>
          <w:docPart w:val="7D0407537AFA4EBFB7447D8BB1E4BCD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69B61DD">
          <w:pPr>
            <w:pStyle w:val="56"/>
            <w:spacing w:line="360" w:lineRule="auto"/>
            <w:ind w:firstLine="420"/>
          </w:pPr>
          <w:bookmarkStart w:id="50" w:name="_Toc26986532"/>
          <w:bookmarkEnd w:id="50"/>
          <w:r>
            <w:t>下列术语和定义适用于本文件。</w:t>
          </w:r>
        </w:p>
      </w:sdtContent>
    </w:sdt>
    <w:p w14:paraId="3329A245">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区块链 blockchain</w:t>
      </w:r>
    </w:p>
    <w:p w14:paraId="5F42F540">
      <w:pPr>
        <w:pStyle w:val="56"/>
        <w:spacing w:line="360" w:lineRule="auto"/>
        <w:ind w:firstLine="420"/>
        <w:rPr>
          <w:rFonts w:hint="eastAsia"/>
        </w:rPr>
      </w:pPr>
      <w:r>
        <w:rPr>
          <w:rFonts w:hint="eastAsia"/>
        </w:rPr>
        <w:t>指一种基于去中心化、分布式账本的技术，通过加密算法和共识机制保证数据的不可篡改、可追溯和可验证。</w:t>
      </w:r>
    </w:p>
    <w:p w14:paraId="4E1FDAA1">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农产品质量安全 agricultural product quality and safety</w:t>
      </w:r>
    </w:p>
    <w:p w14:paraId="37132788">
      <w:pPr>
        <w:pStyle w:val="56"/>
        <w:spacing w:line="360" w:lineRule="auto"/>
        <w:ind w:firstLine="420"/>
        <w:rPr>
          <w:rFonts w:hint="eastAsia"/>
        </w:rPr>
      </w:pPr>
      <w:r>
        <w:rPr>
          <w:rFonts w:hint="eastAsia"/>
        </w:rPr>
        <w:t>指农产品在生产、加工、流通和销售全过程中符合国家标准或行业标准的安全性和可食用性要求，包括微生物、农药残留、重金属及其他有害物质指标。</w:t>
      </w:r>
    </w:p>
    <w:p w14:paraId="60ADE5D3">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追溯系统 traceability system</w:t>
      </w:r>
    </w:p>
    <w:p w14:paraId="0A56AC58">
      <w:pPr>
        <w:pStyle w:val="56"/>
        <w:spacing w:line="360" w:lineRule="auto"/>
        <w:ind w:firstLine="420"/>
        <w:rPr>
          <w:rFonts w:hint="eastAsia"/>
        </w:rPr>
      </w:pPr>
      <w:r>
        <w:rPr>
          <w:rFonts w:hint="eastAsia"/>
        </w:rPr>
        <w:t>指利用信息技术对农产品从生产到消费的全流程进行信息采集、记录、管理和查询的系统。</w:t>
      </w:r>
    </w:p>
    <w:p w14:paraId="38775EA6">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信息上链 data on-chain</w:t>
      </w:r>
    </w:p>
    <w:p w14:paraId="5676E2C4">
      <w:pPr>
        <w:pStyle w:val="56"/>
        <w:spacing w:line="360" w:lineRule="auto"/>
        <w:ind w:firstLine="420"/>
        <w:rPr>
          <w:rFonts w:hint="eastAsia"/>
        </w:rPr>
      </w:pPr>
      <w:r>
        <w:rPr>
          <w:rFonts w:hint="eastAsia"/>
        </w:rPr>
        <w:t>指将农产品相关信息通过加密和验证后写入区块链账本，实现数据的不可篡改和可追溯。</w:t>
      </w:r>
    </w:p>
    <w:p w14:paraId="04E1551A">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智能合约 smart contract</w:t>
      </w:r>
    </w:p>
    <w:p w14:paraId="538A7B6B">
      <w:pPr>
        <w:pStyle w:val="56"/>
        <w:spacing w:line="360" w:lineRule="auto"/>
        <w:ind w:firstLine="420"/>
        <w:rPr>
          <w:rFonts w:hint="eastAsia"/>
        </w:rPr>
      </w:pPr>
      <w:r>
        <w:rPr>
          <w:rFonts w:hint="eastAsia"/>
        </w:rPr>
        <w:t>指在区块链上自动执行、验证和强制执行合同条款的计算机程序，用于自动化控制农产品追溯数据的录入、验证和共享。</w:t>
      </w:r>
    </w:p>
    <w:p w14:paraId="5A25C8FC">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数据采集节点 data collection node</w:t>
      </w:r>
    </w:p>
    <w:p w14:paraId="769C4144">
      <w:pPr>
        <w:pStyle w:val="56"/>
        <w:spacing w:line="360" w:lineRule="auto"/>
        <w:ind w:firstLine="420"/>
        <w:rPr>
          <w:rFonts w:hint="eastAsia"/>
        </w:rPr>
      </w:pPr>
      <w:r>
        <w:rPr>
          <w:rFonts w:hint="eastAsia"/>
        </w:rPr>
        <w:t>指农产品生产、加工、物流或销售环节中负责采集、验证和上传数据的系统节点或设备。</w:t>
      </w:r>
    </w:p>
    <w:p w14:paraId="5BEFD710">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分布式账本 distributed ledger</w:t>
      </w:r>
    </w:p>
    <w:p w14:paraId="1B1A6F8F">
      <w:pPr>
        <w:pStyle w:val="56"/>
        <w:spacing w:line="360" w:lineRule="auto"/>
        <w:ind w:firstLine="420"/>
        <w:rPr>
          <w:rFonts w:hint="eastAsia"/>
        </w:rPr>
      </w:pPr>
      <w:r>
        <w:rPr>
          <w:rFonts w:hint="eastAsia"/>
        </w:rPr>
        <w:t>指由多个节点共同维护的账本，记录所有区块链交易数据，实现去中心化存储和数据同步。</w:t>
      </w:r>
    </w:p>
    <w:p w14:paraId="26C96C7E">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数据不可篡改 data immutability</w:t>
      </w:r>
    </w:p>
    <w:p w14:paraId="1853E170">
      <w:pPr>
        <w:pStyle w:val="56"/>
        <w:spacing w:line="360" w:lineRule="auto"/>
        <w:ind w:firstLine="420"/>
        <w:rPr>
          <w:rFonts w:hint="eastAsia"/>
        </w:rPr>
      </w:pPr>
      <w:r>
        <w:rPr>
          <w:rFonts w:hint="eastAsia"/>
        </w:rPr>
        <w:t>指一旦信息写入区块链，即无法被修改或删除，确保追溯数据的真实性和可靠性。</w:t>
      </w:r>
    </w:p>
    <w:p w14:paraId="3B497082">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访问权限控制 access control</w:t>
      </w:r>
    </w:p>
    <w:p w14:paraId="0B6DFDA7">
      <w:pPr>
        <w:pStyle w:val="56"/>
        <w:spacing w:line="360" w:lineRule="auto"/>
        <w:ind w:firstLine="420"/>
        <w:rPr>
          <w:rFonts w:hint="eastAsia"/>
        </w:rPr>
      </w:pPr>
      <w:r>
        <w:rPr>
          <w:rFonts w:hint="eastAsia"/>
        </w:rPr>
        <w:t>指对不同用户或机构在区块链追溯系统中的数据访问权限进行管理，包括查询、上传、修改和共享等操作的权限分配和验证。</w:t>
      </w:r>
    </w:p>
    <w:p w14:paraId="0068210D">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供应链透明度 supply chain transparency</w:t>
      </w:r>
    </w:p>
    <w:p w14:paraId="35C898DC">
      <w:pPr>
        <w:pStyle w:val="56"/>
        <w:spacing w:line="360" w:lineRule="auto"/>
        <w:ind w:firstLine="420"/>
        <w:rPr>
          <w:rFonts w:hint="eastAsia"/>
        </w:rPr>
      </w:pPr>
      <w:r>
        <w:rPr>
          <w:rFonts w:hint="eastAsia"/>
        </w:rPr>
        <w:t>指农产品从生产、加工、运输到销售全过程信息的公开、可查询和可验证程度，确保消费者、监管部门和企业能够实时获取相关信息。</w:t>
      </w:r>
    </w:p>
    <w:p w14:paraId="00F15065">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数据安全 data security</w:t>
      </w:r>
    </w:p>
    <w:p w14:paraId="44A5EEDC">
      <w:pPr>
        <w:pStyle w:val="56"/>
        <w:spacing w:line="360" w:lineRule="auto"/>
        <w:ind w:firstLine="420"/>
        <w:rPr>
          <w:rFonts w:hint="eastAsia"/>
        </w:rPr>
      </w:pPr>
      <w:r>
        <w:rPr>
          <w:rFonts w:hint="eastAsia"/>
        </w:rPr>
        <w:t>指保护追溯系统中的信息在采集、传输、存储和共享过程中不被泄露、篡改或丢失的技术和管理措施。</w:t>
      </w:r>
    </w:p>
    <w:p w14:paraId="40010A6B">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监管管理 regulatory management</w:t>
      </w:r>
    </w:p>
    <w:p w14:paraId="12062132">
      <w:pPr>
        <w:pStyle w:val="56"/>
        <w:spacing w:line="360" w:lineRule="auto"/>
        <w:ind w:firstLine="420"/>
      </w:pPr>
      <w:r>
        <w:rPr>
          <w:rFonts w:hint="eastAsia"/>
        </w:rPr>
        <w:t>指政府或行业主管部门对农产品质量安全区块链追溯系统运行、数据完整性、信息公开及合规性进行监督和管理的行为。</w:t>
      </w:r>
    </w:p>
    <w:p w14:paraId="42BA047B">
      <w:pPr>
        <w:pStyle w:val="104"/>
        <w:spacing w:before="240" w:after="240" w:line="360" w:lineRule="auto"/>
        <w:rPr>
          <w:rFonts w:hint="eastAsia"/>
        </w:rPr>
      </w:pPr>
      <w:bookmarkStart w:id="51" w:name="_Toc209900260"/>
      <w:r>
        <w:rPr>
          <w:rFonts w:hint="eastAsia"/>
        </w:rPr>
        <w:t>总体原则</w:t>
      </w:r>
      <w:bookmarkEnd w:id="51"/>
    </w:p>
    <w:p w14:paraId="4C7791A6">
      <w:pPr>
        <w:pStyle w:val="105"/>
        <w:spacing w:before="120" w:after="120" w:line="360" w:lineRule="auto"/>
        <w:rPr>
          <w:rFonts w:hint="eastAsia"/>
        </w:rPr>
      </w:pPr>
      <w:r>
        <w:rPr>
          <w:rFonts w:hint="eastAsia"/>
        </w:rPr>
        <w:t>安全性原则</w:t>
      </w:r>
    </w:p>
    <w:p w14:paraId="221B668C">
      <w:pPr>
        <w:pStyle w:val="56"/>
        <w:spacing w:line="360" w:lineRule="auto"/>
        <w:ind w:firstLine="420"/>
        <w:rPr>
          <w:rFonts w:hint="eastAsia"/>
        </w:rPr>
      </w:pPr>
      <w:r>
        <w:rPr>
          <w:rFonts w:hint="eastAsia"/>
        </w:rPr>
        <w:t>农产品区块链追溯系统的设计与运行应以数据安全和信息真实性为首要目标。系统应通过加密算法、权限控制和节点认证等手段，确保农产品生产、加工、物流及销售信息在采集、传输、存储和共享过程中不被篡改、泄露或丢失，保障数据的完整性和可靠性。</w:t>
      </w:r>
    </w:p>
    <w:p w14:paraId="13E68ACD">
      <w:pPr>
        <w:pStyle w:val="105"/>
        <w:spacing w:before="120" w:after="120" w:line="360" w:lineRule="auto"/>
        <w:rPr>
          <w:rFonts w:hint="eastAsia"/>
        </w:rPr>
      </w:pPr>
      <w:r>
        <w:rPr>
          <w:rFonts w:hint="eastAsia"/>
        </w:rPr>
        <w:t>科学性原则</w:t>
      </w:r>
    </w:p>
    <w:p w14:paraId="0E67A5B4">
      <w:pPr>
        <w:pStyle w:val="56"/>
        <w:spacing w:line="360" w:lineRule="auto"/>
        <w:ind w:firstLine="420"/>
        <w:rPr>
          <w:rFonts w:hint="eastAsia"/>
        </w:rPr>
      </w:pPr>
      <w:r>
        <w:rPr>
          <w:rFonts w:hint="eastAsia"/>
        </w:rPr>
        <w:t>区块链追溯系统建设应基于科学合理的技术方案和标准化流程。系统应充分考虑数据采集方法、信息上链流程、智能合约设计及数据验证机制，确保追溯信息准确可验证，为政府监管、企业管理及消费者决策提供可靠依据。</w:t>
      </w:r>
    </w:p>
    <w:p w14:paraId="4D6D8702">
      <w:pPr>
        <w:pStyle w:val="105"/>
        <w:spacing w:before="120" w:after="120" w:line="360" w:lineRule="auto"/>
        <w:rPr>
          <w:rFonts w:hint="eastAsia"/>
        </w:rPr>
      </w:pPr>
      <w:r>
        <w:rPr>
          <w:rFonts w:hint="eastAsia"/>
        </w:rPr>
        <w:t>系统性原则</w:t>
      </w:r>
    </w:p>
    <w:p w14:paraId="7DE1299F">
      <w:pPr>
        <w:pStyle w:val="56"/>
        <w:spacing w:line="360" w:lineRule="auto"/>
        <w:ind w:firstLine="420"/>
        <w:rPr>
          <w:rFonts w:hint="eastAsia"/>
        </w:rPr>
      </w:pPr>
      <w:r>
        <w:rPr>
          <w:rFonts w:hint="eastAsia"/>
        </w:rPr>
        <w:t>系统建设应覆盖农产品生产、加工、物流和销售全链条，实现信息的全程采集和可追溯。各环节的数据采集、验证、上链、共享和监管应形成闭环管理，保证追溯链条完整、连续，便于识别安全隐患和执行质量控制。</w:t>
      </w:r>
    </w:p>
    <w:p w14:paraId="1443AC50">
      <w:pPr>
        <w:pStyle w:val="105"/>
        <w:spacing w:before="120" w:after="120" w:line="360" w:lineRule="auto"/>
        <w:rPr>
          <w:rFonts w:hint="eastAsia"/>
        </w:rPr>
      </w:pPr>
      <w:r>
        <w:rPr>
          <w:rFonts w:hint="eastAsia"/>
        </w:rPr>
        <w:t>标准化原则</w:t>
      </w:r>
    </w:p>
    <w:p w14:paraId="033645F1">
      <w:pPr>
        <w:pStyle w:val="56"/>
        <w:spacing w:line="360" w:lineRule="auto"/>
        <w:ind w:firstLine="420"/>
        <w:rPr>
          <w:rFonts w:hint="eastAsia"/>
        </w:rPr>
      </w:pPr>
      <w:r>
        <w:rPr>
          <w:rFonts w:hint="eastAsia"/>
        </w:rPr>
        <w:t>区块链追溯系统应采用统一的数据标准、信息格式和接口规范，确保不同环节、不同企业及平台间信息互通和数据兼容。系统操作流程、数据采集方法、智能合约设计及报告生成均应遵循标准化要求，提高系统可维护性和扩展性。</w:t>
      </w:r>
    </w:p>
    <w:p w14:paraId="4E73A029">
      <w:pPr>
        <w:pStyle w:val="105"/>
        <w:spacing w:before="120" w:after="120" w:line="360" w:lineRule="auto"/>
        <w:rPr>
          <w:rFonts w:hint="eastAsia"/>
        </w:rPr>
      </w:pPr>
      <w:r>
        <w:rPr>
          <w:rFonts w:hint="eastAsia"/>
        </w:rPr>
        <w:t>可追溯性原则</w:t>
      </w:r>
    </w:p>
    <w:p w14:paraId="44D43609">
      <w:pPr>
        <w:pStyle w:val="56"/>
        <w:spacing w:line="360" w:lineRule="auto"/>
        <w:ind w:firstLine="420"/>
        <w:rPr>
          <w:rFonts w:hint="eastAsia"/>
        </w:rPr>
      </w:pPr>
      <w:r>
        <w:rPr>
          <w:rFonts w:hint="eastAsia"/>
        </w:rPr>
        <w:t>系统应确保所有农产品信息可追溯到源头，包括生产地、生产者、生产日期、加工过程、物流环节及销售信息。数据可追溯性是确保信息真实性、提升供应链透明度和消费者信任的核心原则。</w:t>
      </w:r>
    </w:p>
    <w:p w14:paraId="0CE01E7C">
      <w:pPr>
        <w:pStyle w:val="105"/>
        <w:spacing w:before="120" w:after="120" w:line="360" w:lineRule="auto"/>
        <w:rPr>
          <w:rFonts w:hint="eastAsia"/>
        </w:rPr>
      </w:pPr>
      <w:r>
        <w:rPr>
          <w:rFonts w:hint="eastAsia"/>
        </w:rPr>
        <w:t>多方协作原则</w:t>
      </w:r>
    </w:p>
    <w:p w14:paraId="0CFE2456">
      <w:pPr>
        <w:pStyle w:val="56"/>
        <w:spacing w:line="360" w:lineRule="auto"/>
        <w:ind w:firstLine="420"/>
        <w:rPr>
          <w:rFonts w:hint="eastAsia"/>
        </w:rPr>
      </w:pPr>
      <w:r>
        <w:rPr>
          <w:rFonts w:hint="eastAsia"/>
        </w:rPr>
        <w:t>区块链追溯系统应在生产者、加工企业、物流企业、销售平台及监管部门之间建立协作机制。各参与方应明确职责、分工及信息共享规则，实现数据同步更新和信息可信流通，保障系统高效运行。</w:t>
      </w:r>
    </w:p>
    <w:p w14:paraId="7051C0F4">
      <w:pPr>
        <w:pStyle w:val="105"/>
        <w:spacing w:before="120" w:after="120" w:line="360" w:lineRule="auto"/>
        <w:rPr>
          <w:rFonts w:hint="eastAsia"/>
        </w:rPr>
      </w:pPr>
      <w:r>
        <w:rPr>
          <w:rFonts w:hint="eastAsia"/>
        </w:rPr>
        <w:t>可持续改进原则</w:t>
      </w:r>
    </w:p>
    <w:p w14:paraId="311204EC">
      <w:pPr>
        <w:pStyle w:val="56"/>
        <w:spacing w:line="360" w:lineRule="auto"/>
        <w:ind w:firstLine="420"/>
      </w:pPr>
      <w:r>
        <w:rPr>
          <w:rFonts w:hint="eastAsia"/>
        </w:rPr>
        <w:t>系统建设和运行应持续优化，结合技术进步、政策变化和实践经验，不断完善数据采集方式、上链流程、智能合约设计及监管措施。通过数据分析和运行反馈，持续提升系统的安全性、可靠性和适用性，实现农产品质量安全追溯体系的长期可持续发展。</w:t>
      </w:r>
    </w:p>
    <w:p w14:paraId="1931D400">
      <w:pPr>
        <w:pStyle w:val="104"/>
        <w:spacing w:before="240" w:after="240" w:line="360" w:lineRule="auto"/>
        <w:rPr>
          <w:rFonts w:hint="eastAsia"/>
        </w:rPr>
      </w:pPr>
      <w:bookmarkStart w:id="52" w:name="_Toc209900261"/>
      <w:r>
        <w:rPr>
          <w:rFonts w:hint="eastAsia"/>
        </w:rPr>
        <w:t>区块链系统架构与技术要求</w:t>
      </w:r>
      <w:bookmarkEnd w:id="52"/>
    </w:p>
    <w:p w14:paraId="12896B9C">
      <w:pPr>
        <w:pStyle w:val="105"/>
        <w:spacing w:before="120" w:after="120" w:line="360" w:lineRule="auto"/>
        <w:rPr>
          <w:rFonts w:hint="eastAsia"/>
        </w:rPr>
      </w:pPr>
      <w:r>
        <w:rPr>
          <w:rFonts w:hint="eastAsia"/>
        </w:rPr>
        <w:t>系统架构设计</w:t>
      </w:r>
    </w:p>
    <w:p w14:paraId="3CF20AAD">
      <w:pPr>
        <w:pStyle w:val="56"/>
        <w:spacing w:line="360" w:lineRule="auto"/>
        <w:ind w:firstLine="420"/>
        <w:rPr>
          <w:rFonts w:hint="eastAsia"/>
        </w:rPr>
      </w:pPr>
      <w:r>
        <w:rPr>
          <w:rFonts w:hint="eastAsia"/>
        </w:rPr>
        <w:t>区块链追溯系统应采用分层架构设计，包括数据采集层、网络通信层、区块链账本层、智能合约层及应用服务层。各层功能明确、模块化设计，确保数据采集、传输、上链、验证和查询等功能高效协同运行。系统应具备可扩展性、容错性和高可用性，满足农产品全链条信息处理需求。</w:t>
      </w:r>
    </w:p>
    <w:p w14:paraId="3A076561">
      <w:pPr>
        <w:pStyle w:val="105"/>
        <w:spacing w:before="120" w:after="120" w:line="360" w:lineRule="auto"/>
        <w:rPr>
          <w:rFonts w:hint="eastAsia"/>
        </w:rPr>
      </w:pPr>
      <w:r>
        <w:rPr>
          <w:rFonts w:hint="eastAsia"/>
        </w:rPr>
        <w:t>节点设置与管理</w:t>
      </w:r>
    </w:p>
    <w:p w14:paraId="48C90B03">
      <w:pPr>
        <w:pStyle w:val="56"/>
        <w:spacing w:line="360" w:lineRule="auto"/>
        <w:ind w:firstLine="420"/>
        <w:rPr>
          <w:rFonts w:hint="eastAsia"/>
        </w:rPr>
      </w:pPr>
      <w:r>
        <w:rPr>
          <w:rFonts w:hint="eastAsia"/>
        </w:rPr>
        <w:t>系统应设立生产端、加工端、物流端、销售端及监管端节点，各节点负责数据采集、验证及账本维护。节点间应通过安全通信协议互联，确保数据同步和账本一致性。节点管理应包括节点权限分配、身份认证、操作日志记录及异常处理机制，保证系统安全稳定运行。</w:t>
      </w:r>
    </w:p>
    <w:p w14:paraId="2F2C07CF">
      <w:pPr>
        <w:pStyle w:val="105"/>
        <w:spacing w:before="120" w:after="120" w:line="360" w:lineRule="auto"/>
        <w:rPr>
          <w:rFonts w:hint="eastAsia"/>
        </w:rPr>
      </w:pPr>
      <w:r>
        <w:rPr>
          <w:rFonts w:hint="eastAsia"/>
        </w:rPr>
        <w:t>数据采集与上链流程</w:t>
      </w:r>
    </w:p>
    <w:p w14:paraId="47345775">
      <w:pPr>
        <w:pStyle w:val="56"/>
        <w:spacing w:line="360" w:lineRule="auto"/>
        <w:ind w:firstLine="420"/>
        <w:rPr>
          <w:rFonts w:hint="eastAsia"/>
        </w:rPr>
      </w:pPr>
      <w:r>
        <w:rPr>
          <w:rFonts w:hint="eastAsia"/>
        </w:rPr>
        <w:t>各环节数据应按照统一标准进行采集，包括生产日期、产地、生产者信息、加工记录、物流运输信息及销售数据。数据上链应经过数字签名验证和校验处理，确保数据完整性与真实性。系统应支持批量数据上传、自动上链及异常数据报警机制，确保链上数据高效、可靠。</w:t>
      </w:r>
    </w:p>
    <w:p w14:paraId="6B849BD7">
      <w:pPr>
        <w:pStyle w:val="105"/>
        <w:spacing w:before="120" w:after="120" w:line="360" w:lineRule="auto"/>
        <w:rPr>
          <w:rFonts w:hint="eastAsia"/>
        </w:rPr>
      </w:pPr>
      <w:r>
        <w:rPr>
          <w:rFonts w:hint="eastAsia"/>
        </w:rPr>
        <w:t>智能合约设计</w:t>
      </w:r>
    </w:p>
    <w:p w14:paraId="595B6B82">
      <w:pPr>
        <w:pStyle w:val="56"/>
        <w:spacing w:line="360" w:lineRule="auto"/>
        <w:ind w:firstLine="420"/>
        <w:rPr>
          <w:rFonts w:hint="eastAsia"/>
        </w:rPr>
      </w:pPr>
      <w:r>
        <w:rPr>
          <w:rFonts w:hint="eastAsia"/>
        </w:rPr>
        <w:t>系统应根据业务规则设计智能合约，实现数据录入验证、异常处理、权限控制及自动通知功能。智能合约应具备可审计性和可更新性，保证操作流程标准化，并能根据法律法规及行业规范进行调整。智能合约执行应透明、可追踪，确保各方操作合规、安全。</w:t>
      </w:r>
    </w:p>
    <w:p w14:paraId="407CA777">
      <w:pPr>
        <w:pStyle w:val="105"/>
        <w:spacing w:before="120" w:after="120" w:line="360" w:lineRule="auto"/>
        <w:rPr>
          <w:rFonts w:hint="eastAsia"/>
        </w:rPr>
      </w:pPr>
      <w:r>
        <w:rPr>
          <w:rFonts w:hint="eastAsia"/>
        </w:rPr>
        <w:t>数据访问与权限控制</w:t>
      </w:r>
    </w:p>
    <w:p w14:paraId="09315CEC">
      <w:pPr>
        <w:pStyle w:val="56"/>
        <w:spacing w:line="360" w:lineRule="auto"/>
        <w:ind w:firstLine="420"/>
        <w:rPr>
          <w:rFonts w:hint="eastAsia"/>
        </w:rPr>
      </w:pPr>
      <w:r>
        <w:rPr>
          <w:rFonts w:hint="eastAsia"/>
        </w:rPr>
        <w:t>系统应根据不同角色设定数据访问权限，包括查询、上传、修改及共享权限。访问控制应结合身份认证、权限验证及操作日志记录，实现最小权限原则，确保数据安全和隐私保护。监管部门可对全链条数据进行审核和监督，企业可访问自身相关数据，消费者可查询产品关键信息。</w:t>
      </w:r>
    </w:p>
    <w:p w14:paraId="68F546DA">
      <w:pPr>
        <w:pStyle w:val="105"/>
        <w:spacing w:before="120" w:after="120" w:line="360" w:lineRule="auto"/>
        <w:rPr>
          <w:rFonts w:hint="eastAsia"/>
        </w:rPr>
      </w:pPr>
      <w:r>
        <w:rPr>
          <w:rFonts w:hint="eastAsia"/>
        </w:rPr>
        <w:t>数据安全与存储要求</w:t>
      </w:r>
    </w:p>
    <w:p w14:paraId="24ABF5A9">
      <w:pPr>
        <w:pStyle w:val="56"/>
        <w:spacing w:line="360" w:lineRule="auto"/>
        <w:ind w:firstLine="420"/>
        <w:rPr>
          <w:rFonts w:hint="eastAsia"/>
        </w:rPr>
      </w:pPr>
      <w:r>
        <w:rPr>
          <w:rFonts w:hint="eastAsia"/>
        </w:rPr>
        <w:t>系统应采用加密算法保护数据在传输和存储过程中的安全，确保信息不可篡改。区块链账本应分布式存储，支持多节点同步备份，提高系统容灾能力和数据可用性。系统应建立数据备份与恢复机制，确保关键数据长期保存和可靠可用。</w:t>
      </w:r>
    </w:p>
    <w:p w14:paraId="279B7E1E">
      <w:pPr>
        <w:pStyle w:val="105"/>
        <w:spacing w:before="120" w:after="120" w:line="360" w:lineRule="auto"/>
        <w:rPr>
          <w:rFonts w:hint="eastAsia"/>
        </w:rPr>
      </w:pPr>
      <w:r>
        <w:rPr>
          <w:rFonts w:hint="eastAsia"/>
        </w:rPr>
        <w:t>系统监控与维护</w:t>
      </w:r>
    </w:p>
    <w:p w14:paraId="366A9F53">
      <w:pPr>
        <w:pStyle w:val="56"/>
        <w:spacing w:line="360" w:lineRule="auto"/>
        <w:ind w:firstLine="420"/>
      </w:pPr>
      <w:r>
        <w:rPr>
          <w:rFonts w:hint="eastAsia"/>
        </w:rPr>
        <w:t>应建立系统监控机制，实时监控节点状态、数据上链情况、智能合约执行状态及异常事件。系统维护应包括节点更新、漏洞修复、性能优化及安全审计，确保区块链追溯系统稳定、高效运行，支持农产品全链条信息管理和监管需求。</w:t>
      </w:r>
    </w:p>
    <w:p w14:paraId="199CD6F6">
      <w:pPr>
        <w:pStyle w:val="104"/>
        <w:spacing w:before="240" w:after="240" w:line="360" w:lineRule="auto"/>
        <w:rPr>
          <w:rFonts w:hint="eastAsia"/>
        </w:rPr>
      </w:pPr>
      <w:bookmarkStart w:id="53" w:name="_Toc209900262"/>
      <w:r>
        <w:rPr>
          <w:rFonts w:hint="eastAsia"/>
        </w:rPr>
        <w:t>信息采集与数据管理</w:t>
      </w:r>
      <w:bookmarkEnd w:id="53"/>
    </w:p>
    <w:p w14:paraId="66C1F0DF">
      <w:pPr>
        <w:pStyle w:val="105"/>
        <w:spacing w:before="120" w:after="120" w:line="360" w:lineRule="auto"/>
        <w:rPr>
          <w:rFonts w:hint="eastAsia"/>
        </w:rPr>
      </w:pPr>
      <w:r>
        <w:rPr>
          <w:rFonts w:hint="eastAsia"/>
        </w:rPr>
        <w:t>数据采集要求</w:t>
      </w:r>
    </w:p>
    <w:p w14:paraId="3942978B">
      <w:pPr>
        <w:pStyle w:val="56"/>
        <w:spacing w:line="360" w:lineRule="auto"/>
        <w:ind w:firstLine="420"/>
        <w:rPr>
          <w:rFonts w:hint="eastAsia"/>
        </w:rPr>
      </w:pPr>
      <w:r>
        <w:rPr>
          <w:rFonts w:hint="eastAsia"/>
        </w:rPr>
        <w:t>农产品区块链追溯系统应覆盖生产、加工、物流、销售等全链条环节，采集关键数据包括但不限于生产者信息、产地、生产日期、种植或养殖记录、加工工艺、检验检测结果、运输方式及销售信息。数据采集应遵循标准化格式，确保内容完整、准确、可验证。关键数据应采用可自动识别或读取方式采集，例如二维码、RFID标签或传感器数据，减少人工输入错误。</w:t>
      </w:r>
    </w:p>
    <w:p w14:paraId="3D46C16A">
      <w:pPr>
        <w:pStyle w:val="105"/>
        <w:spacing w:before="120" w:after="120" w:line="360" w:lineRule="auto"/>
        <w:rPr>
          <w:rFonts w:hint="eastAsia"/>
        </w:rPr>
      </w:pPr>
      <w:r>
        <w:rPr>
          <w:rFonts w:hint="eastAsia"/>
        </w:rPr>
        <w:t>采集设备与接口要求</w:t>
      </w:r>
    </w:p>
    <w:p w14:paraId="5E76E1BD">
      <w:pPr>
        <w:pStyle w:val="56"/>
        <w:spacing w:line="360" w:lineRule="auto"/>
        <w:ind w:firstLine="420"/>
        <w:rPr>
          <w:rFonts w:hint="eastAsia"/>
        </w:rPr>
      </w:pPr>
      <w:r>
        <w:rPr>
          <w:rFonts w:hint="eastAsia"/>
        </w:rPr>
        <w:t>采集设备应满足实时性、准确性和稳定性要求，具备与区块链系统接口兼容性。生产端可使用传感器、物联网设备及采集终端记录生产环境参数；物流端应配备GPS定位、温湿度监测和运输信息记录设备；加工与销售环节应配备数据上传终端，实现信息快速采集和上链。设备接口应遵循统一数据标准和通信协议，确保数据在不同环节和平台间可顺畅传输。</w:t>
      </w:r>
    </w:p>
    <w:p w14:paraId="64D13C81">
      <w:pPr>
        <w:pStyle w:val="105"/>
        <w:spacing w:before="120" w:after="120" w:line="360" w:lineRule="auto"/>
        <w:rPr>
          <w:rFonts w:hint="eastAsia"/>
        </w:rPr>
      </w:pPr>
      <w:r>
        <w:rPr>
          <w:rFonts w:hint="eastAsia"/>
        </w:rPr>
        <w:t>数据格式与标准化</w:t>
      </w:r>
    </w:p>
    <w:p w14:paraId="4A0B190C">
      <w:pPr>
        <w:pStyle w:val="56"/>
        <w:spacing w:line="360" w:lineRule="auto"/>
        <w:ind w:firstLine="420"/>
        <w:rPr>
          <w:rFonts w:hint="eastAsia"/>
        </w:rPr>
      </w:pPr>
      <w:r>
        <w:rPr>
          <w:rFonts w:hint="eastAsia"/>
        </w:rPr>
        <w:t>系统应统一数据格式、字段定义及编码规则，实现跨环节、跨机构数据兼容和可比对性。包括生产批次编号、产品种类编码、检测指标单位及时间戳格式等。数据标准化有助于智能合约识别、数据验证、链上存储及后续查询分析。</w:t>
      </w:r>
    </w:p>
    <w:p w14:paraId="193BCDEC">
      <w:pPr>
        <w:pStyle w:val="105"/>
        <w:spacing w:before="120" w:after="120" w:line="360" w:lineRule="auto"/>
        <w:rPr>
          <w:rFonts w:hint="eastAsia"/>
        </w:rPr>
      </w:pPr>
      <w:r>
        <w:rPr>
          <w:rFonts w:hint="eastAsia"/>
        </w:rPr>
        <w:t>数据传输与上链</w:t>
      </w:r>
    </w:p>
    <w:p w14:paraId="2657A33D">
      <w:pPr>
        <w:pStyle w:val="56"/>
        <w:spacing w:line="360" w:lineRule="auto"/>
        <w:ind w:firstLine="420"/>
        <w:rPr>
          <w:rFonts w:hint="eastAsia"/>
        </w:rPr>
      </w:pPr>
      <w:r>
        <w:rPr>
          <w:rFonts w:hint="eastAsia"/>
        </w:rPr>
        <w:t>采集的数据应通过加密通道传输至区块链网络节点，确保数据在传输过程中的完整性和安全性。数据上链应遵循预设流程，包括数据验证、签名、打包及分布式存储。系统应具备异常数据检测和上链失败处理机制，保证关键数据及时、完整地写入区块链。</w:t>
      </w:r>
    </w:p>
    <w:p w14:paraId="1DC216C2">
      <w:pPr>
        <w:pStyle w:val="105"/>
        <w:spacing w:before="120" w:after="120" w:line="360" w:lineRule="auto"/>
        <w:rPr>
          <w:rFonts w:hint="eastAsia"/>
        </w:rPr>
      </w:pPr>
      <w:r>
        <w:rPr>
          <w:rFonts w:hint="eastAsia"/>
        </w:rPr>
        <w:t>数据验证与校验</w:t>
      </w:r>
    </w:p>
    <w:p w14:paraId="39EFC261">
      <w:pPr>
        <w:pStyle w:val="56"/>
        <w:spacing w:line="360" w:lineRule="auto"/>
        <w:ind w:firstLine="420"/>
        <w:rPr>
          <w:rFonts w:hint="eastAsia"/>
        </w:rPr>
      </w:pPr>
      <w:r>
        <w:rPr>
          <w:rFonts w:hint="eastAsia"/>
        </w:rPr>
        <w:t>采集数据在上传前应进行格式校验、内容完整性检查及可信性验证。系统可采用多方验证机制，包括生产者签名验证、传感器数据校验、第三方检测确认等方法。校验通过的数据方可上链，保证数据真实可靠，避免错误或造假信息进入区块链。</w:t>
      </w:r>
    </w:p>
    <w:p w14:paraId="4205DBC0">
      <w:pPr>
        <w:pStyle w:val="105"/>
        <w:spacing w:before="120" w:after="120" w:line="360" w:lineRule="auto"/>
        <w:rPr>
          <w:rFonts w:hint="eastAsia"/>
        </w:rPr>
      </w:pPr>
      <w:r>
        <w:rPr>
          <w:rFonts w:hint="eastAsia"/>
        </w:rPr>
        <w:t>数据存储与备份</w:t>
      </w:r>
    </w:p>
    <w:p w14:paraId="75CC1B1B">
      <w:pPr>
        <w:pStyle w:val="56"/>
        <w:spacing w:line="360" w:lineRule="auto"/>
        <w:ind w:firstLine="420"/>
        <w:rPr>
          <w:rFonts w:hint="eastAsia"/>
        </w:rPr>
      </w:pPr>
      <w:r>
        <w:rPr>
          <w:rFonts w:hint="eastAsia"/>
        </w:rPr>
        <w:t>区块链账本应实现分布式存储，确保数据不可篡改和高可用性。系统应定期进行数据备份和节点同步，防止单点故障导致数据丢失。关键数据应长期保存，并建立数据访问日志，实现审计和追溯。</w:t>
      </w:r>
    </w:p>
    <w:p w14:paraId="47B01102">
      <w:pPr>
        <w:pStyle w:val="105"/>
        <w:spacing w:before="120" w:after="120" w:line="360" w:lineRule="auto"/>
        <w:rPr>
          <w:rFonts w:hint="eastAsia"/>
        </w:rPr>
      </w:pPr>
      <w:r>
        <w:rPr>
          <w:rFonts w:hint="eastAsia"/>
        </w:rPr>
        <w:t>数据共享与查询</w:t>
      </w:r>
    </w:p>
    <w:p w14:paraId="48896792">
      <w:pPr>
        <w:pStyle w:val="56"/>
        <w:spacing w:line="360" w:lineRule="auto"/>
        <w:ind w:firstLine="420"/>
        <w:rPr>
          <w:rFonts w:hint="eastAsia"/>
        </w:rPr>
      </w:pPr>
      <w:r>
        <w:rPr>
          <w:rFonts w:hint="eastAsia"/>
        </w:rPr>
        <w:t>系统应根据权限控制和信息安全要求，实现数据共享与查询。监管部门可全链条查看数据，企业可查看自身生产、加工及物流数据，消费者可查询产品来源和质量信息。查询操作应提供数据验证功能，确保链上数据真实性和可追溯性。</w:t>
      </w:r>
    </w:p>
    <w:p w14:paraId="5DF8A787">
      <w:pPr>
        <w:pStyle w:val="105"/>
        <w:spacing w:before="120" w:after="120" w:line="360" w:lineRule="auto"/>
        <w:rPr>
          <w:rFonts w:hint="eastAsia"/>
        </w:rPr>
      </w:pPr>
      <w:r>
        <w:rPr>
          <w:rFonts w:hint="eastAsia"/>
        </w:rPr>
        <w:t>数据安全管理</w:t>
      </w:r>
    </w:p>
    <w:p w14:paraId="29544D85">
      <w:pPr>
        <w:pStyle w:val="56"/>
        <w:spacing w:line="360" w:lineRule="auto"/>
        <w:ind w:firstLine="420"/>
      </w:pPr>
      <w:r>
        <w:rPr>
          <w:rFonts w:hint="eastAsia"/>
        </w:rPr>
        <w:t>系统应建立完善的数据安全管理措施，包括身份认证、访问控制、加密传输、操作日志记录及异常报警机制。数据在采集、传输、存储及查询过程中均需保证安全，防止泄露、篡改及非法访问。</w:t>
      </w:r>
    </w:p>
    <w:p w14:paraId="61D3EFF2">
      <w:pPr>
        <w:pStyle w:val="104"/>
        <w:spacing w:before="240" w:after="240" w:line="360" w:lineRule="auto"/>
        <w:rPr>
          <w:rFonts w:hint="eastAsia"/>
        </w:rPr>
      </w:pPr>
      <w:bookmarkStart w:id="54" w:name="_Toc209900263"/>
      <w:r>
        <w:rPr>
          <w:rFonts w:hint="eastAsia"/>
        </w:rPr>
        <w:t>智能合约与业务规则管理</w:t>
      </w:r>
      <w:bookmarkEnd w:id="54"/>
    </w:p>
    <w:p w14:paraId="5DD87168">
      <w:pPr>
        <w:pStyle w:val="105"/>
        <w:spacing w:before="120" w:after="120" w:line="360" w:lineRule="auto"/>
        <w:rPr>
          <w:rFonts w:hint="eastAsia"/>
        </w:rPr>
      </w:pPr>
      <w:r>
        <w:rPr>
          <w:rFonts w:hint="eastAsia"/>
        </w:rPr>
        <w:t>智能合约设计原则</w:t>
      </w:r>
    </w:p>
    <w:p w14:paraId="53837C78">
      <w:pPr>
        <w:pStyle w:val="56"/>
        <w:spacing w:line="360" w:lineRule="auto"/>
        <w:ind w:firstLine="420"/>
        <w:rPr>
          <w:rFonts w:hint="eastAsia"/>
        </w:rPr>
      </w:pPr>
      <w:r>
        <w:rPr>
          <w:rFonts w:hint="eastAsia"/>
        </w:rPr>
        <w:t>区块链追溯系统应根据业务流程设计智能合约，实现自动化数据验证、信息上链控制、异常处理及权限管理。智能合约应具备可审计性、可升级性和可扩展性，确保在系统运行过程中能够根据法律法规、行业标准及业务需求进行调整，同时保证执行过程透明、安全、可追溯。</w:t>
      </w:r>
    </w:p>
    <w:p w14:paraId="3426F4EF">
      <w:pPr>
        <w:pStyle w:val="105"/>
        <w:spacing w:before="120" w:after="120" w:line="360" w:lineRule="auto"/>
        <w:rPr>
          <w:rFonts w:hint="eastAsia"/>
        </w:rPr>
      </w:pPr>
      <w:r>
        <w:rPr>
          <w:rFonts w:hint="eastAsia"/>
        </w:rPr>
        <w:t>智能合约执行流程</w:t>
      </w:r>
    </w:p>
    <w:p w14:paraId="558F4260">
      <w:pPr>
        <w:pStyle w:val="56"/>
        <w:spacing w:line="360" w:lineRule="auto"/>
        <w:ind w:firstLine="420"/>
        <w:rPr>
          <w:rFonts w:hint="eastAsia"/>
        </w:rPr>
      </w:pPr>
      <w:r>
        <w:rPr>
          <w:rFonts w:hint="eastAsia"/>
        </w:rPr>
        <w:t>智能合约在数据上链和信息处理过程中应按照以下步骤执行：</w:t>
      </w:r>
    </w:p>
    <w:p w14:paraId="2E26FC48">
      <w:pPr>
        <w:pStyle w:val="174"/>
        <w:spacing w:line="360" w:lineRule="auto"/>
        <w:rPr>
          <w:rFonts w:hint="eastAsia"/>
        </w:rPr>
      </w:pPr>
      <w:r>
        <w:rPr>
          <w:rFonts w:hint="eastAsia"/>
        </w:rPr>
        <w:t>数据采集节点上传信息，并经过初步验证；</w:t>
      </w:r>
    </w:p>
    <w:p w14:paraId="7E32D4D7">
      <w:pPr>
        <w:pStyle w:val="174"/>
        <w:spacing w:line="360" w:lineRule="auto"/>
        <w:rPr>
          <w:rFonts w:hint="eastAsia"/>
        </w:rPr>
      </w:pPr>
      <w:r>
        <w:rPr>
          <w:rFonts w:hint="eastAsia"/>
        </w:rPr>
        <w:t>智能合约自动进行格式检查、内容完整性验证及签名确认；</w:t>
      </w:r>
    </w:p>
    <w:p w14:paraId="770F0DCA">
      <w:pPr>
        <w:pStyle w:val="174"/>
        <w:spacing w:line="360" w:lineRule="auto"/>
        <w:rPr>
          <w:rFonts w:hint="eastAsia"/>
        </w:rPr>
      </w:pPr>
      <w:r>
        <w:rPr>
          <w:rFonts w:hint="eastAsia"/>
        </w:rPr>
        <w:t>数据通过验证后自动写入区块链账本，并生成操作日志；</w:t>
      </w:r>
    </w:p>
    <w:p w14:paraId="31D1033D">
      <w:pPr>
        <w:pStyle w:val="174"/>
        <w:spacing w:line="360" w:lineRule="auto"/>
        <w:rPr>
          <w:rFonts w:hint="eastAsia"/>
        </w:rPr>
      </w:pPr>
      <w:r>
        <w:rPr>
          <w:rFonts w:hint="eastAsia"/>
        </w:rPr>
        <w:t>若数据验证失败或出现异常，智能合约应自动触发警报并记录异常事件，阻止错误数据上链。</w:t>
      </w:r>
    </w:p>
    <w:p w14:paraId="5D6425F1">
      <w:pPr>
        <w:pStyle w:val="105"/>
        <w:spacing w:before="120" w:after="120" w:line="360" w:lineRule="auto"/>
        <w:rPr>
          <w:rFonts w:hint="eastAsia"/>
        </w:rPr>
      </w:pPr>
      <w:r>
        <w:rPr>
          <w:rFonts w:hint="eastAsia"/>
        </w:rPr>
        <w:t>业务规则配置</w:t>
      </w:r>
    </w:p>
    <w:p w14:paraId="6610682A">
      <w:pPr>
        <w:pStyle w:val="56"/>
        <w:spacing w:line="360" w:lineRule="auto"/>
        <w:ind w:firstLine="420"/>
        <w:rPr>
          <w:rFonts w:hint="eastAsia"/>
        </w:rPr>
      </w:pPr>
      <w:r>
        <w:rPr>
          <w:rFonts w:hint="eastAsia"/>
        </w:rPr>
        <w:t>系统应根据农产品供应链特点配置业务规则，包括生产批次管理、物流环节追踪、加工过程记录、检验检测要求及销售流转信息。业务规则应与智能合约紧密结合，实现数据自动校验、自动触发工作流程及异常处理，确保各环节操作符合标准化要求。</w:t>
      </w:r>
    </w:p>
    <w:p w14:paraId="219119B8">
      <w:pPr>
        <w:pStyle w:val="105"/>
        <w:spacing w:before="120" w:after="120" w:line="360" w:lineRule="auto"/>
        <w:rPr>
          <w:rFonts w:hint="eastAsia"/>
        </w:rPr>
      </w:pPr>
      <w:r>
        <w:rPr>
          <w:rFonts w:hint="eastAsia"/>
        </w:rPr>
        <w:t>异常处理机制</w:t>
      </w:r>
    </w:p>
    <w:p w14:paraId="569474F2">
      <w:pPr>
        <w:pStyle w:val="56"/>
        <w:spacing w:line="360" w:lineRule="auto"/>
        <w:ind w:firstLine="420"/>
        <w:rPr>
          <w:rFonts w:hint="eastAsia"/>
        </w:rPr>
      </w:pPr>
      <w:r>
        <w:rPr>
          <w:rFonts w:hint="eastAsia"/>
        </w:rPr>
        <w:t>当数据不符合规则、上链失败或发生异常事件时，智能合约应自动记录异常，并通知相关节点和监管部门。系统应提供异常处理流程，包括数据复核、人工确认、纠正上链及结果记录，确保追溯链条完整和数据可靠。</w:t>
      </w:r>
    </w:p>
    <w:p w14:paraId="65FB40DD">
      <w:pPr>
        <w:pStyle w:val="105"/>
        <w:spacing w:before="120" w:after="120" w:line="360" w:lineRule="auto"/>
        <w:rPr>
          <w:rFonts w:hint="eastAsia"/>
        </w:rPr>
      </w:pPr>
      <w:r>
        <w:rPr>
          <w:rFonts w:hint="eastAsia"/>
        </w:rPr>
        <w:t>权限管理与操作控制</w:t>
      </w:r>
    </w:p>
    <w:p w14:paraId="72F4398C">
      <w:pPr>
        <w:pStyle w:val="56"/>
        <w:spacing w:line="360" w:lineRule="auto"/>
        <w:ind w:firstLine="420"/>
        <w:rPr>
          <w:rFonts w:hint="eastAsia"/>
        </w:rPr>
      </w:pPr>
      <w:r>
        <w:rPr>
          <w:rFonts w:hint="eastAsia"/>
        </w:rPr>
        <w:t>智能合约应实现对不同角色的数据访问、上链、修改及共享权限控制。生产者、加工企业、物流企业、销售平台及监管部门应根据角色分配相应权限，防止非法操作或数据篡改。权限配置应支持灵活调整，确保系统安全、操作便捷。</w:t>
      </w:r>
    </w:p>
    <w:p w14:paraId="141E1A00">
      <w:pPr>
        <w:pStyle w:val="105"/>
        <w:spacing w:before="120" w:after="120" w:line="360" w:lineRule="auto"/>
        <w:rPr>
          <w:rFonts w:hint="eastAsia"/>
        </w:rPr>
      </w:pPr>
      <w:r>
        <w:rPr>
          <w:rFonts w:hint="eastAsia"/>
        </w:rPr>
        <w:t>合约更新与维护</w:t>
      </w:r>
    </w:p>
    <w:p w14:paraId="61D827F2">
      <w:pPr>
        <w:pStyle w:val="56"/>
        <w:spacing w:line="360" w:lineRule="auto"/>
        <w:ind w:firstLine="420"/>
        <w:rPr>
          <w:rFonts w:hint="eastAsia"/>
        </w:rPr>
      </w:pPr>
      <w:r>
        <w:rPr>
          <w:rFonts w:hint="eastAsia"/>
        </w:rPr>
        <w:t>随着法规政策和业务需求的变化，智能合约应定期评审和更新。更新过程应保证系统稳定性，必要时通过测试环境验证新合约执行正确性，再部署至生产环境。更新过程及历史版本应记录在案，以便审计和追溯。</w:t>
      </w:r>
    </w:p>
    <w:p w14:paraId="4B4EB20E">
      <w:pPr>
        <w:pStyle w:val="105"/>
        <w:spacing w:before="120" w:after="120" w:line="360" w:lineRule="auto"/>
        <w:rPr>
          <w:rFonts w:hint="eastAsia"/>
        </w:rPr>
      </w:pPr>
      <w:r>
        <w:rPr>
          <w:rFonts w:hint="eastAsia"/>
        </w:rPr>
        <w:t>数据审计与合规性检查</w:t>
      </w:r>
    </w:p>
    <w:p w14:paraId="7C87D8BC">
      <w:pPr>
        <w:pStyle w:val="56"/>
        <w:spacing w:line="360" w:lineRule="auto"/>
        <w:ind w:firstLine="420"/>
      </w:pPr>
      <w:r>
        <w:rPr>
          <w:rFonts w:hint="eastAsia"/>
        </w:rPr>
        <w:t>智能合约应支持自动审计功能，能够生成操作日志、数据变动记录及合约执行报告。系统应定期进行合规性检查，确保数据采集、上链、存储及访问过程符合法律法规、行业标准及企业内部管理要求。</w:t>
      </w:r>
    </w:p>
    <w:p w14:paraId="7D16868B">
      <w:pPr>
        <w:pStyle w:val="104"/>
        <w:spacing w:before="240" w:after="240" w:line="360" w:lineRule="auto"/>
        <w:rPr>
          <w:rFonts w:hint="eastAsia"/>
        </w:rPr>
      </w:pPr>
      <w:bookmarkStart w:id="55" w:name="_Toc209900264"/>
      <w:r>
        <w:rPr>
          <w:rFonts w:hint="eastAsia"/>
        </w:rPr>
        <w:t>监管管理与数据共享</w:t>
      </w:r>
      <w:bookmarkEnd w:id="55"/>
    </w:p>
    <w:p w14:paraId="4D4D615C">
      <w:pPr>
        <w:pStyle w:val="105"/>
        <w:spacing w:before="120" w:after="120" w:line="360" w:lineRule="auto"/>
        <w:rPr>
          <w:rFonts w:hint="eastAsia"/>
        </w:rPr>
      </w:pPr>
      <w:r>
        <w:rPr>
          <w:rFonts w:hint="eastAsia"/>
        </w:rPr>
        <w:t>监管部门角色与职责</w:t>
      </w:r>
    </w:p>
    <w:p w14:paraId="2C9CEC7A">
      <w:pPr>
        <w:pStyle w:val="56"/>
        <w:spacing w:line="360" w:lineRule="auto"/>
        <w:ind w:firstLine="420"/>
        <w:rPr>
          <w:rFonts w:hint="eastAsia"/>
        </w:rPr>
      </w:pPr>
      <w:r>
        <w:rPr>
          <w:rFonts w:hint="eastAsia"/>
        </w:rPr>
        <w:t>区块链追溯系统应明确监管部门在农产品质量安全管理中的角色和职责。监管部门负责对系统运行、数据完整性、智能合约执行及业务流程合规性进行监督，及时发现异常或潜在风险，并指导企业和平台采取纠正措施。监管部门还应定期审核系统运行报告、操作日志及关键节点数据，确保系统安全可靠。</w:t>
      </w:r>
    </w:p>
    <w:p w14:paraId="066484A9">
      <w:pPr>
        <w:pStyle w:val="105"/>
        <w:spacing w:before="120" w:after="120" w:line="360" w:lineRule="auto"/>
        <w:rPr>
          <w:rFonts w:hint="eastAsia"/>
        </w:rPr>
      </w:pPr>
      <w:r>
        <w:rPr>
          <w:rFonts w:hint="eastAsia"/>
        </w:rPr>
        <w:t>实时监控与预警机制</w:t>
      </w:r>
    </w:p>
    <w:p w14:paraId="594205F5">
      <w:pPr>
        <w:pStyle w:val="56"/>
        <w:spacing w:line="360" w:lineRule="auto"/>
        <w:ind w:firstLine="420"/>
        <w:rPr>
          <w:rFonts w:hint="eastAsia"/>
        </w:rPr>
      </w:pPr>
      <w:r>
        <w:rPr>
          <w:rFonts w:hint="eastAsia"/>
        </w:rPr>
        <w:t>系统应支持对农产品全链条数据进行实时监控，包括生产、加工、物流及销售环节。关键数据异常或违规操作发生时，应自动触发预警，通知相关管理人员和监管部门。实时监控和预警机制可有效防止数据造假、供应链漏洞和食品安全风险，保障消费者权益和公共安全。</w:t>
      </w:r>
    </w:p>
    <w:p w14:paraId="68EF60C8">
      <w:pPr>
        <w:pStyle w:val="105"/>
        <w:spacing w:before="120" w:after="120" w:line="360" w:lineRule="auto"/>
        <w:rPr>
          <w:rFonts w:hint="eastAsia"/>
        </w:rPr>
      </w:pPr>
      <w:r>
        <w:rPr>
          <w:rFonts w:hint="eastAsia"/>
        </w:rPr>
        <w:t>数据共享机制</w:t>
      </w:r>
    </w:p>
    <w:p w14:paraId="4260B7F7">
      <w:pPr>
        <w:pStyle w:val="56"/>
        <w:spacing w:line="360" w:lineRule="auto"/>
        <w:ind w:firstLine="420"/>
        <w:rPr>
          <w:rFonts w:hint="eastAsia"/>
        </w:rPr>
      </w:pPr>
      <w:r>
        <w:rPr>
          <w:rFonts w:hint="eastAsia"/>
        </w:rPr>
        <w:t>区块链追溯系统应建立安全、高效的数据共享机制，实现生产者、加工企业、物流企业、销售平台及监管部门之间的信息互通。数据共享应基于权限控制和角色分配，确保敏感信息仅在授权范围内访问，同时保证供应链透明度和信息真实性。消费者可通过官方接口或扫码查询关键追溯信息，了解产品来源、加工过程及安全检测结果。</w:t>
      </w:r>
    </w:p>
    <w:p w14:paraId="715DA79B">
      <w:pPr>
        <w:pStyle w:val="105"/>
        <w:spacing w:before="120" w:after="120" w:line="360" w:lineRule="auto"/>
        <w:rPr>
          <w:rFonts w:hint="eastAsia"/>
        </w:rPr>
      </w:pPr>
      <w:r>
        <w:rPr>
          <w:rFonts w:hint="eastAsia"/>
        </w:rPr>
        <w:t>数据可追溯性与审计</w:t>
      </w:r>
    </w:p>
    <w:p w14:paraId="30F3CEE2">
      <w:pPr>
        <w:pStyle w:val="56"/>
        <w:spacing w:line="360" w:lineRule="auto"/>
        <w:ind w:firstLine="420"/>
        <w:rPr>
          <w:rFonts w:hint="eastAsia"/>
        </w:rPr>
      </w:pPr>
      <w:r>
        <w:rPr>
          <w:rFonts w:hint="eastAsia"/>
        </w:rPr>
        <w:t>系统应确保所有链上数据可追溯，支持历史记录查询和操作日志审计。监管部门可通过追溯链条核查农产品质量安全信息，发现问题可追溯至源头生产者或加工环节。系统应提供标准化查询接口和审计工具，方便监管部门和企业开展质量检查、责任追究及风险分析。</w:t>
      </w:r>
    </w:p>
    <w:p w14:paraId="0A746CA0">
      <w:pPr>
        <w:pStyle w:val="105"/>
        <w:spacing w:before="120" w:after="120" w:line="360" w:lineRule="auto"/>
        <w:rPr>
          <w:rFonts w:hint="eastAsia"/>
        </w:rPr>
      </w:pPr>
      <w:r>
        <w:rPr>
          <w:rFonts w:hint="eastAsia"/>
        </w:rPr>
        <w:t>跨部门协作与信息共享</w:t>
      </w:r>
    </w:p>
    <w:p w14:paraId="2F77DBD1">
      <w:pPr>
        <w:pStyle w:val="56"/>
        <w:spacing w:line="360" w:lineRule="auto"/>
        <w:ind w:firstLine="420"/>
        <w:rPr>
          <w:rFonts w:hint="eastAsia"/>
        </w:rPr>
      </w:pPr>
      <w:r>
        <w:rPr>
          <w:rFonts w:hint="eastAsia"/>
        </w:rPr>
        <w:t>为实现高效监管，系统应支持跨部门协作和信息共享，包括农业、质量监督、市场监管、食品安全及物流等相关部门。各部门可根据权限访问系统数据，协调处理质量安全事件，实现多部门联合监管和应急响应。</w:t>
      </w:r>
    </w:p>
    <w:p w14:paraId="2BBB8CE8">
      <w:pPr>
        <w:pStyle w:val="105"/>
        <w:spacing w:before="120" w:after="120" w:line="360" w:lineRule="auto"/>
        <w:rPr>
          <w:rFonts w:hint="eastAsia"/>
        </w:rPr>
      </w:pPr>
      <w:r>
        <w:rPr>
          <w:rFonts w:hint="eastAsia"/>
        </w:rPr>
        <w:t>数据隐私与安全保护</w:t>
      </w:r>
    </w:p>
    <w:p w14:paraId="5519764C">
      <w:pPr>
        <w:pStyle w:val="56"/>
        <w:spacing w:line="360" w:lineRule="auto"/>
        <w:ind w:firstLine="420"/>
        <w:rPr>
          <w:rFonts w:hint="eastAsia"/>
        </w:rPr>
      </w:pPr>
      <w:r>
        <w:rPr>
          <w:rFonts w:hint="eastAsia"/>
        </w:rPr>
        <w:t>在数据共享和监管过程中，应严格保护生产者、企业及消费者隐私。系统应采取数据加密、访问控制、日志记录及匿名化处理等措施，防止敏感信息泄露，同时保证数据可用于监管和追溯分析。</w:t>
      </w:r>
    </w:p>
    <w:p w14:paraId="361839CA">
      <w:pPr>
        <w:pStyle w:val="105"/>
        <w:spacing w:before="120" w:after="120" w:line="360" w:lineRule="auto"/>
        <w:rPr>
          <w:rFonts w:hint="eastAsia"/>
        </w:rPr>
      </w:pPr>
      <w:r>
        <w:rPr>
          <w:rFonts w:hint="eastAsia"/>
        </w:rPr>
        <w:t>持续改进与制度建设</w:t>
      </w:r>
    </w:p>
    <w:p w14:paraId="16E6D7B8">
      <w:pPr>
        <w:pStyle w:val="56"/>
        <w:spacing w:line="360" w:lineRule="auto"/>
        <w:ind w:firstLine="420"/>
      </w:pPr>
      <w:r>
        <w:rPr>
          <w:rFonts w:hint="eastAsia"/>
        </w:rPr>
        <w:t>监管管理机制应根据技术发展和实践经验持续优化，完善制度建设和操作规范。定期总结监管和共享经验，优化数据分析模型和预警机制，不断提升监管效率、追溯精度和农产品质量安全保障水平。</w:t>
      </w:r>
    </w:p>
    <w:p w14:paraId="7EE04755">
      <w:pPr>
        <w:pStyle w:val="104"/>
        <w:spacing w:before="240" w:after="240" w:line="360" w:lineRule="auto"/>
        <w:rPr>
          <w:rFonts w:hint="eastAsia"/>
        </w:rPr>
      </w:pPr>
      <w:bookmarkStart w:id="56" w:name="_Toc209900265"/>
      <w:r>
        <w:rPr>
          <w:rFonts w:hint="eastAsia"/>
        </w:rPr>
        <w:t>系统安全与运维管理</w:t>
      </w:r>
      <w:bookmarkEnd w:id="56"/>
    </w:p>
    <w:p w14:paraId="704267A6">
      <w:pPr>
        <w:pStyle w:val="105"/>
        <w:spacing w:before="120" w:after="120" w:line="360" w:lineRule="auto"/>
        <w:rPr>
          <w:rFonts w:hint="eastAsia"/>
        </w:rPr>
      </w:pPr>
      <w:r>
        <w:rPr>
          <w:rFonts w:hint="eastAsia"/>
        </w:rPr>
        <w:t>信息安全管理</w:t>
      </w:r>
    </w:p>
    <w:p w14:paraId="3E8F4D4E">
      <w:pPr>
        <w:pStyle w:val="56"/>
        <w:spacing w:line="360" w:lineRule="auto"/>
        <w:ind w:firstLine="420"/>
        <w:rPr>
          <w:rFonts w:hint="eastAsia"/>
        </w:rPr>
      </w:pPr>
      <w:r>
        <w:rPr>
          <w:rFonts w:hint="eastAsia"/>
        </w:rPr>
        <w:t>区块链追溯系统应建立完善的信息安全管理体系，对数据采集、传输、存储和访问全过程进行保护。系统应采用数据加密、数字签名、权限控制及访问日志记录等技术，防止数据篡改、泄露及非法访问。关键节点和敏感数据应优先采取高级加密和多重验证措施，确保数据安全性和系统可信度。</w:t>
      </w:r>
    </w:p>
    <w:p w14:paraId="75B09D30">
      <w:pPr>
        <w:pStyle w:val="105"/>
        <w:spacing w:before="120" w:after="120" w:line="360" w:lineRule="auto"/>
        <w:rPr>
          <w:rFonts w:hint="eastAsia"/>
        </w:rPr>
      </w:pPr>
      <w:r>
        <w:rPr>
          <w:rFonts w:hint="eastAsia"/>
        </w:rPr>
        <w:t>节点运维管理</w:t>
      </w:r>
    </w:p>
    <w:p w14:paraId="138B33E6">
      <w:pPr>
        <w:pStyle w:val="56"/>
        <w:spacing w:line="360" w:lineRule="auto"/>
        <w:ind w:firstLine="420"/>
        <w:rPr>
          <w:rFonts w:hint="eastAsia"/>
        </w:rPr>
      </w:pPr>
      <w:r>
        <w:rPr>
          <w:rFonts w:hint="eastAsia"/>
        </w:rPr>
        <w:t>系统节点包括生产端、加工端、物流端、销售端及监管端节点。每个节点应定期进行维护和安全检查，包括硬件状态监控、操作系统更新、软件版本升级及安全漏洞修复。节点管理应建立责任制，确保节点高可用、稳定运行，并对异常情况及时处理。</w:t>
      </w:r>
    </w:p>
    <w:p w14:paraId="280E515A">
      <w:pPr>
        <w:pStyle w:val="105"/>
        <w:spacing w:before="120" w:after="120" w:line="360" w:lineRule="auto"/>
        <w:rPr>
          <w:rFonts w:hint="eastAsia"/>
        </w:rPr>
      </w:pPr>
      <w:r>
        <w:rPr>
          <w:rFonts w:hint="eastAsia"/>
        </w:rPr>
        <w:t>数据备份与恢复</w:t>
      </w:r>
    </w:p>
    <w:p w14:paraId="4853B872">
      <w:pPr>
        <w:pStyle w:val="56"/>
        <w:spacing w:line="360" w:lineRule="auto"/>
        <w:ind w:firstLine="420"/>
        <w:rPr>
          <w:rFonts w:hint="eastAsia"/>
        </w:rPr>
      </w:pPr>
      <w:r>
        <w:rPr>
          <w:rFonts w:hint="eastAsia"/>
        </w:rPr>
        <w:t>系统应建立定期数据备份机制，保证区块链账本及历史操作日志在多节点分布式存储中安全保存。备份数据应支持快速恢复，确保在节点故障、数据损坏或网络异常情况下，系统能快速恢复正常运行，保证追溯链条连续性和数据完整性。</w:t>
      </w:r>
    </w:p>
    <w:p w14:paraId="4677009F">
      <w:pPr>
        <w:pStyle w:val="105"/>
        <w:spacing w:before="120" w:after="120" w:line="360" w:lineRule="auto"/>
        <w:rPr>
          <w:rFonts w:hint="eastAsia"/>
        </w:rPr>
      </w:pPr>
      <w:r>
        <w:rPr>
          <w:rFonts w:hint="eastAsia"/>
        </w:rPr>
        <w:t>系统监控与运行维护</w:t>
      </w:r>
    </w:p>
    <w:p w14:paraId="5E5FB744">
      <w:pPr>
        <w:pStyle w:val="56"/>
        <w:spacing w:line="360" w:lineRule="auto"/>
        <w:ind w:firstLine="420"/>
        <w:rPr>
          <w:rFonts w:hint="eastAsia"/>
        </w:rPr>
      </w:pPr>
      <w:r>
        <w:rPr>
          <w:rFonts w:hint="eastAsia"/>
        </w:rPr>
        <w:t>系统应具备实时监控功能，包括节点状态、数据上传情况、智能合约执行状态、交易上链情况及异常事件记录。运维人员应定期检查系统运行日志，监控异常和性能瓶颈，及时采取优化和调整措施，确保系统稳定性和运行效率。</w:t>
      </w:r>
    </w:p>
    <w:p w14:paraId="2B7FE8AF">
      <w:pPr>
        <w:pStyle w:val="105"/>
        <w:spacing w:before="120" w:after="120" w:line="360" w:lineRule="auto"/>
        <w:rPr>
          <w:rFonts w:hint="eastAsia"/>
        </w:rPr>
      </w:pPr>
      <w:r>
        <w:rPr>
          <w:rFonts w:hint="eastAsia"/>
        </w:rPr>
        <w:t>安全审计与合规检查</w:t>
      </w:r>
    </w:p>
    <w:p w14:paraId="650E59C3">
      <w:pPr>
        <w:pStyle w:val="56"/>
        <w:spacing w:line="360" w:lineRule="auto"/>
        <w:ind w:firstLine="420"/>
        <w:rPr>
          <w:rFonts w:hint="eastAsia"/>
        </w:rPr>
      </w:pPr>
      <w:r>
        <w:rPr>
          <w:rFonts w:hint="eastAsia"/>
        </w:rPr>
        <w:t>系统应建立定期安全审计机制，对数据采集、传输、上链及访问操作进行审查，保证操作过程合规、安全可控。安全审计应包括日志分析、异常事件追踪、权限变更审核及合约执行验证，为监管部门和企业提供数据审计依据。</w:t>
      </w:r>
    </w:p>
    <w:p w14:paraId="13A07B82">
      <w:pPr>
        <w:pStyle w:val="105"/>
        <w:spacing w:before="120" w:after="120" w:line="360" w:lineRule="auto"/>
        <w:rPr>
          <w:rFonts w:hint="eastAsia"/>
        </w:rPr>
      </w:pPr>
      <w:r>
        <w:rPr>
          <w:rFonts w:hint="eastAsia"/>
        </w:rPr>
        <w:t>应急管理与响应机制</w:t>
      </w:r>
    </w:p>
    <w:p w14:paraId="0EAEF04A">
      <w:pPr>
        <w:pStyle w:val="56"/>
        <w:spacing w:line="360" w:lineRule="auto"/>
        <w:ind w:firstLine="420"/>
        <w:rPr>
          <w:rFonts w:hint="eastAsia"/>
        </w:rPr>
      </w:pPr>
      <w:r>
        <w:rPr>
          <w:rFonts w:hint="eastAsia"/>
        </w:rPr>
        <w:t>系统应制定应急预案，包括节点故障、数据异常、网络攻击及智能合约异常等情况的处理流程。应急预案应明确责任分工、操作步骤和资源配置，并定期组织演练，确保在紧急情况下能够快速恢复系统功能，保障数据完整性和追溯功能连续性。</w:t>
      </w:r>
    </w:p>
    <w:p w14:paraId="38511816">
      <w:pPr>
        <w:pStyle w:val="105"/>
        <w:spacing w:before="120" w:after="120" w:line="360" w:lineRule="auto"/>
        <w:rPr>
          <w:rFonts w:hint="eastAsia"/>
        </w:rPr>
      </w:pPr>
      <w:r>
        <w:rPr>
          <w:rFonts w:hint="eastAsia"/>
        </w:rPr>
        <w:t>运维人员培训与管理</w:t>
      </w:r>
    </w:p>
    <w:p w14:paraId="61169E3B">
      <w:pPr>
        <w:pStyle w:val="56"/>
        <w:spacing w:line="360" w:lineRule="auto"/>
        <w:ind w:firstLine="420"/>
        <w:rPr>
          <w:rFonts w:hint="eastAsia"/>
        </w:rPr>
      </w:pPr>
      <w:r>
        <w:rPr>
          <w:rFonts w:hint="eastAsia"/>
        </w:rPr>
        <w:t>系统运维人员应具备区块链技术、信息安全及农产品追溯业务知识，经过系统培训并通过考核后方可上岗。运维人员应严格遵守操作规程和安全规范，及时报告异常情况，并参与系统优化和持续改进工作。</w:t>
      </w:r>
    </w:p>
    <w:bookmarkEnd w:id="26"/>
    <w:p w14:paraId="77CA1E8B">
      <w:pPr>
        <w:pStyle w:val="56"/>
        <w:spacing w:line="360" w:lineRule="auto"/>
        <w:ind w:firstLine="420"/>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pPr>
      <w:bookmarkStart w:id="57" w:name="BookMark6"/>
    </w:p>
    <w:p w14:paraId="3DA4EA9C">
      <w:pPr>
        <w:pStyle w:val="63"/>
        <w:spacing w:after="120" w:line="360" w:lineRule="auto"/>
        <w:rPr>
          <w:rFonts w:hint="eastAsia"/>
        </w:rPr>
      </w:pPr>
      <w:bookmarkStart w:id="58" w:name="_Toc209900266"/>
      <w:r>
        <w:rPr>
          <w:rFonts w:hint="eastAsia"/>
          <w:spacing w:val="105"/>
        </w:rPr>
        <w:t>参考文</w:t>
      </w:r>
      <w:r>
        <w:rPr>
          <w:rFonts w:hint="eastAsia"/>
        </w:rPr>
        <w:t>献</w:t>
      </w:r>
      <w:bookmarkEnd w:id="58"/>
    </w:p>
    <w:p w14:paraId="148A7FEC">
      <w:pPr>
        <w:pStyle w:val="56"/>
        <w:spacing w:line="360" w:lineRule="auto"/>
        <w:ind w:firstLine="420"/>
      </w:pPr>
      <w:r>
        <w:t xml:space="preserve">[1] DB13/T 5892-2024 </w:t>
      </w:r>
      <w:r>
        <w:rPr>
          <w:rFonts w:hint="eastAsia"/>
        </w:rPr>
        <w:t>功能农产品质量安全追溯操作技术规范</w:t>
      </w:r>
    </w:p>
    <w:p w14:paraId="7688D13E">
      <w:pPr>
        <w:pStyle w:val="56"/>
        <w:spacing w:line="360" w:lineRule="auto"/>
        <w:ind w:firstLine="420"/>
      </w:pPr>
      <w:r>
        <w:t xml:space="preserve">[2] DB41/T 2507-2023 </w:t>
      </w:r>
      <w:r>
        <w:rPr>
          <w:rFonts w:hint="eastAsia"/>
        </w:rPr>
        <w:t>生产基地农产品质量安全追溯技术规范</w:t>
      </w:r>
    </w:p>
    <w:p w14:paraId="27429D65">
      <w:pPr>
        <w:pStyle w:val="56"/>
        <w:spacing w:line="360" w:lineRule="auto"/>
        <w:ind w:firstLine="420"/>
        <w:rPr>
          <w:rFonts w:hint="eastAsia"/>
        </w:rPr>
      </w:pPr>
      <w:r>
        <w:t xml:space="preserve">[3] T/CCCA 0003-2022 </w:t>
      </w:r>
      <w:r>
        <w:rPr>
          <w:rFonts w:hint="eastAsia"/>
        </w:rPr>
        <w:t>区块链技术环境下果蔬农产品冷链仓储管理要求</w:t>
      </w:r>
    </w:p>
    <w:bookmarkEnd w:id="57"/>
    <w:p w14:paraId="083086AC">
      <w:pPr>
        <w:pStyle w:val="56"/>
        <w:ind w:firstLine="0" w:firstLineChars="0"/>
        <w:jc w:val="center"/>
        <w:rPr>
          <w:rFonts w:hint="eastAsia"/>
        </w:rPr>
      </w:pPr>
      <w:bookmarkStart w:id="59" w:name="BookMark8"/>
      <w:r>
        <w:rPr>
          <w:rFonts w:hint="eastAsia"/>
        </w:rPr>
        <w:drawing>
          <wp:inline distT="0" distB="0" distL="0" distR="0">
            <wp:extent cx="1485900" cy="317500"/>
            <wp:effectExtent l="0" t="0" r="0" b="6350"/>
            <wp:docPr id="736560810" name="图片 1"/>
            <wp:cNvGraphicFramePr/>
            <a:graphic xmlns:a="http://schemas.openxmlformats.org/drawingml/2006/main">
              <a:graphicData uri="http://schemas.openxmlformats.org/drawingml/2006/picture">
                <pic:pic xmlns:pic="http://schemas.openxmlformats.org/drawingml/2006/picture">
                  <pic:nvPicPr>
                    <pic:cNvPr id="736560810" name="图片 1"/>
                    <pic:cNvPicPr/>
                  </pic:nvPicPr>
                  <pic:blipFill>
                    <a:blip r:embed="rId3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9"/>
    </w:p>
    <w:sectPr>
      <w:headerReference r:id="rId27" w:type="default"/>
      <w:footerReference r:id="rId29" w:type="default"/>
      <w:headerReference r:id="rId28" w:type="even"/>
      <w:footerReference r:id="rId30" w:type="even"/>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A94E3">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7D732">
    <w:pPr>
      <w:pStyle w:val="51"/>
    </w:pPr>
    <w:r>
      <w:fldChar w:fldCharType="begin"/>
    </w:r>
    <w:r>
      <w:instrText xml:space="preserve"> PAGE   \* MERGEFORMAT \* MERGEFORMAT </w:instrText>
    </w:r>
    <w:r>
      <w:fldChar w:fldCharType="separate"/>
    </w:r>
    <w:r>
      <w:t>8</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F545E">
    <w:pPr>
      <w:pStyle w:val="52"/>
    </w:pPr>
    <w:r>
      <w:fldChar w:fldCharType="begin"/>
    </w:r>
    <w:r>
      <w:instrText xml:space="preserve">PAGE   \* MERGEFORMAT</w:instrText>
    </w:r>
    <w:r>
      <w:fldChar w:fldCharType="separate"/>
    </w:r>
    <w:r>
      <w:rPr>
        <w:lang w:val="zh-CN"/>
      </w:rPr>
      <w:t>1</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54112">
    <w:pPr>
      <w:pStyle w:val="51"/>
    </w:pPr>
    <w:r>
      <w:fldChar w:fldCharType="begin"/>
    </w:r>
    <w:r>
      <w:instrText xml:space="preserve"> PAGE   \* MERGEFORMAT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7BAE1">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F4FF8">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5877D">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69A7B">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1B425">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350DE">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39196">
    <w:pPr>
      <w:pStyle w:val="51"/>
    </w:pPr>
    <w:r>
      <w:fldChar w:fldCharType="begin"/>
    </w:r>
    <w:r>
      <w:instrText xml:space="preserve"> PAGE   \* MERGEFORMAT \* MERGEFORMAT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B6074">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C8A8">
    <w:pPr>
      <w:pStyle w:val="18"/>
      <w:wordWrap w:val="0"/>
      <w:jc w:val="right"/>
      <w:rPr>
        <w:rFonts w:ascii="黑体" w:hAnsi="黑体" w:eastAsia="黑体"/>
      </w:rPr>
    </w:pPr>
    <w:r>
      <w:pict>
        <v:shape id="PowerPlusWaterMarkObject59875283" o:spid="_x0000_s1028" o:spt="136" type="#_x0000_t136" style="position:absolute;left:0pt;height:59.9pt;width:599.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B3C48">
    <w:pPr>
      <w:pStyle w:val="62"/>
    </w:pPr>
    <w:r>
      <w:fldChar w:fldCharType="begin"/>
    </w:r>
    <w:r>
      <w:instrText xml:space="preserve"> STYLEREF  标准文件_文件编号 \* MERGEFORMAT </w:instrText>
    </w:r>
    <w:r>
      <w:fldChar w:fldCharType="separate"/>
    </w:r>
    <w:r>
      <w:t>T/XJBX 0097—2025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80BBD">
    <w:pPr>
      <w:pStyle w:val="61"/>
    </w:pPr>
    <w:r>
      <w:fldChar w:fldCharType="begin"/>
    </w:r>
    <w:r>
      <w:instrText xml:space="preserve"> STYLEREF  标准文件_文件编号  \* MERGEFORMAT </w:instrText>
    </w:r>
    <w:r>
      <w:fldChar w:fldCharType="separate"/>
    </w:r>
    <w:r>
      <w:t>T/XJBX 0097—2025</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28828">
    <w:pPr>
      <w:pStyle w:val="62"/>
    </w:pPr>
    <w:r>
      <w:fldChar w:fldCharType="begin"/>
    </w:r>
    <w:r>
      <w:instrText xml:space="preserve"> STYLEREF  标准文件_文件编号 \* MERGEFORMAT </w:instrText>
    </w:r>
    <w:r>
      <w:fldChar w:fldCharType="separate"/>
    </w:r>
    <w:r>
      <w:t>T/XJBX 0097—2025</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419E2">
    <w:pPr>
      <w:pStyle w:val="61"/>
    </w:pPr>
    <w:r>
      <w:pict>
        <v:shape id="_x0000_s1035" o:spid="_x0000_s1035" o:spt="136" type="#_x0000_t136" style="position:absolute;left:0pt;height:59.9pt;width:599.4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r>
      <w:fldChar w:fldCharType="begin"/>
    </w:r>
    <w:r>
      <w:instrText xml:space="preserve"> STYLEREF  标准文件_文件编号  \* MERGEFORMAT </w:instrText>
    </w:r>
    <w:r>
      <w:fldChar w:fldCharType="separate"/>
    </w:r>
    <w:r>
      <w:t>T/XJBX 0097—2025</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CB6F6">
    <w:pPr>
      <w:pStyle w:val="62"/>
    </w:pPr>
    <w:r>
      <w:fldChar w:fldCharType="begin"/>
    </w:r>
    <w:r>
      <w:instrText xml:space="preserve"> STYLEREF  标准文件_文件编号 \* MERGEFORMAT </w:instrText>
    </w:r>
    <w:r>
      <w:fldChar w:fldCharType="separate"/>
    </w:r>
    <w:r>
      <w:t>T/XJBX 0097—2025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F0166">
    <w:pPr>
      <w:pStyle w:val="18"/>
    </w:pPr>
    <w:r>
      <w:pict>
        <v:shape id="PowerPlusWaterMarkObject59875282" o:spid="_x0000_s1027" o:spt="136" type="#_x0000_t136" style="position:absolute;left:0pt;height:59.9pt;width:599.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B2C0B">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5318">
    <w:pPr>
      <w:pStyle w:val="61"/>
    </w:pPr>
    <w:r>
      <w:fldChar w:fldCharType="begin"/>
    </w:r>
    <w:r>
      <w:instrText xml:space="preserve"> STYLEREF  标准文件_文件编号  \* MERGEFORMAT </w:instrText>
    </w:r>
    <w:r>
      <w:fldChar w:fldCharType="separate"/>
    </w:r>
    <w:r>
      <w:t>T/XJBX 0097—2025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ADBAF">
    <w:pPr>
      <w:pStyle w:val="62"/>
    </w:pPr>
    <w:r>
      <w:fldChar w:fldCharType="begin"/>
    </w:r>
    <w:r>
      <w:instrText xml:space="preserve"> STYLEREF  标准文件_文件编号 \* MERGEFORMAT </w:instrText>
    </w:r>
    <w:r>
      <w:fldChar w:fldCharType="separate"/>
    </w:r>
    <w:r>
      <w:t>T/XJBX 0097—2025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B679D">
    <w:pPr>
      <w:pStyle w:val="18"/>
    </w:pPr>
    <w:r>
      <w:pict>
        <v:shape id="PowerPlusWaterMarkObject59875284" o:spid="_x0000_s1029" o:spt="136" type="#_x0000_t136" style="position:absolute;left:0pt;height:59.9pt;width:599.4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76E97">
    <w:pPr>
      <w:pStyle w:val="61"/>
    </w:pPr>
    <w:r>
      <w:fldChar w:fldCharType="begin"/>
    </w:r>
    <w:r>
      <w:instrText xml:space="preserve"> STYLEREF  标准文件_文件编号  \* MERGEFORMAT </w:instrText>
    </w:r>
    <w:r>
      <w:fldChar w:fldCharType="separate"/>
    </w:r>
    <w:r>
      <w:t>T/XJBX 0097—2025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BFED5">
    <w:pPr>
      <w:pStyle w:val="62"/>
    </w:pPr>
    <w:r>
      <w:fldChar w:fldCharType="begin"/>
    </w:r>
    <w:r>
      <w:instrText xml:space="preserve"> STYLEREF  标准文件_文件编号 \* MERGEFORMAT </w:instrText>
    </w:r>
    <w:r>
      <w:fldChar w:fldCharType="separate"/>
    </w:r>
    <w:r>
      <w:t>T/XJBX 0097—2025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D4449">
    <w:pPr>
      <w:pStyle w:val="61"/>
    </w:pPr>
    <w:r>
      <w:fldChar w:fldCharType="begin"/>
    </w:r>
    <w:r>
      <w:instrText xml:space="preserve"> STYLEREF  标准文件_文件编号  \* MERGEFORMAT </w:instrText>
    </w:r>
    <w:r>
      <w:fldChar w:fldCharType="separate"/>
    </w:r>
    <w:r>
      <w:t>T/XJBX 0097—2025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Y2szQ2NLcwNDU1NTFW0lEKTi0uzszPAykwrgUAV/plSSwAAAA="/>
  </w:docVars>
  <w:rsids>
    <w:rsidRoot w:val="0011074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0741"/>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A"/>
    <w:rsid w:val="001649EB"/>
    <w:rsid w:val="00164BAF"/>
    <w:rsid w:val="00164FA8"/>
    <w:rsid w:val="00165065"/>
    <w:rsid w:val="00165434"/>
    <w:rsid w:val="0016580B"/>
    <w:rsid w:val="00165824"/>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12A8"/>
    <w:rsid w:val="00512F6E"/>
    <w:rsid w:val="00513038"/>
    <w:rsid w:val="00514174"/>
    <w:rsid w:val="00516088"/>
    <w:rsid w:val="00516B0B"/>
    <w:rsid w:val="005220EC"/>
    <w:rsid w:val="00523F95"/>
    <w:rsid w:val="00524D65"/>
    <w:rsid w:val="00525B16"/>
    <w:rsid w:val="005321AF"/>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5B4C"/>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4198"/>
    <w:rsid w:val="007E7738"/>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611"/>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3CB72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9" Type="http://schemas.openxmlformats.org/officeDocument/2006/relationships/glossaryDocument" Target="glossary/document.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3.jpeg"/><Relationship Id="rId33" Type="http://schemas.openxmlformats.org/officeDocument/2006/relationships/image" Target="media/image2.png"/><Relationship Id="rId32" Type="http://schemas.openxmlformats.org/officeDocument/2006/relationships/image" Target="media/image1.png"/><Relationship Id="rId31" Type="http://schemas.openxmlformats.org/officeDocument/2006/relationships/theme" Target="theme/theme1.xml"/><Relationship Id="rId30" Type="http://schemas.openxmlformats.org/officeDocument/2006/relationships/footer" Target="footer12.xml"/><Relationship Id="rId3" Type="http://schemas.openxmlformats.org/officeDocument/2006/relationships/footnotes" Target="footnotes.xml"/><Relationship Id="rId29" Type="http://schemas.openxmlformats.org/officeDocument/2006/relationships/footer" Target="footer11.xml"/><Relationship Id="rId28" Type="http://schemas.openxmlformats.org/officeDocument/2006/relationships/header" Target="header14.xml"/><Relationship Id="rId27" Type="http://schemas.openxmlformats.org/officeDocument/2006/relationships/header" Target="header13.xml"/><Relationship Id="rId26" Type="http://schemas.openxmlformats.org/officeDocument/2006/relationships/footer" Target="footer10.xml"/><Relationship Id="rId25" Type="http://schemas.openxmlformats.org/officeDocument/2006/relationships/footer" Target="footer9.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footer" Target="footer8.xml"/><Relationship Id="rId21" Type="http://schemas.openxmlformats.org/officeDocument/2006/relationships/footer" Target="footer7.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6.xml"/><Relationship Id="rId17" Type="http://schemas.openxmlformats.org/officeDocument/2006/relationships/footer" Target="footer5.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footer" Target="footer3.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28A614B804142AE8BDBB50A8A79792D"/>
        <w:style w:val=""/>
        <w:category>
          <w:name w:val="常规"/>
          <w:gallery w:val="placeholder"/>
        </w:category>
        <w:types>
          <w:type w:val="bbPlcHdr"/>
        </w:types>
        <w:behaviors>
          <w:behavior w:val="content"/>
        </w:behaviors>
        <w:description w:val=""/>
        <w:guid w:val="{B44CCB2B-4182-4EBE-B7E9-6C909CAF39B0}"/>
      </w:docPartPr>
      <w:docPartBody>
        <w:p w14:paraId="41E6F6A7">
          <w:pPr>
            <w:pStyle w:val="5"/>
          </w:pPr>
          <w:r>
            <w:rPr>
              <w:rStyle w:val="4"/>
              <w:rFonts w:hint="eastAsia"/>
            </w:rPr>
            <w:t>单击或点击此处输入文字。</w:t>
          </w:r>
        </w:p>
      </w:docPartBody>
    </w:docPart>
    <w:docPart>
      <w:docPartPr>
        <w:name w:val="E937BECAD2B34860A158A768CA921C5E"/>
        <w:style w:val=""/>
        <w:category>
          <w:name w:val="常规"/>
          <w:gallery w:val="placeholder"/>
        </w:category>
        <w:types>
          <w:type w:val="bbPlcHdr"/>
        </w:types>
        <w:behaviors>
          <w:behavior w:val="content"/>
        </w:behaviors>
        <w:description w:val=""/>
        <w:guid w:val="{B591C5A6-A077-4DE7-8549-88E3AD26FF7C}"/>
      </w:docPartPr>
      <w:docPartBody>
        <w:p w14:paraId="3A3F3FCA">
          <w:pPr>
            <w:pStyle w:val="6"/>
          </w:pPr>
          <w:r>
            <w:rPr>
              <w:rStyle w:val="4"/>
              <w:rFonts w:hint="eastAsia"/>
            </w:rPr>
            <w:t>选择一项。</w:t>
          </w:r>
        </w:p>
      </w:docPartBody>
    </w:docPart>
    <w:docPart>
      <w:docPartPr>
        <w:name w:val="7D0407537AFA4EBFB7447D8BB1E4BCDB"/>
        <w:style w:val=""/>
        <w:category>
          <w:name w:val="常规"/>
          <w:gallery w:val="placeholder"/>
        </w:category>
        <w:types>
          <w:type w:val="bbPlcHdr"/>
        </w:types>
        <w:behaviors>
          <w:behavior w:val="content"/>
        </w:behaviors>
        <w:description w:val=""/>
        <w:guid w:val="{4FE560AC-77D7-4372-B13C-1BE31CBD38D8}"/>
      </w:docPartPr>
      <w:docPartBody>
        <w:p w14:paraId="04A2007F">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47"/>
    <w:rsid w:val="005C4F05"/>
    <w:rsid w:val="008A4D07"/>
    <w:rsid w:val="009B6447"/>
    <w:rsid w:val="00B66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428A614B804142AE8BDBB50A8A79792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937BECAD2B34860A158A768CA921C5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D0407537AFA4EBFB7447D8BB1E4BCDB"/>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8"/>
    <customShpInfo spid="_x0000_s1027"/>
    <customShpInfo spid="_x0000_s1029"/>
    <customShpInfo spid="_x0000_s1035"/>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18</Pages>
  <Words>7156</Words>
  <Characters>7554</Characters>
  <Lines>63</Lines>
  <Paragraphs>17</Paragraphs>
  <TotalTime>33</TotalTime>
  <ScaleCrop>false</ScaleCrop>
  <LinksUpToDate>false</LinksUpToDate>
  <CharactersWithSpaces>7662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2025-09-26T14:08:00Z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2025-09-28T03:41:08Z</dcterms:modified>
  <dc:title>团体标准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E94974E38AE947DEBC947A1907A5C750_12</vt:lpwstr>
  </property>
</Properties>
</file>