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244DE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B1A6CB7">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6FC99B0B">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67.040"/>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67.040</w:t>
            </w:r>
            <w:r>
              <w:rPr>
                <w:rFonts w:ascii="黑体" w:hAnsi="黑体" w:eastAsia="黑体"/>
                <w:sz w:val="21"/>
                <w:szCs w:val="21"/>
              </w:rPr>
              <w:fldChar w:fldCharType="end"/>
            </w:r>
            <w:bookmarkEnd w:id="0"/>
          </w:p>
        </w:tc>
      </w:tr>
      <w:tr w14:paraId="54C42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C37C91F">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76F0B8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632B83E0">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JBX"/>
                          <w:maxLength w:val="7"/>
                        </w:textInput>
                      </w:ffData>
                    </w:fldChar>
                  </w:r>
                  <w:bookmarkStart w:id="1" w:name="c1"/>
                  <w:r>
                    <w:instrText xml:space="preserve"> FORMTEXT </w:instrText>
                  </w:r>
                  <w:r>
                    <w:fldChar w:fldCharType="separate"/>
                  </w:r>
                  <w:r>
                    <w:t>XJBX</w:t>
                  </w:r>
                  <w:r>
                    <w:fldChar w:fldCharType="end"/>
                  </w:r>
                  <w:bookmarkEnd w:id="1"/>
                </w:p>
              </w:tc>
            </w:tr>
          </w:tbl>
          <w:p w14:paraId="1A19399E">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X 09"/>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X 09</w:t>
            </w:r>
            <w:r>
              <w:rPr>
                <w:rFonts w:ascii="黑体" w:hAnsi="黑体" w:eastAsia="黑体"/>
                <w:sz w:val="21"/>
                <w:szCs w:val="21"/>
              </w:rPr>
              <w:fldChar w:fldCharType="end"/>
            </w:r>
            <w:bookmarkEnd w:id="2"/>
          </w:p>
        </w:tc>
      </w:tr>
    </w:tbl>
    <w:p w14:paraId="055F17D2">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计量标准检测认证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西安市计量标准检测认证协会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2C21905B">
      <w:pPr>
        <w:pStyle w:val="195"/>
        <w:framePr/>
      </w:pPr>
      <w:r>
        <w:t>T/</w:t>
      </w:r>
      <w:r>
        <w:fldChar w:fldCharType="begin">
          <w:ffData>
            <w:name w:val="文字1"/>
            <w:enabled/>
            <w:calcOnExit w:val="0"/>
            <w:textInput>
              <w:default w:val="XJBX"/>
            </w:textInput>
          </w:ffData>
        </w:fldChar>
      </w:r>
      <w:bookmarkStart w:id="5" w:name="文字1"/>
      <w:r>
        <w:instrText xml:space="preserve"> FORMTEXT </w:instrText>
      </w:r>
      <w:r>
        <w:fldChar w:fldCharType="separate"/>
      </w:r>
      <w:r>
        <w:t>XJBX</w:t>
      </w:r>
      <w:r>
        <w:fldChar w:fldCharType="end"/>
      </w:r>
      <w:bookmarkEnd w:id="5"/>
      <w:r>
        <w:t xml:space="preserve"> </w:t>
      </w:r>
      <w:r>
        <w:fldChar w:fldCharType="begin">
          <w:ffData>
            <w:name w:val="NSTD_CODE_F"/>
            <w:enabled/>
            <w:calcOnExit w:val="0"/>
            <w:textInput>
              <w:default w:val="0091"/>
            </w:textInput>
          </w:ffData>
        </w:fldChar>
      </w:r>
      <w:bookmarkStart w:id="6" w:name="NSTD_CODE_F"/>
      <w:r>
        <w:instrText xml:space="preserve"> FORMTEXT </w:instrText>
      </w:r>
      <w:r>
        <w:fldChar w:fldCharType="separate"/>
      </w:r>
      <w:r>
        <w:t>0091</w:t>
      </w:r>
      <w:r>
        <w:fldChar w:fldCharType="end"/>
      </w:r>
      <w:bookmarkEnd w:id="6"/>
      <w:r>
        <w:rPr>
          <w:rFonts w:hAnsi="黑体"/>
        </w:rPr>
        <w:t>—</w:t>
      </w:r>
      <w:r>
        <w:fldChar w:fldCharType="begin">
          <w:ffData>
            <w:name w:val="NSTD_CODE_B"/>
            <w:enabled/>
            <w:calcOnExit w:val="0"/>
            <w:textInput>
              <w:default w:val="2025"/>
            </w:textInput>
          </w:ffData>
        </w:fldChar>
      </w:r>
      <w:bookmarkStart w:id="7" w:name="NSTD_CODE_B"/>
      <w:r>
        <w:instrText xml:space="preserve"> FORMTEXT </w:instrText>
      </w:r>
      <w:r>
        <w:fldChar w:fldCharType="separate"/>
      </w:r>
      <w:r>
        <w:t>2025</w:t>
      </w:r>
      <w:r>
        <w:fldChar w:fldCharType="end"/>
      </w:r>
      <w:bookmarkEnd w:id="7"/>
    </w:p>
    <w:p w14:paraId="1EABCE53">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401702C5">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4DD21762">
      <w:pPr>
        <w:pStyle w:val="50"/>
        <w:framePr w:w="9639" w:h="6976" w:hRule="exact" w:hSpace="0" w:vSpace="0" w:wrap="around" w:hAnchor="page" w:y="6408"/>
        <w:jc w:val="center"/>
        <w:rPr>
          <w:rFonts w:ascii="黑体" w:hAnsi="黑体" w:eastAsia="黑体"/>
          <w:b w:val="0"/>
          <w:bCs w:val="0"/>
          <w:w w:val="100"/>
        </w:rPr>
      </w:pPr>
    </w:p>
    <w:p w14:paraId="481A9195">
      <w:pPr>
        <w:pStyle w:val="197"/>
        <w:framePr w:h="6974" w:hRule="exact" w:wrap="around" w:x="1419" w:anchorLock="1"/>
      </w:pPr>
      <w:r>
        <w:fldChar w:fldCharType="begin">
          <w:ffData>
            <w:name w:val="CSTD_NAME"/>
            <w:enabled/>
            <w:calcOnExit w:val="0"/>
            <w:textInput>
              <w:default w:val="食品包装用可降解材料选用与性能评估指引"/>
            </w:textInput>
          </w:ffData>
        </w:fldChar>
      </w:r>
      <w:bookmarkStart w:id="9" w:name="CSTD_NAME"/>
      <w:r>
        <w:instrText xml:space="preserve"> FORMTEXT </w:instrText>
      </w:r>
      <w:r>
        <w:fldChar w:fldCharType="separate"/>
      </w:r>
      <w:r>
        <w:t>食品包装用可降解材料选用</w:t>
      </w:r>
    </w:p>
    <w:p w14:paraId="0FD7DFF3">
      <w:pPr>
        <w:pStyle w:val="197"/>
        <w:framePr w:h="6974" w:hRule="exact" w:wrap="around" w:x="1419" w:anchorLock="1"/>
      </w:pPr>
      <w:r>
        <w:t>与性能评估指引</w:t>
      </w:r>
      <w:r>
        <w:fldChar w:fldCharType="end"/>
      </w:r>
      <w:bookmarkEnd w:id="9"/>
    </w:p>
    <w:p w14:paraId="67B71C7B">
      <w:pPr>
        <w:framePr w:w="9639" w:h="6974" w:hRule="exact" w:wrap="around" w:vAnchor="page" w:hAnchor="page" w:x="1419" w:y="6408" w:anchorLock="1"/>
        <w:ind w:left="-1418"/>
      </w:pPr>
    </w:p>
    <w:p w14:paraId="76CC8527">
      <w:pPr>
        <w:pStyle w:val="125"/>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Guideline for selection and performance evaluation of degradable materials for food packaging"/>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Guideline for selection and performance evaluation of degradable materials for food packaging</w:t>
      </w:r>
      <w:r>
        <w:rPr>
          <w:rFonts w:ascii="黑体" w:hAnsi="黑体" w:eastAsia="黑体"/>
          <w:szCs w:val="28"/>
        </w:rPr>
        <w:fldChar w:fldCharType="end"/>
      </w:r>
      <w:bookmarkEnd w:id="10"/>
      <w:bookmarkStart w:id="58" w:name="_GoBack"/>
      <w:bookmarkEnd w:id="58"/>
    </w:p>
    <w:p w14:paraId="1F1D2DA5">
      <w:pPr>
        <w:framePr w:w="9639" w:h="6974" w:hRule="exact" w:wrap="around" w:vAnchor="page" w:hAnchor="page" w:x="1419" w:y="6408" w:anchorLock="1"/>
        <w:spacing w:line="760" w:lineRule="exact"/>
        <w:ind w:left="-1418"/>
      </w:pPr>
    </w:p>
    <w:p w14:paraId="3D6CCBD0">
      <w:pPr>
        <w:pStyle w:val="125"/>
        <w:framePr w:w="9639" w:h="6974" w:hRule="exact" w:wrap="around" w:vAnchor="page" w:hAnchor="page" w:x="1419" w:y="6408" w:anchorLock="1"/>
        <w:textAlignment w:val="bottom"/>
        <w:rPr>
          <w:rFonts w:eastAsia="黑体"/>
          <w:szCs w:val="28"/>
        </w:rPr>
      </w:pPr>
    </w:p>
    <w:p w14:paraId="11D3BF3C">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5C1E04">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7FF84249">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213EB9E">
      <w:pPr>
        <w:pStyle w:val="193"/>
        <w:framePr w:wrap="around" w:y="14176"/>
      </w:pPr>
      <w:r>
        <w:rPr>
          <w:rFonts w:ascii="黑体"/>
        </w:rPr>
        <w:fldChar w:fldCharType="begin">
          <w:ffData>
            <w:name w:val="PLSH_DATE_Y"/>
            <w:enabled/>
            <w:calcOnExit w:val="0"/>
            <w:textInput>
              <w:default w:val="2025"/>
              <w:maxLength w:val="4"/>
            </w:textInput>
          </w:ffData>
        </w:fldChar>
      </w:r>
      <w:bookmarkStart w:id="14" w:name="PLSH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1430B68">
      <w:pPr>
        <w:pStyle w:val="194"/>
        <w:framePr w:wrap="around" w:y="14176"/>
      </w:pPr>
      <w:r>
        <w:rPr>
          <w:rFonts w:ascii="黑体"/>
        </w:rPr>
        <w:fldChar w:fldCharType="begin">
          <w:ffData>
            <w:name w:val="CROT_DATE_Y"/>
            <w:enabled/>
            <w:calcOnExit w:val="0"/>
            <w:textInput>
              <w:default w:val="2025"/>
              <w:maxLength w:val="4"/>
            </w:textInput>
          </w:ffData>
        </w:fldChar>
      </w:r>
      <w:bookmarkStart w:id="17" w:name="CROT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041943C4">
      <w:pPr>
        <w:pStyle w:val="151"/>
        <w:framePr w:h="584" w:hRule="exact" w:hSpace="181" w:vSpace="181" w:wrap="around" w:y="14800"/>
        <w:rPr>
          <w:rFonts w:hAnsi="黑体"/>
        </w:rPr>
      </w:pPr>
      <w:r>
        <w:rPr>
          <w:rFonts w:hAnsi="黑体"/>
          <w:w w:val="100"/>
          <w:sz w:val="28"/>
        </w:rPr>
        <w:fldChar w:fldCharType="begin">
          <w:ffData>
            <w:name w:val="fm"/>
            <w:enabled/>
            <w:calcOnExit w:val="0"/>
            <w:textInput>
              <w:default w:val="西安市计量标准检测认证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西安市计量标准检测认证协会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58496568">
      <w:pPr>
        <w:rPr>
          <w:rFonts w:ascii="宋体" w:hAnsi="宋体"/>
          <w:sz w:val="28"/>
          <w:szCs w:val="28"/>
        </w:rPr>
        <w:sectPr>
          <w:headerReference r:id="rId7" w:type="first"/>
          <w:footerReference r:id="rId9" w:type="first"/>
          <w:headerReference r:id="rId5" w:type="default"/>
          <w:headerReference r:id="rId6" w:type="even"/>
          <w:footerReference r:id="rId8"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1312;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7066D61F">
      <w:pPr>
        <w:pStyle w:val="91"/>
        <w:spacing w:after="360"/>
      </w:pPr>
      <w:bookmarkStart w:id="21" w:name="BookMark1"/>
      <w:r>
        <w:rPr>
          <w:rFonts w:hint="eastAsia"/>
          <w:spacing w:val="320"/>
        </w:rPr>
        <w:t>目</w:t>
      </w:r>
      <w:r>
        <w:rPr>
          <w:rFonts w:hint="eastAsia"/>
        </w:rPr>
        <w:t>次</w:t>
      </w:r>
    </w:p>
    <w:p w14:paraId="795DC02F">
      <w:pPr>
        <w:pStyle w:val="19"/>
        <w:tabs>
          <w:tab w:val="right" w:leader="dot" w:pos="9344"/>
        </w:tabs>
        <w:rPr>
          <w:rFonts w:asciiTheme="minorHAnsi" w:hAnsiTheme="minorHAnsi" w:eastAsiaTheme="minorEastAsia" w:cstheme="minorBidi"/>
          <w:szCs w:val="22"/>
        </w:rPr>
      </w:pPr>
      <w:r>
        <w:fldChar w:fldCharType="begin"/>
      </w:r>
      <w:r>
        <w:instrText xml:space="preserve"> TOC \o "1-1" \h </w:instrText>
      </w:r>
      <w:r>
        <w:fldChar w:fldCharType="separate"/>
      </w:r>
      <w:r>
        <w:fldChar w:fldCharType="begin"/>
      </w:r>
      <w:r>
        <w:instrText xml:space="preserve"> HYPERLINK \l "_Toc209891112" </w:instrText>
      </w:r>
      <w:r>
        <w:fldChar w:fldCharType="separate"/>
      </w:r>
      <w:r>
        <w:rPr>
          <w:rStyle w:val="32"/>
        </w:rPr>
        <w:t>前言</w:t>
      </w:r>
      <w:r>
        <w:tab/>
      </w:r>
      <w:r>
        <w:fldChar w:fldCharType="begin"/>
      </w:r>
      <w:r>
        <w:instrText xml:space="preserve"> PAGEREF _Toc209891112 \h </w:instrText>
      </w:r>
      <w:r>
        <w:fldChar w:fldCharType="separate"/>
      </w:r>
      <w:r>
        <w:t>III</w:t>
      </w:r>
      <w:r>
        <w:fldChar w:fldCharType="end"/>
      </w:r>
      <w:r>
        <w:fldChar w:fldCharType="end"/>
      </w:r>
    </w:p>
    <w:p w14:paraId="1CA2BE8B">
      <w:pPr>
        <w:pStyle w:val="19"/>
        <w:tabs>
          <w:tab w:val="right" w:leader="dot" w:pos="9344"/>
        </w:tabs>
        <w:rPr>
          <w:rFonts w:asciiTheme="minorHAnsi" w:hAnsiTheme="minorHAnsi" w:eastAsiaTheme="minorEastAsia" w:cstheme="minorBidi"/>
          <w:szCs w:val="22"/>
        </w:rPr>
      </w:pPr>
      <w:r>
        <w:fldChar w:fldCharType="begin"/>
      </w:r>
      <w:r>
        <w:instrText xml:space="preserve"> HYPERLINK \l "_Toc209891113" </w:instrText>
      </w:r>
      <w:r>
        <w:fldChar w:fldCharType="separate"/>
      </w:r>
      <w:r>
        <w:rPr>
          <w:rStyle w:val="32"/>
        </w:rPr>
        <w:t>引言</w:t>
      </w:r>
      <w:r>
        <w:tab/>
      </w:r>
      <w:r>
        <w:fldChar w:fldCharType="begin"/>
      </w:r>
      <w:r>
        <w:instrText xml:space="preserve"> PAGEREF _Toc209891113 \h </w:instrText>
      </w:r>
      <w:r>
        <w:fldChar w:fldCharType="separate"/>
      </w:r>
      <w:r>
        <w:t>V</w:t>
      </w:r>
      <w:r>
        <w:fldChar w:fldCharType="end"/>
      </w:r>
      <w:r>
        <w:fldChar w:fldCharType="end"/>
      </w:r>
    </w:p>
    <w:p w14:paraId="2A748A87">
      <w:pPr>
        <w:pStyle w:val="19"/>
        <w:tabs>
          <w:tab w:val="right" w:leader="dot" w:pos="9344"/>
        </w:tabs>
        <w:rPr>
          <w:rFonts w:asciiTheme="minorHAnsi" w:hAnsiTheme="minorHAnsi" w:eastAsiaTheme="minorEastAsia" w:cstheme="minorBidi"/>
          <w:szCs w:val="22"/>
        </w:rPr>
      </w:pPr>
      <w:r>
        <w:fldChar w:fldCharType="begin"/>
      </w:r>
      <w:r>
        <w:instrText xml:space="preserve"> HYPERLINK \l "_Toc209891114" </w:instrText>
      </w:r>
      <w:r>
        <w:fldChar w:fldCharType="separate"/>
      </w:r>
      <w:r>
        <w:rPr>
          <w:rStyle w:val="32"/>
        </w:rPr>
        <w:t>1  范围</w:t>
      </w:r>
      <w:r>
        <w:tab/>
      </w:r>
      <w:r>
        <w:fldChar w:fldCharType="begin"/>
      </w:r>
      <w:r>
        <w:instrText xml:space="preserve"> PAGEREF _Toc209891114 \h </w:instrText>
      </w:r>
      <w:r>
        <w:fldChar w:fldCharType="separate"/>
      </w:r>
      <w:r>
        <w:t>1</w:t>
      </w:r>
      <w:r>
        <w:fldChar w:fldCharType="end"/>
      </w:r>
      <w:r>
        <w:fldChar w:fldCharType="end"/>
      </w:r>
    </w:p>
    <w:p w14:paraId="53F32114">
      <w:pPr>
        <w:pStyle w:val="19"/>
        <w:tabs>
          <w:tab w:val="right" w:leader="dot" w:pos="9344"/>
        </w:tabs>
        <w:rPr>
          <w:rFonts w:asciiTheme="minorHAnsi" w:hAnsiTheme="minorHAnsi" w:eastAsiaTheme="minorEastAsia" w:cstheme="minorBidi"/>
          <w:szCs w:val="22"/>
        </w:rPr>
      </w:pPr>
      <w:r>
        <w:fldChar w:fldCharType="begin"/>
      </w:r>
      <w:r>
        <w:instrText xml:space="preserve"> HYPERLINK \l "_Toc209891115" </w:instrText>
      </w:r>
      <w:r>
        <w:fldChar w:fldCharType="separate"/>
      </w:r>
      <w:r>
        <w:rPr>
          <w:rStyle w:val="32"/>
        </w:rPr>
        <w:t>2  规范性引用文件</w:t>
      </w:r>
      <w:r>
        <w:tab/>
      </w:r>
      <w:r>
        <w:fldChar w:fldCharType="begin"/>
      </w:r>
      <w:r>
        <w:instrText xml:space="preserve"> PAGEREF _Toc209891115 \h </w:instrText>
      </w:r>
      <w:r>
        <w:fldChar w:fldCharType="separate"/>
      </w:r>
      <w:r>
        <w:t>1</w:t>
      </w:r>
      <w:r>
        <w:fldChar w:fldCharType="end"/>
      </w:r>
      <w:r>
        <w:fldChar w:fldCharType="end"/>
      </w:r>
    </w:p>
    <w:p w14:paraId="3148D369">
      <w:pPr>
        <w:pStyle w:val="19"/>
        <w:tabs>
          <w:tab w:val="right" w:leader="dot" w:pos="9344"/>
        </w:tabs>
        <w:rPr>
          <w:rFonts w:asciiTheme="minorHAnsi" w:hAnsiTheme="minorHAnsi" w:eastAsiaTheme="minorEastAsia" w:cstheme="minorBidi"/>
          <w:szCs w:val="22"/>
        </w:rPr>
      </w:pPr>
      <w:r>
        <w:fldChar w:fldCharType="begin"/>
      </w:r>
      <w:r>
        <w:instrText xml:space="preserve"> HYPERLINK \l "_Toc209891116" </w:instrText>
      </w:r>
      <w:r>
        <w:fldChar w:fldCharType="separate"/>
      </w:r>
      <w:r>
        <w:rPr>
          <w:rStyle w:val="32"/>
        </w:rPr>
        <w:t>3  术语和定义</w:t>
      </w:r>
      <w:r>
        <w:tab/>
      </w:r>
      <w:r>
        <w:fldChar w:fldCharType="begin"/>
      </w:r>
      <w:r>
        <w:instrText xml:space="preserve"> PAGEREF _Toc209891116 \h </w:instrText>
      </w:r>
      <w:r>
        <w:fldChar w:fldCharType="separate"/>
      </w:r>
      <w:r>
        <w:t>1</w:t>
      </w:r>
      <w:r>
        <w:fldChar w:fldCharType="end"/>
      </w:r>
      <w:r>
        <w:fldChar w:fldCharType="end"/>
      </w:r>
    </w:p>
    <w:p w14:paraId="51E32023">
      <w:pPr>
        <w:pStyle w:val="19"/>
        <w:tabs>
          <w:tab w:val="right" w:leader="dot" w:pos="9344"/>
        </w:tabs>
        <w:rPr>
          <w:rFonts w:asciiTheme="minorHAnsi" w:hAnsiTheme="minorHAnsi" w:eastAsiaTheme="minorEastAsia" w:cstheme="minorBidi"/>
          <w:szCs w:val="22"/>
        </w:rPr>
      </w:pPr>
      <w:r>
        <w:fldChar w:fldCharType="begin"/>
      </w:r>
      <w:r>
        <w:instrText xml:space="preserve"> HYPERLINK \l "_Toc209891117" </w:instrText>
      </w:r>
      <w:r>
        <w:fldChar w:fldCharType="separate"/>
      </w:r>
      <w:r>
        <w:rPr>
          <w:rStyle w:val="32"/>
        </w:rPr>
        <w:t>4  总体原则</w:t>
      </w:r>
      <w:r>
        <w:tab/>
      </w:r>
      <w:r>
        <w:fldChar w:fldCharType="begin"/>
      </w:r>
      <w:r>
        <w:instrText xml:space="preserve"> PAGEREF _Toc209891117 \h </w:instrText>
      </w:r>
      <w:r>
        <w:fldChar w:fldCharType="separate"/>
      </w:r>
      <w:r>
        <w:t>2</w:t>
      </w:r>
      <w:r>
        <w:fldChar w:fldCharType="end"/>
      </w:r>
      <w:r>
        <w:fldChar w:fldCharType="end"/>
      </w:r>
    </w:p>
    <w:p w14:paraId="1154B303">
      <w:pPr>
        <w:pStyle w:val="19"/>
        <w:tabs>
          <w:tab w:val="right" w:leader="dot" w:pos="9344"/>
        </w:tabs>
        <w:rPr>
          <w:rFonts w:asciiTheme="minorHAnsi" w:hAnsiTheme="minorHAnsi" w:eastAsiaTheme="minorEastAsia" w:cstheme="minorBidi"/>
          <w:szCs w:val="22"/>
        </w:rPr>
      </w:pPr>
      <w:r>
        <w:fldChar w:fldCharType="begin"/>
      </w:r>
      <w:r>
        <w:instrText xml:space="preserve"> HYPERLINK \l "_Toc209891118" </w:instrText>
      </w:r>
      <w:r>
        <w:fldChar w:fldCharType="separate"/>
      </w:r>
      <w:r>
        <w:rPr>
          <w:rStyle w:val="32"/>
        </w:rPr>
        <w:t>5  材料选用原则</w:t>
      </w:r>
      <w:r>
        <w:tab/>
      </w:r>
      <w:r>
        <w:fldChar w:fldCharType="begin"/>
      </w:r>
      <w:r>
        <w:instrText xml:space="preserve"> PAGEREF _Toc209891118 \h </w:instrText>
      </w:r>
      <w:r>
        <w:fldChar w:fldCharType="separate"/>
      </w:r>
      <w:r>
        <w:t>3</w:t>
      </w:r>
      <w:r>
        <w:fldChar w:fldCharType="end"/>
      </w:r>
      <w:r>
        <w:fldChar w:fldCharType="end"/>
      </w:r>
    </w:p>
    <w:p w14:paraId="79643AD3">
      <w:pPr>
        <w:pStyle w:val="19"/>
        <w:tabs>
          <w:tab w:val="right" w:leader="dot" w:pos="9344"/>
        </w:tabs>
        <w:rPr>
          <w:rFonts w:asciiTheme="minorHAnsi" w:hAnsiTheme="minorHAnsi" w:eastAsiaTheme="minorEastAsia" w:cstheme="minorBidi"/>
          <w:szCs w:val="22"/>
        </w:rPr>
      </w:pPr>
      <w:r>
        <w:fldChar w:fldCharType="begin"/>
      </w:r>
      <w:r>
        <w:instrText xml:space="preserve"> HYPERLINK \l "_Toc209891119" </w:instrText>
      </w:r>
      <w:r>
        <w:fldChar w:fldCharType="separate"/>
      </w:r>
      <w:r>
        <w:rPr>
          <w:rStyle w:val="32"/>
        </w:rPr>
        <w:t>6  材料选用分类</w:t>
      </w:r>
      <w:r>
        <w:tab/>
      </w:r>
      <w:r>
        <w:fldChar w:fldCharType="begin"/>
      </w:r>
      <w:r>
        <w:instrText xml:space="preserve"> PAGEREF _Toc209891119 \h </w:instrText>
      </w:r>
      <w:r>
        <w:fldChar w:fldCharType="separate"/>
      </w:r>
      <w:r>
        <w:t>4</w:t>
      </w:r>
      <w:r>
        <w:fldChar w:fldCharType="end"/>
      </w:r>
      <w:r>
        <w:fldChar w:fldCharType="end"/>
      </w:r>
    </w:p>
    <w:p w14:paraId="1531AE76">
      <w:pPr>
        <w:pStyle w:val="19"/>
        <w:tabs>
          <w:tab w:val="right" w:leader="dot" w:pos="9344"/>
        </w:tabs>
        <w:rPr>
          <w:rFonts w:asciiTheme="minorHAnsi" w:hAnsiTheme="minorHAnsi" w:eastAsiaTheme="minorEastAsia" w:cstheme="minorBidi"/>
          <w:szCs w:val="22"/>
        </w:rPr>
      </w:pPr>
      <w:r>
        <w:fldChar w:fldCharType="begin"/>
      </w:r>
      <w:r>
        <w:instrText xml:space="preserve"> HYPERLINK \l "_Toc209891120" </w:instrText>
      </w:r>
      <w:r>
        <w:fldChar w:fldCharType="separate"/>
      </w:r>
      <w:r>
        <w:rPr>
          <w:rStyle w:val="32"/>
        </w:rPr>
        <w:t>7  材料性能评估方法</w:t>
      </w:r>
      <w:r>
        <w:tab/>
      </w:r>
      <w:r>
        <w:fldChar w:fldCharType="begin"/>
      </w:r>
      <w:r>
        <w:instrText xml:space="preserve"> PAGEREF _Toc209891120 \h </w:instrText>
      </w:r>
      <w:r>
        <w:fldChar w:fldCharType="separate"/>
      </w:r>
      <w:r>
        <w:t>4</w:t>
      </w:r>
      <w:r>
        <w:fldChar w:fldCharType="end"/>
      </w:r>
      <w:r>
        <w:fldChar w:fldCharType="end"/>
      </w:r>
    </w:p>
    <w:p w14:paraId="2DFE9772">
      <w:pPr>
        <w:pStyle w:val="19"/>
        <w:tabs>
          <w:tab w:val="right" w:leader="dot" w:pos="9344"/>
        </w:tabs>
        <w:rPr>
          <w:rFonts w:asciiTheme="minorHAnsi" w:hAnsiTheme="minorHAnsi" w:eastAsiaTheme="minorEastAsia" w:cstheme="minorBidi"/>
          <w:szCs w:val="22"/>
        </w:rPr>
      </w:pPr>
      <w:r>
        <w:fldChar w:fldCharType="begin"/>
      </w:r>
      <w:r>
        <w:instrText xml:space="preserve"> HYPERLINK \l "_Toc209891121" </w:instrText>
      </w:r>
      <w:r>
        <w:fldChar w:fldCharType="separate"/>
      </w:r>
      <w:r>
        <w:rPr>
          <w:rStyle w:val="32"/>
        </w:rPr>
        <w:t>8  材料选用决策流程</w:t>
      </w:r>
      <w:r>
        <w:tab/>
      </w:r>
      <w:r>
        <w:fldChar w:fldCharType="begin"/>
      </w:r>
      <w:r>
        <w:instrText xml:space="preserve"> PAGEREF _Toc209891121 \h </w:instrText>
      </w:r>
      <w:r>
        <w:fldChar w:fldCharType="separate"/>
      </w:r>
      <w:r>
        <w:t>5</w:t>
      </w:r>
      <w:r>
        <w:fldChar w:fldCharType="end"/>
      </w:r>
      <w:r>
        <w:fldChar w:fldCharType="end"/>
      </w:r>
    </w:p>
    <w:p w14:paraId="1B04BB32">
      <w:pPr>
        <w:pStyle w:val="19"/>
        <w:tabs>
          <w:tab w:val="right" w:leader="dot" w:pos="9344"/>
        </w:tabs>
        <w:rPr>
          <w:rFonts w:asciiTheme="minorHAnsi" w:hAnsiTheme="minorHAnsi" w:eastAsiaTheme="minorEastAsia" w:cstheme="minorBidi"/>
          <w:szCs w:val="22"/>
        </w:rPr>
      </w:pPr>
      <w:r>
        <w:fldChar w:fldCharType="begin"/>
      </w:r>
      <w:r>
        <w:instrText xml:space="preserve"> HYPERLINK \l "_Toc209891122" </w:instrText>
      </w:r>
      <w:r>
        <w:fldChar w:fldCharType="separate"/>
      </w:r>
      <w:r>
        <w:rPr>
          <w:rStyle w:val="32"/>
        </w:rPr>
        <w:t>9  材料应用指导</w:t>
      </w:r>
      <w:r>
        <w:tab/>
      </w:r>
      <w:r>
        <w:fldChar w:fldCharType="begin"/>
      </w:r>
      <w:r>
        <w:instrText xml:space="preserve"> PAGEREF _Toc209891122 \h </w:instrText>
      </w:r>
      <w:r>
        <w:fldChar w:fldCharType="separate"/>
      </w:r>
      <w:r>
        <w:t>6</w:t>
      </w:r>
      <w:r>
        <w:fldChar w:fldCharType="end"/>
      </w:r>
      <w:r>
        <w:fldChar w:fldCharType="end"/>
      </w:r>
    </w:p>
    <w:p w14:paraId="3FFC1C6B">
      <w:pPr>
        <w:pStyle w:val="91"/>
        <w:spacing w:after="360"/>
        <w:sectPr>
          <w:headerReference r:id="rId12" w:type="first"/>
          <w:headerReference r:id="rId10" w:type="default"/>
          <w:footerReference r:id="rId13" w:type="default"/>
          <w:headerReference r:id="rId11" w:type="even"/>
          <w:footerReference r:id="rId14"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355CEC1D">
      <w:pPr>
        <w:pStyle w:val="89"/>
        <w:spacing w:before="900" w:after="360"/>
      </w:pPr>
      <w:bookmarkStart w:id="22" w:name="_Toc209891112"/>
      <w:bookmarkStart w:id="23" w:name="BookMark2"/>
      <w:r>
        <w:rPr>
          <w:spacing w:val="320"/>
        </w:rPr>
        <w:t>前</w:t>
      </w:r>
      <w:r>
        <w:t>言</w:t>
      </w:r>
      <w:bookmarkEnd w:id="22"/>
    </w:p>
    <w:p w14:paraId="35AC2FAA">
      <w:pPr>
        <w:pStyle w:val="56"/>
        <w:spacing w:line="360" w:lineRule="auto"/>
        <w:ind w:firstLine="420"/>
      </w:pPr>
      <w:r>
        <w:rPr>
          <w:rFonts w:hint="eastAsia"/>
        </w:rPr>
        <w:t>本文件按照GB/T 1.1—2020《标准化工作导则  第1部分：标准化文件的结构和起草规则》的规定起草。</w:t>
      </w:r>
    </w:p>
    <w:p w14:paraId="6BB17D8D">
      <w:pPr>
        <w:pStyle w:val="56"/>
        <w:spacing w:line="360" w:lineRule="auto"/>
        <w:ind w:firstLine="420"/>
      </w:pPr>
      <w:r>
        <w:rPr>
          <w:rFonts w:hint="eastAsia"/>
        </w:rPr>
        <w:t>请注意本文件的某些内容可能涉及专利。本文件的发布机构不承担识别专利的责任。</w:t>
      </w:r>
    </w:p>
    <w:p w14:paraId="79EFE827">
      <w:pPr>
        <w:pStyle w:val="56"/>
        <w:spacing w:line="360" w:lineRule="auto"/>
        <w:ind w:firstLine="420"/>
      </w:pPr>
      <w:r>
        <w:rPr>
          <w:rFonts w:hint="eastAsia"/>
        </w:rPr>
        <w:t>本文件由西安市计量标准检测认证协会提出并归口。</w:t>
      </w:r>
    </w:p>
    <w:p w14:paraId="7718CD44">
      <w:pPr>
        <w:pStyle w:val="56"/>
        <w:spacing w:line="360" w:lineRule="auto"/>
        <w:ind w:firstLine="420"/>
      </w:pPr>
      <w:r>
        <w:rPr>
          <w:rFonts w:hint="eastAsia"/>
        </w:rPr>
        <w:t>本文件起草单位：吉林省产品质量监督检验院。</w:t>
      </w:r>
    </w:p>
    <w:p w14:paraId="42BC1C2C">
      <w:pPr>
        <w:pStyle w:val="56"/>
        <w:spacing w:line="360" w:lineRule="auto"/>
        <w:ind w:firstLine="420"/>
      </w:pPr>
      <w:r>
        <w:rPr>
          <w:rFonts w:hint="eastAsia"/>
        </w:rPr>
        <w:t>本文件主要起草人：尹峙天。</w:t>
      </w:r>
    </w:p>
    <w:p w14:paraId="4F59AFA1">
      <w:pPr>
        <w:pStyle w:val="56"/>
        <w:ind w:firstLine="420"/>
      </w:pPr>
    </w:p>
    <w:p w14:paraId="43B1A6EE">
      <w:pPr>
        <w:pStyle w:val="56"/>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start="3"/>
          <w:cols w:space="425" w:num="1"/>
          <w:formProt w:val="0"/>
          <w:docGrid w:linePitch="312" w:charSpace="0"/>
        </w:sectPr>
      </w:pPr>
    </w:p>
    <w:bookmarkEnd w:id="23"/>
    <w:p w14:paraId="4104DD8B">
      <w:pPr>
        <w:pStyle w:val="89"/>
        <w:spacing w:after="360"/>
      </w:pPr>
      <w:bookmarkStart w:id="24" w:name="_Toc209891113"/>
      <w:bookmarkStart w:id="25" w:name="BookMark3"/>
      <w:r>
        <w:rPr>
          <w:spacing w:val="320"/>
        </w:rPr>
        <w:t>引</w:t>
      </w:r>
      <w:r>
        <w:t>言</w:t>
      </w:r>
      <w:bookmarkEnd w:id="24"/>
    </w:p>
    <w:p w14:paraId="035200F3">
      <w:pPr>
        <w:pStyle w:val="56"/>
        <w:spacing w:line="360" w:lineRule="auto"/>
        <w:ind w:firstLine="420"/>
      </w:pPr>
      <w:r>
        <w:rPr>
          <w:rFonts w:hint="eastAsia"/>
        </w:rPr>
        <w:t>随着环境保护和可持续发展理念的不断推广，食品包装行业对可降解材料的需求日益增加。传统塑料包装材料难以在自然环境中降解，对环境造成长期污染，同时增加了垃圾处理压力。可降解包装材料能够在特定条件下通过生物、化学或光解等方式降解为水、二氧化碳及其他低分子物质，从而降低环境负担，实现资源循环利用。</w:t>
      </w:r>
    </w:p>
    <w:p w14:paraId="6D1B767D">
      <w:pPr>
        <w:pStyle w:val="56"/>
        <w:spacing w:line="360" w:lineRule="auto"/>
        <w:ind w:firstLine="420"/>
      </w:pPr>
      <w:r>
        <w:rPr>
          <w:rFonts w:hint="eastAsia"/>
        </w:rPr>
        <w:t>食品包装材料在保障食品安全、延长保质期、方便储运等方面发挥着重要作用。随着可降解材料的应用，必须同时兼顾材料的安全性、机械性能、阻隔性能及适用性。不同类型的可降解材料在性能、降解条件和适用范围方面存在差异，如果选择不当，可能影响食品安全、使用性能及储运效果。</w:t>
      </w:r>
    </w:p>
    <w:p w14:paraId="42EAE8EF">
      <w:pPr>
        <w:pStyle w:val="56"/>
        <w:spacing w:line="360" w:lineRule="auto"/>
        <w:ind w:firstLine="420"/>
      </w:pPr>
      <w:r>
        <w:rPr>
          <w:rFonts w:hint="eastAsia"/>
        </w:rPr>
        <w:t>本文件结合国内外可降解包装材料的研究进展和应用实践，提出食品包装用可降解材料的选用原则、性能评估方法及技术要求，旨在为生产企业、材料供应商、检测机构及监管部门提供科学、规范、可操作的指导。通过标准化的选用与评估方法，能够实现材料性能、食品安全和环境保护的平衡，推动食品包装行业向绿色、低碳和可持续方向发展。</w:t>
      </w:r>
    </w:p>
    <w:p w14:paraId="50D9A392">
      <w:pPr>
        <w:pStyle w:val="56"/>
        <w:ind w:firstLine="420"/>
      </w:pPr>
    </w:p>
    <w:p w14:paraId="1F60BA12">
      <w:pPr>
        <w:pStyle w:val="56"/>
        <w:ind w:firstLine="420"/>
        <w:sectPr>
          <w:headerReference r:id="rId19" w:type="default"/>
          <w:footerReference r:id="rId21" w:type="default"/>
          <w:headerReference r:id="rId20" w:type="even"/>
          <w:footerReference r:id="rId22" w:type="even"/>
          <w:pgSz w:w="11906" w:h="16838"/>
          <w:pgMar w:top="1928" w:right="1134" w:bottom="1134" w:left="1134" w:header="1418" w:footer="1134" w:gutter="284"/>
          <w:pgNumType w:fmt="upperRoman" w:start="5"/>
          <w:cols w:space="425" w:num="1"/>
          <w:formProt w:val="0"/>
          <w:docGrid w:linePitch="312" w:charSpace="0"/>
        </w:sectPr>
      </w:pPr>
    </w:p>
    <w:bookmarkEnd w:id="25"/>
    <w:p w14:paraId="12C43CC1">
      <w:pPr>
        <w:spacing w:line="20" w:lineRule="exact"/>
        <w:jc w:val="center"/>
        <w:rPr>
          <w:rFonts w:ascii="黑体" w:hAnsi="黑体" w:eastAsia="黑体"/>
          <w:sz w:val="32"/>
          <w:szCs w:val="32"/>
        </w:rPr>
      </w:pPr>
      <w:bookmarkStart w:id="26" w:name="BookMark4"/>
    </w:p>
    <w:p w14:paraId="0D5B76E8">
      <w:pPr>
        <w:spacing w:line="20" w:lineRule="exact"/>
        <w:jc w:val="center"/>
        <w:rPr>
          <w:rFonts w:ascii="黑体" w:hAnsi="黑体" w:eastAsia="黑体"/>
          <w:sz w:val="32"/>
          <w:szCs w:val="32"/>
        </w:rPr>
      </w:pPr>
    </w:p>
    <w:sdt>
      <w:sdtPr>
        <w:tag w:val="NEW_STAND_NAME"/>
        <w:id w:val="595910757"/>
        <w:lock w:val="sdtLocked"/>
        <w:placeholder>
          <w:docPart w:val="428A614B804142AE8BDBB50A8A79792D"/>
        </w:placeholder>
      </w:sdtPr>
      <w:sdtContent>
        <w:p w14:paraId="356B7D83">
          <w:pPr>
            <w:pStyle w:val="177"/>
            <w:spacing w:after="0"/>
          </w:pPr>
          <w:bookmarkStart w:id="27" w:name="NEW_STAND_NAME"/>
          <w:r>
            <w:rPr>
              <w:rFonts w:hint="eastAsia"/>
            </w:rPr>
            <w:t>食品包装用可降解材料选用</w:t>
          </w:r>
        </w:p>
        <w:p w14:paraId="08ED5E01">
          <w:pPr>
            <w:pStyle w:val="177"/>
            <w:spacing w:before="0"/>
          </w:pPr>
          <w:r>
            <w:rPr>
              <w:rFonts w:hint="eastAsia"/>
            </w:rPr>
            <w:t>与性能评估指引</w:t>
          </w:r>
        </w:p>
      </w:sdtContent>
    </w:sdt>
    <w:bookmarkEnd w:id="27"/>
    <w:p w14:paraId="153BF6ED">
      <w:pPr>
        <w:pStyle w:val="104"/>
        <w:spacing w:before="240" w:after="240" w:line="360" w:lineRule="auto"/>
      </w:pPr>
      <w:bookmarkStart w:id="28" w:name="_Toc26986530"/>
      <w:bookmarkStart w:id="29" w:name="_Toc97192964"/>
      <w:bookmarkStart w:id="30" w:name="_Toc26648465"/>
      <w:bookmarkStart w:id="31" w:name="_Toc26718930"/>
      <w:bookmarkStart w:id="32" w:name="_Toc26986771"/>
      <w:bookmarkStart w:id="33" w:name="_Toc17233325"/>
      <w:bookmarkStart w:id="34" w:name="_Toc24884218"/>
      <w:bookmarkStart w:id="35" w:name="_Toc24884211"/>
      <w:bookmarkStart w:id="36" w:name="_Toc17233333"/>
      <w:bookmarkStart w:id="37" w:name="_Toc209891114"/>
      <w:r>
        <w:rPr>
          <w:rFonts w:hint="eastAsia"/>
        </w:rPr>
        <w:t>范围</w:t>
      </w:r>
      <w:bookmarkEnd w:id="28"/>
      <w:bookmarkEnd w:id="29"/>
      <w:bookmarkEnd w:id="30"/>
      <w:bookmarkEnd w:id="31"/>
      <w:bookmarkEnd w:id="32"/>
      <w:bookmarkEnd w:id="33"/>
      <w:bookmarkEnd w:id="34"/>
      <w:bookmarkEnd w:id="35"/>
      <w:bookmarkEnd w:id="36"/>
      <w:bookmarkEnd w:id="37"/>
    </w:p>
    <w:p w14:paraId="16DD4611">
      <w:pPr>
        <w:pStyle w:val="56"/>
        <w:spacing w:line="360" w:lineRule="auto"/>
        <w:ind w:firstLine="420"/>
      </w:pPr>
      <w:bookmarkStart w:id="38" w:name="_Toc17233326"/>
      <w:bookmarkStart w:id="39" w:name="_Toc26648466"/>
      <w:bookmarkStart w:id="40" w:name="_Toc24884212"/>
      <w:bookmarkStart w:id="41" w:name="_Toc17233334"/>
      <w:bookmarkStart w:id="42" w:name="_Toc24884219"/>
      <w:r>
        <w:rPr>
          <w:rFonts w:hint="eastAsia"/>
        </w:rPr>
        <w:t>本文件规定了食品包装用可降解材料的材料选用原则、材料选用分类、材料性能评估方法、材料选用决策流程及材料应用指导等内容，明确了材料在安全性、力学性能、阻隔性能、加工适应性及降解性能等方面的评估指标和操作规范。</w:t>
      </w:r>
    </w:p>
    <w:p w14:paraId="387C9C2B">
      <w:pPr>
        <w:pStyle w:val="56"/>
        <w:spacing w:line="360" w:lineRule="auto"/>
        <w:ind w:firstLine="420"/>
      </w:pPr>
      <w:r>
        <w:rPr>
          <w:rFonts w:hint="eastAsia"/>
        </w:rPr>
        <w:t>本文件适用于食品包装企业、材料供应商及检测机构在可降解包装材料选用与性能评估过程中，为保证材料安全性、使用性能和环境可降解性提供技术指导和操作参考。</w:t>
      </w:r>
    </w:p>
    <w:p w14:paraId="1F7FEEB2">
      <w:pPr>
        <w:pStyle w:val="104"/>
        <w:spacing w:before="240" w:after="240" w:line="360" w:lineRule="auto"/>
      </w:pPr>
      <w:bookmarkStart w:id="43" w:name="_Toc26718931"/>
      <w:bookmarkStart w:id="44" w:name="_Toc26986531"/>
      <w:bookmarkStart w:id="45" w:name="_Toc209891115"/>
      <w:bookmarkStart w:id="46" w:name="_Toc26986772"/>
      <w:bookmarkStart w:id="47" w:name="_Toc97192965"/>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E937BECAD2B34860A158A768CA921C5E"/>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09F4EAAC">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8CA664D">
      <w:pPr>
        <w:pStyle w:val="56"/>
        <w:spacing w:line="360" w:lineRule="auto"/>
        <w:ind w:firstLine="420"/>
      </w:pPr>
      <w:r>
        <w:rPr>
          <w:rFonts w:hint="eastAsia"/>
        </w:rPr>
        <w:t>GB 4806.1—2016</w:t>
      </w:r>
      <w:r>
        <w:t xml:space="preserve"> </w:t>
      </w:r>
      <w:r>
        <w:rPr>
          <w:rFonts w:hint="eastAsia"/>
        </w:rPr>
        <w:t>食品安全国家标准  食品接触材料及制品通用安全要求</w:t>
      </w:r>
    </w:p>
    <w:p w14:paraId="302B67A6">
      <w:pPr>
        <w:pStyle w:val="56"/>
        <w:spacing w:line="360" w:lineRule="auto"/>
        <w:ind w:firstLine="420"/>
      </w:pPr>
      <w:r>
        <w:t>GB 4806.7</w:t>
      </w:r>
      <w:r>
        <w:rPr>
          <w:rFonts w:hint="eastAsia"/>
        </w:rPr>
        <w:t>—</w:t>
      </w:r>
      <w:r>
        <w:t xml:space="preserve">2023 </w:t>
      </w:r>
      <w:r>
        <w:rPr>
          <w:rFonts w:hint="eastAsia"/>
        </w:rPr>
        <w:t xml:space="preserve">食品安全国家标准 </w:t>
      </w:r>
      <w:r>
        <w:t xml:space="preserve"> </w:t>
      </w:r>
      <w:r>
        <w:rPr>
          <w:rFonts w:hint="eastAsia"/>
        </w:rPr>
        <w:t>食品接触用塑料材料及制品</w:t>
      </w:r>
    </w:p>
    <w:p w14:paraId="5061BDAF">
      <w:pPr>
        <w:pStyle w:val="56"/>
        <w:spacing w:line="360" w:lineRule="auto"/>
        <w:ind w:firstLine="420"/>
      </w:pPr>
      <w:r>
        <w:t>GB 4806.13</w:t>
      </w:r>
      <w:r>
        <w:rPr>
          <w:rFonts w:hint="eastAsia"/>
        </w:rPr>
        <w:t>—</w:t>
      </w:r>
      <w:r>
        <w:t xml:space="preserve">2023 </w:t>
      </w:r>
      <w:r>
        <w:rPr>
          <w:rFonts w:hint="eastAsia"/>
        </w:rPr>
        <w:t xml:space="preserve">食品安全国家标准 </w:t>
      </w:r>
      <w:r>
        <w:t xml:space="preserve"> </w:t>
      </w:r>
      <w:r>
        <w:rPr>
          <w:rFonts w:hint="eastAsia"/>
        </w:rPr>
        <w:t>食品接触用复合材料及制品</w:t>
      </w:r>
    </w:p>
    <w:p w14:paraId="0978C11F">
      <w:pPr>
        <w:pStyle w:val="56"/>
        <w:spacing w:line="360" w:lineRule="auto"/>
        <w:ind w:firstLine="420"/>
      </w:pPr>
      <w:r>
        <w:t>GB 31603</w:t>
      </w:r>
      <w:r>
        <w:rPr>
          <w:rFonts w:hint="eastAsia"/>
        </w:rPr>
        <w:t>—</w:t>
      </w:r>
      <w:r>
        <w:t xml:space="preserve">2015 </w:t>
      </w:r>
      <w:r>
        <w:rPr>
          <w:rFonts w:hint="eastAsia"/>
        </w:rPr>
        <w:t>食品安全国家标准  食品接触材料及制品生产通用卫生规范</w:t>
      </w:r>
    </w:p>
    <w:p w14:paraId="6C3302DE">
      <w:pPr>
        <w:pStyle w:val="56"/>
        <w:spacing w:line="360" w:lineRule="auto"/>
        <w:ind w:firstLine="420"/>
      </w:pPr>
      <w:r>
        <w:rPr>
          <w:rFonts w:hint="eastAsia"/>
        </w:rPr>
        <w:t>GB/T 1.1—2020 标准化工作导则  第1部分:标准化文件的结构和起草规则</w:t>
      </w:r>
    </w:p>
    <w:p w14:paraId="6962992E">
      <w:pPr>
        <w:pStyle w:val="104"/>
        <w:spacing w:before="240" w:after="240" w:line="360" w:lineRule="auto"/>
      </w:pPr>
      <w:bookmarkStart w:id="48" w:name="_Toc97192966"/>
      <w:bookmarkStart w:id="49" w:name="_Toc209891116"/>
      <w:r>
        <w:rPr>
          <w:rFonts w:hint="eastAsia"/>
          <w:szCs w:val="21"/>
        </w:rPr>
        <w:t>术语和定义</w:t>
      </w:r>
      <w:bookmarkEnd w:id="48"/>
      <w:bookmarkEnd w:id="49"/>
    </w:p>
    <w:sdt>
      <w:sdtPr>
        <w:id w:val="-1909835108"/>
        <w:placeholder>
          <w:docPart w:val="7D0407537AFA4EBFB7447D8BB1E4BCDB"/>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69B61DD">
          <w:pPr>
            <w:pStyle w:val="56"/>
            <w:spacing w:line="360" w:lineRule="auto"/>
            <w:ind w:firstLine="420"/>
          </w:pPr>
          <w:bookmarkStart w:id="50" w:name="_Toc26986532"/>
          <w:bookmarkEnd w:id="50"/>
          <w:r>
            <w:t>下列术语和定义适用于本文件。</w:t>
          </w:r>
        </w:p>
      </w:sdtContent>
    </w:sdt>
    <w:p w14:paraId="73D7B752">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可降解材料 degradable material</w:t>
      </w:r>
    </w:p>
    <w:p w14:paraId="35A0A778">
      <w:pPr>
        <w:pStyle w:val="56"/>
        <w:spacing w:line="360" w:lineRule="auto"/>
        <w:ind w:firstLine="420"/>
      </w:pPr>
      <w:r>
        <w:rPr>
          <w:rFonts w:hint="eastAsia"/>
        </w:rPr>
        <w:t>指在特定环境条件下，通过生物、化学或物理作用可以降解为水、二氧化碳、低分子有机物或其他低分子产物的聚合物或复合材料。</w:t>
      </w:r>
    </w:p>
    <w:p w14:paraId="59A4A540">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生物降解 biodegradation</w:t>
      </w:r>
    </w:p>
    <w:p w14:paraId="1C647E90">
      <w:pPr>
        <w:pStyle w:val="56"/>
        <w:spacing w:line="360" w:lineRule="auto"/>
        <w:ind w:firstLine="420"/>
      </w:pPr>
      <w:r>
        <w:rPr>
          <w:rFonts w:hint="eastAsia"/>
        </w:rPr>
        <w:t>指可降解材料在微生物作用下分解为水、二氧化碳、甲烷及生物质的过程。</w:t>
      </w:r>
    </w:p>
    <w:p w14:paraId="0FBEBA63">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光降解 photodegradation</w:t>
      </w:r>
    </w:p>
    <w:p w14:paraId="23012B1A">
      <w:pPr>
        <w:pStyle w:val="56"/>
        <w:spacing w:line="360" w:lineRule="auto"/>
        <w:ind w:firstLine="420"/>
      </w:pPr>
      <w:r>
        <w:rPr>
          <w:rFonts w:hint="eastAsia"/>
        </w:rPr>
        <w:t>指可降解材料在光照作用下，材料分子链断裂并逐渐降解的过程。</w:t>
      </w:r>
    </w:p>
    <w:p w14:paraId="58C0F8BE">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力学性能 mechanical performance</w:t>
      </w:r>
    </w:p>
    <w:p w14:paraId="7E138755">
      <w:pPr>
        <w:pStyle w:val="56"/>
        <w:spacing w:line="360" w:lineRule="auto"/>
        <w:ind w:firstLine="420"/>
      </w:pPr>
      <w:r>
        <w:rPr>
          <w:rFonts w:hint="eastAsia"/>
        </w:rPr>
        <w:t>指包装材料在使用过程中表现出的抗拉强度、断裂伸长率、抗压强度、耐穿刺性等性能指标，反映材料在储运和使用条件下的承载能力和稳定性。</w:t>
      </w:r>
    </w:p>
    <w:p w14:paraId="6560CBFE">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阻隔性能 barrier performance</w:t>
      </w:r>
    </w:p>
    <w:p w14:paraId="4D7EC6B5">
      <w:pPr>
        <w:pStyle w:val="56"/>
        <w:spacing w:line="360" w:lineRule="auto"/>
        <w:ind w:firstLine="420"/>
      </w:pPr>
      <w:r>
        <w:rPr>
          <w:rFonts w:hint="eastAsia"/>
        </w:rPr>
        <w:t>指材料对气体、水蒸气、油脂及香气等物质的阻隔能力，是评价食品包装保鲜性能和保护性能的重要指标。</w:t>
      </w:r>
    </w:p>
    <w:p w14:paraId="156A2075">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食品安全性 food safety</w:t>
      </w:r>
    </w:p>
    <w:p w14:paraId="236BF143">
      <w:pPr>
        <w:pStyle w:val="56"/>
        <w:spacing w:line="360" w:lineRule="auto"/>
        <w:ind w:firstLine="420"/>
      </w:pPr>
      <w:r>
        <w:rPr>
          <w:rFonts w:hint="eastAsia"/>
        </w:rPr>
        <w:t>指包装材料在使用过程中不会向食品迁移有害物质，确保食品符合相关卫生和安全标准要求。</w:t>
      </w:r>
    </w:p>
    <w:p w14:paraId="244F0CE6">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加工适应性 processability</w:t>
      </w:r>
    </w:p>
    <w:p w14:paraId="07AE992B">
      <w:pPr>
        <w:pStyle w:val="56"/>
        <w:spacing w:line="360" w:lineRule="auto"/>
        <w:ind w:firstLine="420"/>
      </w:pPr>
      <w:r>
        <w:rPr>
          <w:rFonts w:hint="eastAsia"/>
        </w:rPr>
        <w:t>指材料在制袋、吹膜、热封、印刷及其他加工工艺中的适应能力，包括成型性能、热稳定性及加工效率。</w:t>
      </w:r>
    </w:p>
    <w:p w14:paraId="5D1593B2">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降解性能 degradation performance</w:t>
      </w:r>
    </w:p>
    <w:p w14:paraId="1FCFEFD4">
      <w:pPr>
        <w:pStyle w:val="56"/>
        <w:spacing w:line="360" w:lineRule="auto"/>
        <w:ind w:firstLine="420"/>
      </w:pPr>
      <w:r>
        <w:rPr>
          <w:rFonts w:hint="eastAsia"/>
        </w:rPr>
        <w:t>指材料在特定条件下完成降解所需的时间、降解速率及降解产物的环保性，是衡量材料环保效果的重要指标。</w:t>
      </w:r>
    </w:p>
    <w:p w14:paraId="653416C5">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复合材料 composite material</w:t>
      </w:r>
    </w:p>
    <w:p w14:paraId="12062132">
      <w:pPr>
        <w:pStyle w:val="56"/>
        <w:spacing w:line="360" w:lineRule="auto"/>
        <w:ind w:firstLine="420"/>
      </w:pPr>
      <w:r>
        <w:rPr>
          <w:rFonts w:hint="eastAsia"/>
        </w:rPr>
        <w:t>指由两种或以上不同类型材料复合而成的包装材料，通过物理或化学方式结合，以兼顾机械性能、阻隔性能及降解性能。</w:t>
      </w:r>
    </w:p>
    <w:p w14:paraId="658B928A">
      <w:pPr>
        <w:pStyle w:val="104"/>
        <w:spacing w:before="240" w:after="240" w:line="360" w:lineRule="auto"/>
      </w:pPr>
      <w:bookmarkStart w:id="51" w:name="_Toc209891117"/>
      <w:r>
        <w:rPr>
          <w:rFonts w:hint="eastAsia"/>
        </w:rPr>
        <w:t>总体原则</w:t>
      </w:r>
      <w:bookmarkEnd w:id="51"/>
    </w:p>
    <w:p w14:paraId="174BFB8D">
      <w:pPr>
        <w:pStyle w:val="105"/>
        <w:spacing w:before="120" w:after="120" w:line="360" w:lineRule="auto"/>
      </w:pPr>
      <w:r>
        <w:rPr>
          <w:rFonts w:hint="eastAsia"/>
        </w:rPr>
        <w:t>科学性原则</w:t>
      </w:r>
    </w:p>
    <w:p w14:paraId="58FE0532">
      <w:pPr>
        <w:pStyle w:val="56"/>
        <w:spacing w:line="360" w:lineRule="auto"/>
        <w:ind w:firstLine="420"/>
      </w:pPr>
      <w:r>
        <w:rPr>
          <w:rFonts w:hint="eastAsia"/>
        </w:rPr>
        <w:t>材料选用和性能评估应基于科学研究和技术标准，充分考虑食品类型、储运条件、包装用途及使用环境。评估方法应符合国家标准、行业规范及国际认可的方法，确保评估结果真实可靠，为材料选择提供科学依据。</w:t>
      </w:r>
    </w:p>
    <w:p w14:paraId="1D0DE13C">
      <w:pPr>
        <w:pStyle w:val="105"/>
        <w:spacing w:before="120" w:after="120" w:line="360" w:lineRule="auto"/>
      </w:pPr>
      <w:r>
        <w:rPr>
          <w:rFonts w:hint="eastAsia"/>
        </w:rPr>
        <w:t>系统性原则</w:t>
      </w:r>
    </w:p>
    <w:p w14:paraId="38866A27">
      <w:pPr>
        <w:pStyle w:val="56"/>
        <w:spacing w:line="360" w:lineRule="auto"/>
        <w:ind w:firstLine="420"/>
      </w:pPr>
      <w:r>
        <w:rPr>
          <w:rFonts w:hint="eastAsia"/>
        </w:rPr>
        <w:t>可降解材料的选用与性能评估应涵盖材料全生命周期，包括原料选择、加工性能、使用性能、降解性能及环境影响。评估过程应系统考虑材料的力学性能、阻隔性能、食品安全性及加工适应性，形成全面评价体系。</w:t>
      </w:r>
    </w:p>
    <w:p w14:paraId="69E40FD9">
      <w:pPr>
        <w:pStyle w:val="105"/>
        <w:spacing w:before="120" w:after="120" w:line="360" w:lineRule="auto"/>
      </w:pPr>
      <w:r>
        <w:rPr>
          <w:rFonts w:hint="eastAsia"/>
        </w:rPr>
        <w:t>规范性原则</w:t>
      </w:r>
    </w:p>
    <w:p w14:paraId="6D40D7D0">
      <w:pPr>
        <w:pStyle w:val="56"/>
        <w:spacing w:line="360" w:lineRule="auto"/>
        <w:ind w:firstLine="420"/>
      </w:pPr>
      <w:r>
        <w:rPr>
          <w:rFonts w:hint="eastAsia"/>
        </w:rPr>
        <w:t>材料选用和评估过程应严格遵守国家及行业相关标准和规范，操作方法、检测流程及结果记录应统一规范，确保不同企业、不同实验机构在操作和评价中具有一致性。</w:t>
      </w:r>
    </w:p>
    <w:p w14:paraId="166713F5">
      <w:pPr>
        <w:pStyle w:val="105"/>
        <w:spacing w:before="120" w:after="120" w:line="360" w:lineRule="auto"/>
      </w:pPr>
      <w:r>
        <w:rPr>
          <w:rFonts w:hint="eastAsia"/>
        </w:rPr>
        <w:t>安全性原则</w:t>
      </w:r>
    </w:p>
    <w:p w14:paraId="0B7564AA">
      <w:pPr>
        <w:pStyle w:val="56"/>
        <w:spacing w:line="360" w:lineRule="auto"/>
        <w:ind w:firstLine="420"/>
      </w:pPr>
      <w:r>
        <w:rPr>
          <w:rFonts w:hint="eastAsia"/>
        </w:rPr>
        <w:t>可降解食品包装材料在选用和评估过程中应确保食品安全性，避免有害物质迁移。评估过程中应关注材料对食品的物理化学兼容性，确保包装材料不会对食品风味、营养或安全产生负面影响。</w:t>
      </w:r>
    </w:p>
    <w:p w14:paraId="6A483975">
      <w:pPr>
        <w:pStyle w:val="105"/>
        <w:spacing w:before="120" w:after="120" w:line="360" w:lineRule="auto"/>
      </w:pPr>
      <w:r>
        <w:rPr>
          <w:rFonts w:hint="eastAsia"/>
        </w:rPr>
        <w:t>可持续性原则</w:t>
      </w:r>
    </w:p>
    <w:p w14:paraId="6FD11EE8">
      <w:pPr>
        <w:pStyle w:val="56"/>
        <w:spacing w:line="360" w:lineRule="auto"/>
        <w:ind w:firstLine="420"/>
      </w:pPr>
      <w:r>
        <w:rPr>
          <w:rFonts w:hint="eastAsia"/>
        </w:rPr>
        <w:t>在材料选用中，应优先考虑可降解性能优异、资源可再生、环境负荷低的材料。性能评估应关注材料降解产物的环境影响，确保材料在降解过程中不会产生有害物质，实现食品包装的绿色可持续发展。</w:t>
      </w:r>
    </w:p>
    <w:p w14:paraId="23ABA000">
      <w:pPr>
        <w:pStyle w:val="105"/>
        <w:spacing w:before="120" w:after="120" w:line="360" w:lineRule="auto"/>
      </w:pPr>
      <w:r>
        <w:rPr>
          <w:rFonts w:hint="eastAsia"/>
        </w:rPr>
        <w:t>持续改进原则</w:t>
      </w:r>
    </w:p>
    <w:p w14:paraId="311204EC">
      <w:pPr>
        <w:pStyle w:val="56"/>
        <w:spacing w:line="360" w:lineRule="auto"/>
        <w:ind w:firstLine="420"/>
      </w:pPr>
      <w:r>
        <w:rPr>
          <w:rFonts w:hint="eastAsia"/>
        </w:rPr>
        <w:t>随着可降解材料技术的发展和应用经验的积累，材料选用与性能评估方法应不断优化。应建立数据和实验结果反馈机制，结合新材料研发成果和实际使用情况，持续改进评估指标、方法和操作流程，提高材料选用科学性和应用可靠性。</w:t>
      </w:r>
    </w:p>
    <w:p w14:paraId="622DBB0B">
      <w:pPr>
        <w:pStyle w:val="104"/>
        <w:spacing w:before="240" w:after="240" w:line="360" w:lineRule="auto"/>
      </w:pPr>
      <w:bookmarkStart w:id="52" w:name="_Toc209891118"/>
      <w:r>
        <w:rPr>
          <w:rFonts w:hint="eastAsia"/>
        </w:rPr>
        <w:t>材料选用原则</w:t>
      </w:r>
      <w:bookmarkEnd w:id="52"/>
    </w:p>
    <w:p w14:paraId="017244E7">
      <w:pPr>
        <w:pStyle w:val="105"/>
        <w:spacing w:before="120" w:after="120" w:line="360" w:lineRule="auto"/>
      </w:pPr>
      <w:r>
        <w:rPr>
          <w:rFonts w:hint="eastAsia"/>
        </w:rPr>
        <w:t>科学性原则</w:t>
      </w:r>
    </w:p>
    <w:p w14:paraId="17C9F2E4">
      <w:pPr>
        <w:pStyle w:val="56"/>
        <w:spacing w:line="360" w:lineRule="auto"/>
        <w:ind w:firstLine="420"/>
      </w:pPr>
      <w:r>
        <w:rPr>
          <w:rFonts w:hint="eastAsia"/>
        </w:rPr>
        <w:t>材料选用应基于食品包装功能需求、储运条件、使用环境及材料性能指标，结合实验数据和技术标准进行科学判断。选用过程中应充分考虑力学性能、阻隔性能、加工适应性及降解特性，以确保材料在实际应用中能够达到预期效果。</w:t>
      </w:r>
    </w:p>
    <w:p w14:paraId="42D93AAF">
      <w:pPr>
        <w:pStyle w:val="105"/>
        <w:spacing w:before="120" w:after="120" w:line="360" w:lineRule="auto"/>
      </w:pPr>
      <w:r>
        <w:rPr>
          <w:rFonts w:hint="eastAsia"/>
        </w:rPr>
        <w:t>适用性原则</w:t>
      </w:r>
    </w:p>
    <w:p w14:paraId="22AD189A">
      <w:pPr>
        <w:pStyle w:val="56"/>
        <w:spacing w:line="360" w:lineRule="auto"/>
        <w:ind w:firstLine="420"/>
      </w:pPr>
      <w:r>
        <w:rPr>
          <w:rFonts w:hint="eastAsia"/>
        </w:rPr>
        <w:t>不同类型食品对包装材料的功能要求存在差异，如易氧化、易吸湿或油脂含量高的食品，对阻隔性和耐油性要求较高。材料选用应结合食品特性和包装形式，确保材料在使用条件下性能稳定，能够有效保护食品质量和延长保质期。</w:t>
      </w:r>
    </w:p>
    <w:p w14:paraId="377373CC">
      <w:pPr>
        <w:pStyle w:val="105"/>
        <w:spacing w:before="120" w:after="120" w:line="360" w:lineRule="auto"/>
      </w:pPr>
      <w:r>
        <w:rPr>
          <w:rFonts w:hint="eastAsia"/>
        </w:rPr>
        <w:t>安全性原则</w:t>
      </w:r>
    </w:p>
    <w:p w14:paraId="632E33FF">
      <w:pPr>
        <w:pStyle w:val="56"/>
        <w:spacing w:line="360" w:lineRule="auto"/>
        <w:ind w:firstLine="420"/>
      </w:pPr>
      <w:r>
        <w:rPr>
          <w:rFonts w:hint="eastAsia"/>
        </w:rPr>
        <w:t>选用材料必须符合食品安全标准要求，不得向食品迁移有害物质。材料在加工、储运及使用过程中应保持化学稳定性，确保食品安全，避免影响食品风味、营养及卫生。</w:t>
      </w:r>
    </w:p>
    <w:p w14:paraId="1ADEBF24">
      <w:pPr>
        <w:pStyle w:val="105"/>
        <w:spacing w:before="120" w:after="120" w:line="360" w:lineRule="auto"/>
      </w:pPr>
      <w:r>
        <w:rPr>
          <w:rFonts w:hint="eastAsia"/>
        </w:rPr>
        <w:t>经济性原则</w:t>
      </w:r>
    </w:p>
    <w:p w14:paraId="6E577542">
      <w:pPr>
        <w:pStyle w:val="56"/>
        <w:spacing w:line="360" w:lineRule="auto"/>
        <w:ind w:firstLine="420"/>
      </w:pPr>
      <w:r>
        <w:rPr>
          <w:rFonts w:hint="eastAsia"/>
        </w:rPr>
        <w:t>在保障性能和安全的前提下，应综合考虑材料成本、加工效率及供应稳定性。材料选用应兼顾企业生产成本和市场竞争力，实现经济与技术的平衡。</w:t>
      </w:r>
    </w:p>
    <w:p w14:paraId="5493A6B3">
      <w:pPr>
        <w:pStyle w:val="105"/>
        <w:spacing w:before="120" w:after="120" w:line="360" w:lineRule="auto"/>
      </w:pPr>
      <w:r>
        <w:rPr>
          <w:rFonts w:hint="eastAsia"/>
        </w:rPr>
        <w:t>环境友好性原则</w:t>
      </w:r>
    </w:p>
    <w:p w14:paraId="3F6F0415">
      <w:pPr>
        <w:pStyle w:val="56"/>
        <w:spacing w:line="360" w:lineRule="auto"/>
        <w:ind w:firstLine="420"/>
      </w:pPr>
      <w:r>
        <w:rPr>
          <w:rFonts w:hint="eastAsia"/>
        </w:rPr>
        <w:t>材料应具有良好的可降解性能，降解产物对环境无害。优先选择来源可再生、环境负荷低的原料，减少资源消耗和生态影响，实现绿色包装目标。</w:t>
      </w:r>
    </w:p>
    <w:p w14:paraId="10A44BBC">
      <w:pPr>
        <w:pStyle w:val="105"/>
        <w:spacing w:before="120" w:after="120" w:line="360" w:lineRule="auto"/>
      </w:pPr>
      <w:r>
        <w:rPr>
          <w:rFonts w:hint="eastAsia"/>
        </w:rPr>
        <w:t>持续改进原则</w:t>
      </w:r>
    </w:p>
    <w:p w14:paraId="05B3D6BE">
      <w:pPr>
        <w:pStyle w:val="56"/>
        <w:spacing w:line="360" w:lineRule="auto"/>
        <w:ind w:firstLine="420"/>
      </w:pPr>
      <w:r>
        <w:rPr>
          <w:rFonts w:hint="eastAsia"/>
        </w:rPr>
        <w:t>随着新型可降解材料的研发和应用经验积累，应定期更新材料选用标准和评估方法。通过数据反馈和实验验证，优化材料选型策略，提高材料的适用性和可持续性。</w:t>
      </w:r>
    </w:p>
    <w:p w14:paraId="4B439E53">
      <w:pPr>
        <w:pStyle w:val="104"/>
        <w:spacing w:before="240" w:after="240" w:line="360" w:lineRule="auto"/>
      </w:pPr>
      <w:bookmarkStart w:id="53" w:name="_Toc209891119"/>
      <w:r>
        <w:rPr>
          <w:rFonts w:hint="eastAsia"/>
        </w:rPr>
        <w:t>材料选用分类</w:t>
      </w:r>
      <w:bookmarkEnd w:id="53"/>
    </w:p>
    <w:p w14:paraId="49EACE89">
      <w:pPr>
        <w:pStyle w:val="162"/>
        <w:spacing w:line="360" w:lineRule="auto"/>
      </w:pPr>
      <w:r>
        <w:rPr>
          <w:rFonts w:hint="eastAsia"/>
        </w:rPr>
        <w:t>食品包装用可降解材料根据原料来源、降解方式及性能特点，可分为生物基可降解材料、石油基可降解材料和复合可降解材料。不同类型材料在力学性能、阻隔性能、加工适应性及降解条件方面存在差异，应根据食品类型、包装用途及环境条件选择合适材料。</w:t>
      </w:r>
    </w:p>
    <w:p w14:paraId="0AFF8A07">
      <w:pPr>
        <w:pStyle w:val="162"/>
        <w:spacing w:line="360" w:lineRule="auto"/>
      </w:pPr>
      <w:r>
        <w:rPr>
          <w:rFonts w:hint="eastAsia"/>
        </w:rPr>
        <w:t>在选用可降解材料时，应根据食品包装的功能需求、环境条件及加工工艺综合考虑材料类型。轻型一次性食品可优先选择生物基材料；对高强度和耐热包装，可考虑石油基材料或复合材料；对多功能、多层包装，建议采用复合材料以兼顾阻隔性、力学性能和环保性。同时，应结合性能评估结果进行最终选型，以确保食品安全、包装性能和环保目标的统一。</w:t>
      </w:r>
    </w:p>
    <w:p w14:paraId="6B06A94D">
      <w:pPr>
        <w:pStyle w:val="162"/>
        <w:spacing w:line="360" w:lineRule="auto"/>
      </w:pPr>
      <w:r>
        <w:rPr>
          <w:rFonts w:hint="eastAsia"/>
        </w:rPr>
        <w:t>食品包装用可降解材料分类及适用范围见表1。</w:t>
      </w:r>
    </w:p>
    <w:p w14:paraId="78EC6569">
      <w:pPr>
        <w:pStyle w:val="112"/>
        <w:spacing w:before="120" w:after="120" w:line="360" w:lineRule="auto"/>
      </w:pPr>
      <w:r>
        <w:rPr>
          <w:rFonts w:hint="eastAsia"/>
        </w:rPr>
        <w:t>食品包装用可降解材料分类及适用范围</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983"/>
        <w:gridCol w:w="1275"/>
        <w:gridCol w:w="1701"/>
        <w:gridCol w:w="1843"/>
        <w:gridCol w:w="1559"/>
        <w:gridCol w:w="1973"/>
      </w:tblGrid>
      <w:tr w14:paraId="0D6E02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983" w:type="dxa"/>
            <w:tcBorders>
              <w:top w:val="single" w:color="auto" w:sz="8" w:space="0"/>
              <w:bottom w:val="single" w:color="auto" w:sz="8" w:space="0"/>
            </w:tcBorders>
            <w:shd w:val="clear" w:color="auto" w:fill="auto"/>
            <w:vAlign w:val="center"/>
          </w:tcPr>
          <w:p w14:paraId="4A8ED72E">
            <w:pPr>
              <w:pStyle w:val="178"/>
            </w:pPr>
            <w:r>
              <w:rPr>
                <w:rFonts w:hint="eastAsia"/>
              </w:rPr>
              <w:t>序号</w:t>
            </w:r>
          </w:p>
        </w:tc>
        <w:tc>
          <w:tcPr>
            <w:tcW w:w="1275" w:type="dxa"/>
            <w:tcBorders>
              <w:top w:val="single" w:color="auto" w:sz="8" w:space="0"/>
              <w:bottom w:val="single" w:color="auto" w:sz="8" w:space="0"/>
            </w:tcBorders>
            <w:shd w:val="clear" w:color="auto" w:fill="auto"/>
            <w:vAlign w:val="center"/>
          </w:tcPr>
          <w:p w14:paraId="64E1DBDF">
            <w:pPr>
              <w:pStyle w:val="178"/>
            </w:pPr>
            <w:r>
              <w:rPr>
                <w:rFonts w:hint="eastAsia"/>
              </w:rPr>
              <w:t>材料类型</w:t>
            </w:r>
          </w:p>
        </w:tc>
        <w:tc>
          <w:tcPr>
            <w:tcW w:w="1701" w:type="dxa"/>
            <w:tcBorders>
              <w:top w:val="single" w:color="auto" w:sz="8" w:space="0"/>
              <w:bottom w:val="single" w:color="auto" w:sz="8" w:space="0"/>
            </w:tcBorders>
            <w:shd w:val="clear" w:color="auto" w:fill="auto"/>
            <w:vAlign w:val="center"/>
          </w:tcPr>
          <w:p w14:paraId="47BCE3E3">
            <w:pPr>
              <w:pStyle w:val="178"/>
            </w:pPr>
            <w:r>
              <w:rPr>
                <w:rFonts w:hint="eastAsia"/>
              </w:rPr>
              <w:t>主要成分 / 原料</w:t>
            </w:r>
          </w:p>
        </w:tc>
        <w:tc>
          <w:tcPr>
            <w:tcW w:w="1843" w:type="dxa"/>
            <w:tcBorders>
              <w:top w:val="single" w:color="auto" w:sz="8" w:space="0"/>
              <w:bottom w:val="single" w:color="auto" w:sz="8" w:space="0"/>
            </w:tcBorders>
            <w:shd w:val="clear" w:color="auto" w:fill="auto"/>
            <w:vAlign w:val="center"/>
          </w:tcPr>
          <w:p w14:paraId="347F4831">
            <w:pPr>
              <w:pStyle w:val="178"/>
            </w:pPr>
            <w:r>
              <w:rPr>
                <w:rFonts w:hint="eastAsia"/>
              </w:rPr>
              <w:t>主要性能特点</w:t>
            </w:r>
          </w:p>
        </w:tc>
        <w:tc>
          <w:tcPr>
            <w:tcW w:w="1559" w:type="dxa"/>
            <w:tcBorders>
              <w:top w:val="single" w:color="auto" w:sz="8" w:space="0"/>
              <w:bottom w:val="single" w:color="auto" w:sz="8" w:space="0"/>
            </w:tcBorders>
            <w:shd w:val="clear" w:color="auto" w:fill="auto"/>
            <w:vAlign w:val="center"/>
          </w:tcPr>
          <w:p w14:paraId="120159A5">
            <w:pPr>
              <w:pStyle w:val="178"/>
            </w:pPr>
            <w:r>
              <w:rPr>
                <w:rFonts w:hint="eastAsia"/>
              </w:rPr>
              <w:t>适用包装类型</w:t>
            </w:r>
          </w:p>
        </w:tc>
        <w:tc>
          <w:tcPr>
            <w:tcW w:w="1973" w:type="dxa"/>
            <w:tcBorders>
              <w:top w:val="single" w:color="auto" w:sz="8" w:space="0"/>
              <w:bottom w:val="single" w:color="auto" w:sz="8" w:space="0"/>
            </w:tcBorders>
            <w:shd w:val="clear" w:color="auto" w:fill="auto"/>
            <w:vAlign w:val="center"/>
          </w:tcPr>
          <w:p w14:paraId="58D8BA40">
            <w:pPr>
              <w:pStyle w:val="178"/>
            </w:pPr>
            <w:r>
              <w:rPr>
                <w:rFonts w:hint="eastAsia"/>
              </w:rPr>
              <w:t>降解条件</w:t>
            </w:r>
          </w:p>
        </w:tc>
      </w:tr>
      <w:tr w14:paraId="5F0C79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983" w:type="dxa"/>
            <w:tcBorders>
              <w:top w:val="single" w:color="auto" w:sz="8" w:space="0"/>
            </w:tcBorders>
            <w:shd w:val="clear" w:color="auto" w:fill="auto"/>
            <w:vAlign w:val="center"/>
          </w:tcPr>
          <w:p w14:paraId="50681BCD">
            <w:pPr>
              <w:pStyle w:val="178"/>
            </w:pPr>
            <w:r>
              <w:rPr>
                <w:rFonts w:hint="eastAsia"/>
              </w:rPr>
              <w:t>1</w:t>
            </w:r>
          </w:p>
        </w:tc>
        <w:tc>
          <w:tcPr>
            <w:tcW w:w="1275" w:type="dxa"/>
            <w:tcBorders>
              <w:top w:val="single" w:color="auto" w:sz="8" w:space="0"/>
            </w:tcBorders>
            <w:shd w:val="clear" w:color="auto" w:fill="auto"/>
            <w:vAlign w:val="center"/>
          </w:tcPr>
          <w:p w14:paraId="44FF7997">
            <w:pPr>
              <w:pStyle w:val="178"/>
            </w:pPr>
            <w:r>
              <w:rPr>
                <w:rFonts w:hint="eastAsia"/>
              </w:rPr>
              <w:t>生物基材料</w:t>
            </w:r>
          </w:p>
        </w:tc>
        <w:tc>
          <w:tcPr>
            <w:tcW w:w="1701" w:type="dxa"/>
            <w:tcBorders>
              <w:top w:val="single" w:color="auto" w:sz="8" w:space="0"/>
            </w:tcBorders>
            <w:shd w:val="clear" w:color="auto" w:fill="auto"/>
            <w:vAlign w:val="center"/>
          </w:tcPr>
          <w:p w14:paraId="17E861D6">
            <w:pPr>
              <w:pStyle w:val="178"/>
            </w:pPr>
            <w:r>
              <w:rPr>
                <w:rFonts w:hint="eastAsia"/>
              </w:rPr>
              <w:t>PLA、淀粉、纤维素</w:t>
            </w:r>
          </w:p>
        </w:tc>
        <w:tc>
          <w:tcPr>
            <w:tcW w:w="1843" w:type="dxa"/>
            <w:tcBorders>
              <w:top w:val="single" w:color="auto" w:sz="8" w:space="0"/>
            </w:tcBorders>
            <w:shd w:val="clear" w:color="auto" w:fill="auto"/>
            <w:vAlign w:val="center"/>
          </w:tcPr>
          <w:p w14:paraId="48FE0943">
            <w:pPr>
              <w:pStyle w:val="178"/>
            </w:pPr>
            <w:r>
              <w:rPr>
                <w:rFonts w:hint="eastAsia"/>
              </w:rPr>
              <w:t>生物降解性好、可再生、加工性好</w:t>
            </w:r>
          </w:p>
        </w:tc>
        <w:tc>
          <w:tcPr>
            <w:tcW w:w="1559" w:type="dxa"/>
            <w:tcBorders>
              <w:top w:val="single" w:color="auto" w:sz="8" w:space="0"/>
            </w:tcBorders>
            <w:shd w:val="clear" w:color="auto" w:fill="auto"/>
            <w:vAlign w:val="center"/>
          </w:tcPr>
          <w:p w14:paraId="54B623DC">
            <w:pPr>
              <w:pStyle w:val="178"/>
            </w:pPr>
            <w:r>
              <w:rPr>
                <w:rFonts w:hint="eastAsia"/>
              </w:rPr>
              <w:t>轻型食品包装、一次性包装</w:t>
            </w:r>
          </w:p>
        </w:tc>
        <w:tc>
          <w:tcPr>
            <w:tcW w:w="1973" w:type="dxa"/>
            <w:tcBorders>
              <w:top w:val="single" w:color="auto" w:sz="8" w:space="0"/>
            </w:tcBorders>
            <w:shd w:val="clear" w:color="auto" w:fill="auto"/>
            <w:vAlign w:val="center"/>
          </w:tcPr>
          <w:p w14:paraId="6A8A8490">
            <w:pPr>
              <w:pStyle w:val="178"/>
            </w:pPr>
            <w:r>
              <w:rPr>
                <w:rFonts w:hint="eastAsia"/>
              </w:rPr>
              <w:t>堆肥、土壤、湿热</w:t>
            </w:r>
          </w:p>
        </w:tc>
      </w:tr>
      <w:tr w14:paraId="27080A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83" w:type="dxa"/>
            <w:shd w:val="clear" w:color="auto" w:fill="auto"/>
            <w:vAlign w:val="center"/>
          </w:tcPr>
          <w:p w14:paraId="7CA7BB19">
            <w:pPr>
              <w:pStyle w:val="178"/>
            </w:pPr>
            <w:r>
              <w:rPr>
                <w:rFonts w:hint="eastAsia"/>
              </w:rPr>
              <w:t>2</w:t>
            </w:r>
          </w:p>
        </w:tc>
        <w:tc>
          <w:tcPr>
            <w:tcW w:w="1275" w:type="dxa"/>
            <w:shd w:val="clear" w:color="auto" w:fill="auto"/>
            <w:vAlign w:val="center"/>
          </w:tcPr>
          <w:p w14:paraId="49C1B40E">
            <w:pPr>
              <w:pStyle w:val="178"/>
            </w:pPr>
            <w:r>
              <w:rPr>
                <w:rFonts w:hint="eastAsia"/>
              </w:rPr>
              <w:t>石油基材料</w:t>
            </w:r>
          </w:p>
        </w:tc>
        <w:tc>
          <w:tcPr>
            <w:tcW w:w="1701" w:type="dxa"/>
            <w:shd w:val="clear" w:color="auto" w:fill="auto"/>
            <w:vAlign w:val="center"/>
          </w:tcPr>
          <w:p w14:paraId="27254E3C">
            <w:pPr>
              <w:pStyle w:val="178"/>
            </w:pPr>
            <w:r>
              <w:rPr>
                <w:rFonts w:hint="eastAsia"/>
              </w:rPr>
              <w:t>PBAT、PCL</w:t>
            </w:r>
          </w:p>
        </w:tc>
        <w:tc>
          <w:tcPr>
            <w:tcW w:w="1843" w:type="dxa"/>
            <w:shd w:val="clear" w:color="auto" w:fill="auto"/>
            <w:vAlign w:val="center"/>
          </w:tcPr>
          <w:p w14:paraId="5D3722C5">
            <w:pPr>
              <w:pStyle w:val="178"/>
            </w:pPr>
            <w:r>
              <w:rPr>
                <w:rFonts w:hint="eastAsia"/>
              </w:rPr>
              <w:t>力学性能高、加工稳定、耐温性好</w:t>
            </w:r>
          </w:p>
        </w:tc>
        <w:tc>
          <w:tcPr>
            <w:tcW w:w="1559" w:type="dxa"/>
            <w:shd w:val="clear" w:color="auto" w:fill="auto"/>
            <w:vAlign w:val="center"/>
          </w:tcPr>
          <w:p w14:paraId="273DCAA4">
            <w:pPr>
              <w:pStyle w:val="178"/>
            </w:pPr>
            <w:r>
              <w:rPr>
                <w:rFonts w:hint="eastAsia"/>
              </w:rPr>
              <w:t>高强度包装、热成型包装</w:t>
            </w:r>
          </w:p>
        </w:tc>
        <w:tc>
          <w:tcPr>
            <w:tcW w:w="1973" w:type="dxa"/>
            <w:shd w:val="clear" w:color="auto" w:fill="auto"/>
            <w:vAlign w:val="center"/>
          </w:tcPr>
          <w:p w14:paraId="0893BEB6">
            <w:pPr>
              <w:pStyle w:val="178"/>
            </w:pPr>
            <w:r>
              <w:rPr>
                <w:rFonts w:hint="eastAsia"/>
              </w:rPr>
              <w:t>特定环境降解</w:t>
            </w:r>
          </w:p>
        </w:tc>
      </w:tr>
      <w:tr w14:paraId="68ED09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83" w:type="dxa"/>
            <w:shd w:val="clear" w:color="auto" w:fill="auto"/>
            <w:vAlign w:val="center"/>
          </w:tcPr>
          <w:p w14:paraId="7A832944">
            <w:pPr>
              <w:pStyle w:val="178"/>
            </w:pPr>
            <w:r>
              <w:rPr>
                <w:rFonts w:hint="eastAsia"/>
              </w:rPr>
              <w:t>3</w:t>
            </w:r>
          </w:p>
        </w:tc>
        <w:tc>
          <w:tcPr>
            <w:tcW w:w="1275" w:type="dxa"/>
            <w:shd w:val="clear" w:color="auto" w:fill="auto"/>
            <w:vAlign w:val="center"/>
          </w:tcPr>
          <w:p w14:paraId="14D3037A">
            <w:pPr>
              <w:pStyle w:val="178"/>
            </w:pPr>
            <w:r>
              <w:rPr>
                <w:rFonts w:hint="eastAsia"/>
              </w:rPr>
              <w:t>复合材料</w:t>
            </w:r>
          </w:p>
        </w:tc>
        <w:tc>
          <w:tcPr>
            <w:tcW w:w="1701" w:type="dxa"/>
            <w:shd w:val="clear" w:color="auto" w:fill="auto"/>
            <w:vAlign w:val="center"/>
          </w:tcPr>
          <w:p w14:paraId="7E3916D7">
            <w:pPr>
              <w:pStyle w:val="178"/>
            </w:pPr>
            <w:r>
              <w:rPr>
                <w:rFonts w:hint="eastAsia"/>
              </w:rPr>
              <w:t>生物基+石油基/助剂</w:t>
            </w:r>
          </w:p>
        </w:tc>
        <w:tc>
          <w:tcPr>
            <w:tcW w:w="1843" w:type="dxa"/>
            <w:shd w:val="clear" w:color="auto" w:fill="auto"/>
            <w:vAlign w:val="center"/>
          </w:tcPr>
          <w:p w14:paraId="6F2E26CC">
            <w:pPr>
              <w:pStyle w:val="178"/>
            </w:pPr>
            <w:r>
              <w:rPr>
                <w:rFonts w:hint="eastAsia"/>
              </w:rPr>
              <w:t>阻隔性好、力学性能优、降解性可控</w:t>
            </w:r>
          </w:p>
        </w:tc>
        <w:tc>
          <w:tcPr>
            <w:tcW w:w="1559" w:type="dxa"/>
            <w:shd w:val="clear" w:color="auto" w:fill="auto"/>
            <w:vAlign w:val="center"/>
          </w:tcPr>
          <w:p w14:paraId="58934124">
            <w:pPr>
              <w:pStyle w:val="178"/>
            </w:pPr>
            <w:r>
              <w:rPr>
                <w:rFonts w:hint="eastAsia"/>
              </w:rPr>
              <w:t>多层包装、复合包装、食品托盘</w:t>
            </w:r>
          </w:p>
        </w:tc>
        <w:tc>
          <w:tcPr>
            <w:tcW w:w="1973" w:type="dxa"/>
            <w:shd w:val="clear" w:color="auto" w:fill="auto"/>
            <w:vAlign w:val="center"/>
          </w:tcPr>
          <w:p w14:paraId="2436E49C">
            <w:pPr>
              <w:pStyle w:val="178"/>
            </w:pPr>
            <w:r>
              <w:rPr>
                <w:rFonts w:hint="eastAsia"/>
              </w:rPr>
              <w:t>堆肥、特定湿热</w:t>
            </w:r>
          </w:p>
        </w:tc>
      </w:tr>
    </w:tbl>
    <w:p w14:paraId="38A21E24">
      <w:pPr>
        <w:pStyle w:val="104"/>
        <w:spacing w:before="240" w:after="240" w:line="360" w:lineRule="auto"/>
      </w:pPr>
      <w:bookmarkStart w:id="54" w:name="_Toc209891120"/>
      <w:r>
        <w:rPr>
          <w:rFonts w:hint="eastAsia"/>
        </w:rPr>
        <w:t>材料性能评估方法</w:t>
      </w:r>
      <w:bookmarkEnd w:id="54"/>
    </w:p>
    <w:p w14:paraId="454B1D34">
      <w:pPr>
        <w:pStyle w:val="105"/>
        <w:spacing w:before="120" w:after="120" w:line="360" w:lineRule="auto"/>
      </w:pPr>
      <w:r>
        <w:rPr>
          <w:rFonts w:hint="eastAsia"/>
        </w:rPr>
        <w:t>力学性能评估</w:t>
      </w:r>
    </w:p>
    <w:p w14:paraId="6DAC3465">
      <w:pPr>
        <w:pStyle w:val="56"/>
        <w:spacing w:line="360" w:lineRule="auto"/>
        <w:ind w:firstLine="420"/>
      </w:pPr>
      <w:r>
        <w:rPr>
          <w:rFonts w:hint="eastAsia"/>
        </w:rPr>
        <w:t>力学性能是衡量包装材料在储运和使用过程中的承载能力和稳定性的重要指标。主要包括抗拉强度、断裂伸长率、抗压强度、耐穿刺性和抗撕裂强度。评估方法应按照国家标准或行业规范进行测试，并结合实际包装需求确定是否符合使用要求。</w:t>
      </w:r>
    </w:p>
    <w:p w14:paraId="2BC7540B">
      <w:pPr>
        <w:pStyle w:val="105"/>
        <w:spacing w:before="120" w:after="120" w:line="360" w:lineRule="auto"/>
      </w:pPr>
      <w:r>
        <w:rPr>
          <w:rFonts w:hint="eastAsia"/>
        </w:rPr>
        <w:t>阻隔性能评估</w:t>
      </w:r>
    </w:p>
    <w:p w14:paraId="18EFFA2D">
      <w:pPr>
        <w:pStyle w:val="56"/>
        <w:spacing w:line="360" w:lineRule="auto"/>
        <w:ind w:firstLine="420"/>
      </w:pPr>
      <w:r>
        <w:rPr>
          <w:rFonts w:hint="eastAsia"/>
        </w:rPr>
        <w:t>阻隔性能反映材料对气体、水蒸气、油脂及香气等物质的防护能力，是延长食品保质期和保证食品质量的重要指标。评估方法包括水蒸气透过率、氧气透过率、油脂阻隔性及气味阻隔性测试。测试过程中应模拟储运环境，确保评估结果可靠。</w:t>
      </w:r>
    </w:p>
    <w:p w14:paraId="19BDAA4D">
      <w:pPr>
        <w:pStyle w:val="105"/>
        <w:spacing w:before="120" w:after="120" w:line="360" w:lineRule="auto"/>
      </w:pPr>
      <w:r>
        <w:rPr>
          <w:rFonts w:hint="eastAsia"/>
        </w:rPr>
        <w:t>食品安全性评估</w:t>
      </w:r>
    </w:p>
    <w:p w14:paraId="1C3B110F">
      <w:pPr>
        <w:pStyle w:val="56"/>
        <w:spacing w:line="360" w:lineRule="auto"/>
        <w:ind w:firstLine="420"/>
      </w:pPr>
      <w:r>
        <w:rPr>
          <w:rFonts w:hint="eastAsia"/>
        </w:rPr>
        <w:t>食品安全性评估主要包括迁移物测试和有害物质检测。评估材料在使用过程中是否会向食品迁移有害物质，如重金属、增塑剂或单体残留等。测试方法应符合食品接触材料国家标准及相关法规要求，确保材料安全。</w:t>
      </w:r>
    </w:p>
    <w:p w14:paraId="1F2F397A">
      <w:pPr>
        <w:pStyle w:val="105"/>
        <w:spacing w:before="120" w:after="120" w:line="360" w:lineRule="auto"/>
      </w:pPr>
      <w:r>
        <w:rPr>
          <w:rFonts w:hint="eastAsia"/>
        </w:rPr>
        <w:t>加工适应性评估</w:t>
      </w:r>
    </w:p>
    <w:p w14:paraId="71BCB07E">
      <w:pPr>
        <w:pStyle w:val="56"/>
        <w:spacing w:line="360" w:lineRule="auto"/>
        <w:ind w:firstLine="420"/>
      </w:pPr>
      <w:r>
        <w:rPr>
          <w:rFonts w:hint="eastAsia"/>
        </w:rPr>
        <w:t>加工适应性评估包括材料在制袋、吹膜、热封、印刷等加工工艺中的表现。主要评估材料的热稳定性、成型性能、热封强度和加工效率，确保材料能够满足生产工艺要求。</w:t>
      </w:r>
    </w:p>
    <w:p w14:paraId="1C9C51A3">
      <w:pPr>
        <w:pStyle w:val="105"/>
        <w:spacing w:before="120" w:after="120" w:line="360" w:lineRule="auto"/>
      </w:pPr>
      <w:r>
        <w:rPr>
          <w:rFonts w:hint="eastAsia"/>
        </w:rPr>
        <w:t>降解性能评估</w:t>
      </w:r>
    </w:p>
    <w:p w14:paraId="33F48E97">
      <w:pPr>
        <w:pStyle w:val="56"/>
        <w:spacing w:line="360" w:lineRule="auto"/>
        <w:ind w:firstLine="420"/>
      </w:pPr>
      <w:r>
        <w:rPr>
          <w:rFonts w:hint="eastAsia"/>
        </w:rPr>
        <w:t>降解性能评估包括材料在特定环境下的降解速率、降解产物及环境影响。评估方法包括堆肥条件下生物降解实验、土壤降解实验及水解实验等。降解产物应无害且符合环保要求，以实现包装材料绿色化目标。</w:t>
      </w:r>
    </w:p>
    <w:p w14:paraId="7748AF9A">
      <w:pPr>
        <w:pStyle w:val="105"/>
        <w:spacing w:before="120" w:after="120" w:line="360" w:lineRule="auto"/>
      </w:pPr>
      <w:r>
        <w:rPr>
          <w:rFonts w:hint="eastAsia"/>
        </w:rPr>
        <w:t>评估记录与报告</w:t>
      </w:r>
    </w:p>
    <w:p w14:paraId="169F76CE">
      <w:pPr>
        <w:pStyle w:val="56"/>
        <w:spacing w:line="360" w:lineRule="auto"/>
        <w:ind w:firstLine="420"/>
      </w:pPr>
      <w:r>
        <w:rPr>
          <w:rFonts w:hint="eastAsia"/>
        </w:rPr>
        <w:t>所有性能评估应形成规范化的测试记录和评估报告，包括测试方法、测试条件、结果数据、分析结论及评估人员签名。评估报告应作为材料选用决策和产品开发的重要依据，并为质量管理和监管提供可追溯数据。</w:t>
      </w:r>
    </w:p>
    <w:p w14:paraId="77CA22FF">
      <w:pPr>
        <w:pStyle w:val="104"/>
        <w:spacing w:before="240" w:after="240" w:line="360" w:lineRule="auto"/>
      </w:pPr>
      <w:bookmarkStart w:id="55" w:name="_Toc209891121"/>
      <w:r>
        <w:rPr>
          <w:rFonts w:hint="eastAsia"/>
        </w:rPr>
        <w:t>材料选用决策流程</w:t>
      </w:r>
      <w:bookmarkEnd w:id="55"/>
    </w:p>
    <w:p w14:paraId="277A4056">
      <w:pPr>
        <w:pStyle w:val="105"/>
        <w:spacing w:before="120" w:after="120" w:line="360" w:lineRule="auto"/>
      </w:pPr>
      <w:r>
        <w:rPr>
          <w:rFonts w:hint="eastAsia"/>
        </w:rPr>
        <w:t>评估结果综合分析</w:t>
      </w:r>
    </w:p>
    <w:p w14:paraId="1802EE53">
      <w:pPr>
        <w:pStyle w:val="56"/>
        <w:spacing w:line="360" w:lineRule="auto"/>
        <w:ind w:firstLine="420"/>
      </w:pPr>
      <w:r>
        <w:rPr>
          <w:rFonts w:hint="eastAsia"/>
        </w:rPr>
        <w:t>在材料选用前，应对力学性能、阻隔性能、食品安全性、加工适应性及降解性能的评估结果进行综合分析。对各项性能指标进行评分和加权，形成材料性能综合评价指数，为选材提供量化依据。</w:t>
      </w:r>
    </w:p>
    <w:p w14:paraId="47F3BF33">
      <w:pPr>
        <w:pStyle w:val="105"/>
        <w:spacing w:before="120" w:after="120" w:line="360" w:lineRule="auto"/>
      </w:pPr>
      <w:r>
        <w:rPr>
          <w:rFonts w:hint="eastAsia"/>
        </w:rPr>
        <w:t>决策流程设计</w:t>
      </w:r>
    </w:p>
    <w:p w14:paraId="6CFAD97F">
      <w:pPr>
        <w:pStyle w:val="56"/>
        <w:spacing w:line="360" w:lineRule="auto"/>
        <w:ind w:firstLine="420"/>
      </w:pPr>
      <w:r>
        <w:rPr>
          <w:rFonts w:hint="eastAsia"/>
        </w:rPr>
        <w:t>材料选用决策应按照下列流程进行：</w:t>
      </w:r>
    </w:p>
    <w:p w14:paraId="5F72773B">
      <w:pPr>
        <w:pStyle w:val="174"/>
        <w:spacing w:line="360" w:lineRule="auto"/>
      </w:pPr>
      <w:r>
        <w:rPr>
          <w:rFonts w:hint="eastAsia"/>
        </w:rPr>
        <w:t>确定包装要求：根据食品类型、包装形式、储运条件及使用环境明确包装功能需求；</w:t>
      </w:r>
    </w:p>
    <w:p w14:paraId="6AE41274">
      <w:pPr>
        <w:pStyle w:val="174"/>
        <w:spacing w:line="360" w:lineRule="auto"/>
      </w:pPr>
      <w:r>
        <w:rPr>
          <w:rFonts w:hint="eastAsia"/>
        </w:rPr>
        <w:t>筛选候选材料：结合材料分类和性能评估结果，初步筛选满足基本性能要求的材料；</w:t>
      </w:r>
    </w:p>
    <w:p w14:paraId="33AFC1DB">
      <w:pPr>
        <w:pStyle w:val="174"/>
        <w:spacing w:line="360" w:lineRule="auto"/>
      </w:pPr>
      <w:r>
        <w:rPr>
          <w:rFonts w:hint="eastAsia"/>
        </w:rPr>
        <w:t>性能匹配分析：对候选材料与包装要求的各项性能进行匹配分析，重点关注阻隔性、力学性能、加工适应性及降解性能；</w:t>
      </w:r>
    </w:p>
    <w:p w14:paraId="154EFCB9">
      <w:pPr>
        <w:pStyle w:val="174"/>
        <w:spacing w:line="360" w:lineRule="auto"/>
      </w:pPr>
      <w:r>
        <w:rPr>
          <w:rFonts w:hint="eastAsia"/>
        </w:rPr>
        <w:t>风险评估与权衡：分析材料可能存在的性能波动、加工难度及降解风险，对高风险材料制定应对措施或备选方案；</w:t>
      </w:r>
    </w:p>
    <w:p w14:paraId="0B46BCB6">
      <w:pPr>
        <w:pStyle w:val="174"/>
        <w:spacing w:line="360" w:lineRule="auto"/>
      </w:pPr>
      <w:r>
        <w:rPr>
          <w:rFonts w:hint="eastAsia"/>
        </w:rPr>
        <w:t>最终决策：结合综合性能评分、风险评估及经济性考虑，确定最优材料，并形成决策记录。</w:t>
      </w:r>
    </w:p>
    <w:p w14:paraId="3ED22B71">
      <w:pPr>
        <w:pStyle w:val="105"/>
        <w:spacing w:before="120" w:after="120" w:line="360" w:lineRule="auto"/>
      </w:pPr>
      <w:r>
        <w:rPr>
          <w:rFonts w:hint="eastAsia"/>
        </w:rPr>
        <w:t>决策记录与可追溯性</w:t>
      </w:r>
    </w:p>
    <w:p w14:paraId="1FD97288">
      <w:pPr>
        <w:pStyle w:val="56"/>
        <w:spacing w:line="360" w:lineRule="auto"/>
        <w:ind w:firstLine="420"/>
      </w:pPr>
      <w:r>
        <w:rPr>
          <w:rFonts w:hint="eastAsia"/>
        </w:rPr>
        <w:t>选材决策过程必须形成完整的书面记录，包括评估数据、性能评分、匹配分析结果、风险评估意见及最终材料选定理由。决策记录应可追溯，为后续生产、使用和监管提供依据。</w:t>
      </w:r>
    </w:p>
    <w:p w14:paraId="7B652F5C">
      <w:pPr>
        <w:pStyle w:val="105"/>
        <w:spacing w:before="120" w:after="120" w:line="360" w:lineRule="auto"/>
      </w:pPr>
      <w:r>
        <w:rPr>
          <w:rFonts w:hint="eastAsia"/>
        </w:rPr>
        <w:t>动态调整与优化</w:t>
      </w:r>
    </w:p>
    <w:p w14:paraId="35D50EC7">
      <w:pPr>
        <w:pStyle w:val="56"/>
        <w:spacing w:line="360" w:lineRule="auto"/>
        <w:ind w:firstLine="420"/>
      </w:pPr>
      <w:r>
        <w:rPr>
          <w:rFonts w:hint="eastAsia"/>
        </w:rPr>
        <w:t>选材决策应具备动态调整机制。随着新材料研发、市场反馈及性能评估数据的更新，应定期复审已选材料，必要时进行替换或优化，以保证材料在实际应用中持续满足食品安全、功能和环保要求。材料选用决策流程示例见表2。</w:t>
      </w:r>
    </w:p>
    <w:p w14:paraId="19EC3661">
      <w:pPr>
        <w:pStyle w:val="112"/>
        <w:spacing w:before="120" w:after="120" w:line="360" w:lineRule="auto"/>
      </w:pPr>
      <w:r>
        <w:rPr>
          <w:rFonts w:hint="eastAsia"/>
        </w:rPr>
        <w:t>材料选用决策流程示例</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400"/>
        <w:gridCol w:w="3260"/>
        <w:gridCol w:w="3674"/>
      </w:tblGrid>
      <w:tr w14:paraId="41EC84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400" w:type="dxa"/>
            <w:tcBorders>
              <w:top w:val="single" w:color="auto" w:sz="8" w:space="0"/>
              <w:bottom w:val="single" w:color="auto" w:sz="8" w:space="0"/>
            </w:tcBorders>
            <w:shd w:val="clear" w:color="auto" w:fill="auto"/>
          </w:tcPr>
          <w:p w14:paraId="63D3EBDF">
            <w:pPr>
              <w:pStyle w:val="178"/>
            </w:pPr>
            <w:r>
              <w:rPr>
                <w:rFonts w:hint="eastAsia"/>
              </w:rPr>
              <w:t>步骤</w:t>
            </w:r>
          </w:p>
        </w:tc>
        <w:tc>
          <w:tcPr>
            <w:tcW w:w="3260" w:type="dxa"/>
            <w:tcBorders>
              <w:top w:val="single" w:color="auto" w:sz="8" w:space="0"/>
              <w:bottom w:val="single" w:color="auto" w:sz="8" w:space="0"/>
            </w:tcBorders>
            <w:shd w:val="clear" w:color="auto" w:fill="auto"/>
          </w:tcPr>
          <w:p w14:paraId="540CA6FF">
            <w:pPr>
              <w:pStyle w:val="178"/>
            </w:pPr>
            <w:r>
              <w:rPr>
                <w:rFonts w:hint="eastAsia"/>
              </w:rPr>
              <w:t>主要内容</w:t>
            </w:r>
          </w:p>
        </w:tc>
        <w:tc>
          <w:tcPr>
            <w:tcW w:w="3674" w:type="dxa"/>
            <w:tcBorders>
              <w:top w:val="single" w:color="auto" w:sz="8" w:space="0"/>
              <w:bottom w:val="single" w:color="auto" w:sz="8" w:space="0"/>
            </w:tcBorders>
            <w:shd w:val="clear" w:color="auto" w:fill="auto"/>
          </w:tcPr>
          <w:p w14:paraId="046F6E70">
            <w:pPr>
              <w:pStyle w:val="178"/>
            </w:pPr>
            <w:r>
              <w:rPr>
                <w:rFonts w:hint="eastAsia"/>
              </w:rPr>
              <w:t>输出结果</w:t>
            </w:r>
          </w:p>
        </w:tc>
      </w:tr>
      <w:tr w14:paraId="2FD9AF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400" w:type="dxa"/>
            <w:tcBorders>
              <w:top w:val="single" w:color="auto" w:sz="8" w:space="0"/>
            </w:tcBorders>
            <w:shd w:val="clear" w:color="auto" w:fill="auto"/>
          </w:tcPr>
          <w:p w14:paraId="29A1E760">
            <w:pPr>
              <w:pStyle w:val="178"/>
            </w:pPr>
            <w:r>
              <w:rPr>
                <w:rFonts w:hint="eastAsia"/>
              </w:rPr>
              <w:t>1</w:t>
            </w:r>
          </w:p>
        </w:tc>
        <w:tc>
          <w:tcPr>
            <w:tcW w:w="3260" w:type="dxa"/>
            <w:tcBorders>
              <w:top w:val="single" w:color="auto" w:sz="8" w:space="0"/>
            </w:tcBorders>
            <w:shd w:val="clear" w:color="auto" w:fill="auto"/>
          </w:tcPr>
          <w:p w14:paraId="43361F2C">
            <w:pPr>
              <w:pStyle w:val="178"/>
            </w:pPr>
            <w:r>
              <w:rPr>
                <w:rFonts w:hint="eastAsia"/>
              </w:rPr>
              <w:t>明确食品包装需求</w:t>
            </w:r>
          </w:p>
        </w:tc>
        <w:tc>
          <w:tcPr>
            <w:tcW w:w="3674" w:type="dxa"/>
            <w:tcBorders>
              <w:top w:val="single" w:color="auto" w:sz="8" w:space="0"/>
            </w:tcBorders>
            <w:shd w:val="clear" w:color="auto" w:fill="auto"/>
          </w:tcPr>
          <w:p w14:paraId="0E56B7E6">
            <w:pPr>
              <w:pStyle w:val="178"/>
            </w:pPr>
            <w:r>
              <w:rPr>
                <w:rFonts w:hint="eastAsia"/>
              </w:rPr>
              <w:t>功能需求清单</w:t>
            </w:r>
          </w:p>
        </w:tc>
      </w:tr>
      <w:tr w14:paraId="633707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400" w:type="dxa"/>
            <w:shd w:val="clear" w:color="auto" w:fill="auto"/>
          </w:tcPr>
          <w:p w14:paraId="4D1C430F">
            <w:pPr>
              <w:pStyle w:val="178"/>
            </w:pPr>
            <w:r>
              <w:rPr>
                <w:rFonts w:hint="eastAsia"/>
              </w:rPr>
              <w:t>2</w:t>
            </w:r>
          </w:p>
        </w:tc>
        <w:tc>
          <w:tcPr>
            <w:tcW w:w="3260" w:type="dxa"/>
            <w:shd w:val="clear" w:color="auto" w:fill="auto"/>
          </w:tcPr>
          <w:p w14:paraId="50457409">
            <w:pPr>
              <w:pStyle w:val="178"/>
            </w:pPr>
            <w:r>
              <w:rPr>
                <w:rFonts w:hint="eastAsia"/>
              </w:rPr>
              <w:t>初步筛选材料</w:t>
            </w:r>
          </w:p>
        </w:tc>
        <w:tc>
          <w:tcPr>
            <w:tcW w:w="3674" w:type="dxa"/>
            <w:shd w:val="clear" w:color="auto" w:fill="auto"/>
          </w:tcPr>
          <w:p w14:paraId="13815217">
            <w:pPr>
              <w:pStyle w:val="178"/>
            </w:pPr>
            <w:r>
              <w:rPr>
                <w:rFonts w:hint="eastAsia"/>
              </w:rPr>
              <w:t>候选材料列表</w:t>
            </w:r>
          </w:p>
        </w:tc>
      </w:tr>
      <w:tr w14:paraId="4656A7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400" w:type="dxa"/>
            <w:shd w:val="clear" w:color="auto" w:fill="auto"/>
          </w:tcPr>
          <w:p w14:paraId="5127E72F">
            <w:pPr>
              <w:pStyle w:val="178"/>
            </w:pPr>
            <w:r>
              <w:rPr>
                <w:rFonts w:hint="eastAsia"/>
              </w:rPr>
              <w:t>3</w:t>
            </w:r>
          </w:p>
        </w:tc>
        <w:tc>
          <w:tcPr>
            <w:tcW w:w="3260" w:type="dxa"/>
            <w:shd w:val="clear" w:color="auto" w:fill="auto"/>
          </w:tcPr>
          <w:p w14:paraId="02DCD191">
            <w:pPr>
              <w:pStyle w:val="178"/>
            </w:pPr>
            <w:r>
              <w:rPr>
                <w:rFonts w:hint="eastAsia"/>
              </w:rPr>
              <w:t>性能匹配分析</w:t>
            </w:r>
          </w:p>
        </w:tc>
        <w:tc>
          <w:tcPr>
            <w:tcW w:w="3674" w:type="dxa"/>
            <w:shd w:val="clear" w:color="auto" w:fill="auto"/>
          </w:tcPr>
          <w:p w14:paraId="6C6052D5">
            <w:pPr>
              <w:pStyle w:val="178"/>
            </w:pPr>
            <w:r>
              <w:rPr>
                <w:rFonts w:hint="eastAsia"/>
              </w:rPr>
              <w:t>材料性能匹配报告</w:t>
            </w:r>
          </w:p>
        </w:tc>
      </w:tr>
      <w:tr w14:paraId="613027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400" w:type="dxa"/>
            <w:shd w:val="clear" w:color="auto" w:fill="auto"/>
          </w:tcPr>
          <w:p w14:paraId="055916A3">
            <w:pPr>
              <w:pStyle w:val="178"/>
            </w:pPr>
            <w:r>
              <w:rPr>
                <w:rFonts w:hint="eastAsia"/>
              </w:rPr>
              <w:t>4</w:t>
            </w:r>
          </w:p>
        </w:tc>
        <w:tc>
          <w:tcPr>
            <w:tcW w:w="3260" w:type="dxa"/>
            <w:shd w:val="clear" w:color="auto" w:fill="auto"/>
          </w:tcPr>
          <w:p w14:paraId="45C62D27">
            <w:pPr>
              <w:pStyle w:val="178"/>
            </w:pPr>
            <w:r>
              <w:rPr>
                <w:rFonts w:hint="eastAsia"/>
              </w:rPr>
              <w:t>风险评估与权衡</w:t>
            </w:r>
          </w:p>
        </w:tc>
        <w:tc>
          <w:tcPr>
            <w:tcW w:w="3674" w:type="dxa"/>
            <w:shd w:val="clear" w:color="auto" w:fill="auto"/>
          </w:tcPr>
          <w:p w14:paraId="5EBF0503">
            <w:pPr>
              <w:pStyle w:val="178"/>
            </w:pPr>
            <w:r>
              <w:rPr>
                <w:rFonts w:hint="eastAsia"/>
              </w:rPr>
              <w:t>风险分析与应对建议</w:t>
            </w:r>
          </w:p>
        </w:tc>
      </w:tr>
      <w:tr w14:paraId="3DB5B5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400" w:type="dxa"/>
            <w:shd w:val="clear" w:color="auto" w:fill="auto"/>
          </w:tcPr>
          <w:p w14:paraId="0F719432">
            <w:pPr>
              <w:pStyle w:val="178"/>
            </w:pPr>
            <w:r>
              <w:rPr>
                <w:rFonts w:hint="eastAsia"/>
              </w:rPr>
              <w:t>5</w:t>
            </w:r>
          </w:p>
        </w:tc>
        <w:tc>
          <w:tcPr>
            <w:tcW w:w="3260" w:type="dxa"/>
            <w:shd w:val="clear" w:color="auto" w:fill="auto"/>
          </w:tcPr>
          <w:p w14:paraId="134EF26C">
            <w:pPr>
              <w:pStyle w:val="178"/>
            </w:pPr>
            <w:r>
              <w:rPr>
                <w:rFonts w:hint="eastAsia"/>
              </w:rPr>
              <w:t>最终材料决策</w:t>
            </w:r>
          </w:p>
        </w:tc>
        <w:tc>
          <w:tcPr>
            <w:tcW w:w="3674" w:type="dxa"/>
            <w:shd w:val="clear" w:color="auto" w:fill="auto"/>
          </w:tcPr>
          <w:p w14:paraId="56B6CBCF">
            <w:pPr>
              <w:pStyle w:val="178"/>
            </w:pPr>
            <w:r>
              <w:rPr>
                <w:rFonts w:hint="eastAsia"/>
              </w:rPr>
              <w:t>选材决策记录</w:t>
            </w:r>
          </w:p>
        </w:tc>
      </w:tr>
      <w:tr w14:paraId="57D5FE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400" w:type="dxa"/>
            <w:shd w:val="clear" w:color="auto" w:fill="auto"/>
          </w:tcPr>
          <w:p w14:paraId="7EFAAF15">
            <w:pPr>
              <w:pStyle w:val="178"/>
            </w:pPr>
            <w:r>
              <w:rPr>
                <w:rFonts w:hint="eastAsia"/>
              </w:rPr>
              <w:t>6</w:t>
            </w:r>
          </w:p>
        </w:tc>
        <w:tc>
          <w:tcPr>
            <w:tcW w:w="3260" w:type="dxa"/>
            <w:shd w:val="clear" w:color="auto" w:fill="auto"/>
          </w:tcPr>
          <w:p w14:paraId="721BA8B8">
            <w:pPr>
              <w:pStyle w:val="178"/>
            </w:pPr>
            <w:r>
              <w:rPr>
                <w:rFonts w:hint="eastAsia"/>
              </w:rPr>
              <w:t>动态调整与优化</w:t>
            </w:r>
          </w:p>
        </w:tc>
        <w:tc>
          <w:tcPr>
            <w:tcW w:w="3674" w:type="dxa"/>
            <w:shd w:val="clear" w:color="auto" w:fill="auto"/>
          </w:tcPr>
          <w:p w14:paraId="2A2490DC">
            <w:pPr>
              <w:pStyle w:val="178"/>
            </w:pPr>
            <w:r>
              <w:rPr>
                <w:rFonts w:hint="eastAsia"/>
              </w:rPr>
              <w:t>更新材料方案与优化记录</w:t>
            </w:r>
          </w:p>
        </w:tc>
      </w:tr>
    </w:tbl>
    <w:p w14:paraId="6030D3D2">
      <w:pPr>
        <w:pStyle w:val="104"/>
        <w:spacing w:before="240" w:after="240" w:line="360" w:lineRule="auto"/>
      </w:pPr>
      <w:bookmarkStart w:id="56" w:name="_Toc209891122"/>
      <w:r>
        <w:rPr>
          <w:rFonts w:hint="eastAsia"/>
        </w:rPr>
        <w:t>材料应用指导</w:t>
      </w:r>
      <w:bookmarkEnd w:id="56"/>
    </w:p>
    <w:p w14:paraId="78AAEB0C">
      <w:pPr>
        <w:pStyle w:val="105"/>
        <w:spacing w:before="120" w:after="120" w:line="360" w:lineRule="auto"/>
      </w:pPr>
      <w:r>
        <w:rPr>
          <w:rFonts w:hint="eastAsia"/>
        </w:rPr>
        <w:t>食品类型与材料匹配</w:t>
      </w:r>
    </w:p>
    <w:p w14:paraId="500833F4">
      <w:pPr>
        <w:pStyle w:val="56"/>
        <w:spacing w:line="360" w:lineRule="auto"/>
        <w:ind w:firstLine="420"/>
      </w:pPr>
      <w:r>
        <w:rPr>
          <w:rFonts w:hint="eastAsia"/>
        </w:rPr>
        <w:t>针对不同食品类型，应选择适合的可降解材料。例如，易氧化或易吸湿食品对阻隔性和防潮性要求较高，适宜选择阻隔性能优异的复合材料；轻型一次性包装食品可选用生物基材料，以降低环境负荷。材料选择应结合性能评估结果和实际储运条件。</w:t>
      </w:r>
    </w:p>
    <w:p w14:paraId="43A94490">
      <w:pPr>
        <w:pStyle w:val="105"/>
        <w:spacing w:before="120" w:after="120" w:line="360" w:lineRule="auto"/>
      </w:pPr>
      <w:r>
        <w:rPr>
          <w:rFonts w:hint="eastAsia"/>
        </w:rPr>
        <w:t>加工工艺指导</w:t>
      </w:r>
    </w:p>
    <w:p w14:paraId="41F0B23B">
      <w:pPr>
        <w:pStyle w:val="165"/>
        <w:spacing w:line="360" w:lineRule="auto"/>
      </w:pPr>
      <w:r>
        <w:rPr>
          <w:rFonts w:hint="eastAsia"/>
        </w:rPr>
        <w:t>可降解材料在加工过程中可能受到温度、压力和机械应力的影响，应根据材料特性选择适宜的加工工艺。例如，PLA材料适宜低温吹膜和热封加工，复合材料可通过共挤或多层复合工艺实现性能优化。</w:t>
      </w:r>
    </w:p>
    <w:p w14:paraId="4FB81603">
      <w:pPr>
        <w:pStyle w:val="165"/>
        <w:spacing w:line="360" w:lineRule="auto"/>
      </w:pPr>
      <w:r>
        <w:rPr>
          <w:rFonts w:hint="eastAsia"/>
        </w:rPr>
        <w:t>加工过程中应避免材料过热、拉伸或剪切过度，以免影响力学性能和降解性能。</w:t>
      </w:r>
    </w:p>
    <w:p w14:paraId="54282635">
      <w:pPr>
        <w:pStyle w:val="105"/>
        <w:spacing w:before="120" w:after="120" w:line="360" w:lineRule="auto"/>
      </w:pPr>
      <w:r>
        <w:rPr>
          <w:rFonts w:hint="eastAsia"/>
        </w:rPr>
        <w:t>储运与使用注意事项</w:t>
      </w:r>
    </w:p>
    <w:p w14:paraId="4456D4B3">
      <w:pPr>
        <w:pStyle w:val="165"/>
        <w:spacing w:line="360" w:lineRule="auto"/>
      </w:pPr>
      <w:r>
        <w:rPr>
          <w:rFonts w:hint="eastAsia"/>
        </w:rPr>
        <w:t>材料在储存、运输及使用过程中，应保持干燥、避光、低温和良好通风条件，防止提前降解或性能劣化。包装成品应按照食品类型和储运要求进行分类存放，避免与高温、高湿、化学品接触。</w:t>
      </w:r>
    </w:p>
    <w:p w14:paraId="4F3668D4">
      <w:pPr>
        <w:pStyle w:val="165"/>
        <w:spacing w:line="360" w:lineRule="auto"/>
      </w:pPr>
      <w:r>
        <w:rPr>
          <w:rFonts w:hint="eastAsia"/>
        </w:rPr>
        <w:t>对长期储存的包装材料，应定期检查性能变化，确保在使用时满足安全和功能要求。</w:t>
      </w:r>
    </w:p>
    <w:p w14:paraId="2BB646AF">
      <w:pPr>
        <w:pStyle w:val="112"/>
        <w:spacing w:before="120" w:after="120" w:line="360" w:lineRule="auto"/>
      </w:pPr>
      <w:r>
        <w:rPr>
          <w:rFonts w:hint="eastAsia"/>
        </w:rPr>
        <w:t>食品类型与可降解包装材料匹配示例</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983"/>
        <w:gridCol w:w="1417"/>
        <w:gridCol w:w="1559"/>
        <w:gridCol w:w="1701"/>
        <w:gridCol w:w="2118"/>
        <w:gridCol w:w="1556"/>
      </w:tblGrid>
      <w:tr w14:paraId="55AB41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983" w:type="dxa"/>
            <w:tcBorders>
              <w:top w:val="single" w:color="auto" w:sz="8" w:space="0"/>
              <w:bottom w:val="single" w:color="auto" w:sz="8" w:space="0"/>
            </w:tcBorders>
            <w:shd w:val="clear" w:color="auto" w:fill="auto"/>
            <w:vAlign w:val="center"/>
          </w:tcPr>
          <w:p w14:paraId="4088AF29">
            <w:pPr>
              <w:pStyle w:val="178"/>
            </w:pPr>
            <w:r>
              <w:rPr>
                <w:rFonts w:hint="eastAsia"/>
              </w:rPr>
              <w:t>序号</w:t>
            </w:r>
          </w:p>
        </w:tc>
        <w:tc>
          <w:tcPr>
            <w:tcW w:w="1417" w:type="dxa"/>
            <w:tcBorders>
              <w:top w:val="single" w:color="auto" w:sz="8" w:space="0"/>
              <w:bottom w:val="single" w:color="auto" w:sz="8" w:space="0"/>
            </w:tcBorders>
            <w:shd w:val="clear" w:color="auto" w:fill="auto"/>
            <w:vAlign w:val="center"/>
          </w:tcPr>
          <w:p w14:paraId="56B49A6D">
            <w:pPr>
              <w:pStyle w:val="178"/>
            </w:pPr>
            <w:r>
              <w:rPr>
                <w:rFonts w:hint="eastAsia"/>
              </w:rPr>
              <w:t>食品类型</w:t>
            </w:r>
          </w:p>
        </w:tc>
        <w:tc>
          <w:tcPr>
            <w:tcW w:w="1559" w:type="dxa"/>
            <w:tcBorders>
              <w:top w:val="single" w:color="auto" w:sz="8" w:space="0"/>
              <w:bottom w:val="single" w:color="auto" w:sz="8" w:space="0"/>
            </w:tcBorders>
            <w:shd w:val="clear" w:color="auto" w:fill="auto"/>
            <w:vAlign w:val="center"/>
          </w:tcPr>
          <w:p w14:paraId="69951BF7">
            <w:pPr>
              <w:pStyle w:val="178"/>
            </w:pPr>
            <w:r>
              <w:rPr>
                <w:rFonts w:hint="eastAsia"/>
              </w:rPr>
              <w:t>包装形式</w:t>
            </w:r>
          </w:p>
        </w:tc>
        <w:tc>
          <w:tcPr>
            <w:tcW w:w="1701" w:type="dxa"/>
            <w:tcBorders>
              <w:top w:val="single" w:color="auto" w:sz="8" w:space="0"/>
              <w:bottom w:val="single" w:color="auto" w:sz="8" w:space="0"/>
            </w:tcBorders>
            <w:shd w:val="clear" w:color="auto" w:fill="auto"/>
            <w:vAlign w:val="center"/>
          </w:tcPr>
          <w:p w14:paraId="185EC0CE">
            <w:pPr>
              <w:pStyle w:val="178"/>
            </w:pPr>
            <w:r>
              <w:rPr>
                <w:rFonts w:hint="eastAsia"/>
              </w:rPr>
              <w:t>推荐材料类型</w:t>
            </w:r>
          </w:p>
        </w:tc>
        <w:tc>
          <w:tcPr>
            <w:tcW w:w="2118" w:type="dxa"/>
            <w:tcBorders>
              <w:top w:val="single" w:color="auto" w:sz="8" w:space="0"/>
              <w:bottom w:val="single" w:color="auto" w:sz="8" w:space="0"/>
            </w:tcBorders>
            <w:shd w:val="clear" w:color="auto" w:fill="auto"/>
            <w:vAlign w:val="center"/>
          </w:tcPr>
          <w:p w14:paraId="06174BCC">
            <w:pPr>
              <w:pStyle w:val="178"/>
            </w:pPr>
            <w:r>
              <w:rPr>
                <w:rFonts w:hint="eastAsia"/>
              </w:rPr>
              <w:t>主要性能要求</w:t>
            </w:r>
          </w:p>
        </w:tc>
        <w:tc>
          <w:tcPr>
            <w:tcW w:w="1556" w:type="dxa"/>
            <w:tcBorders>
              <w:top w:val="single" w:color="auto" w:sz="8" w:space="0"/>
              <w:bottom w:val="single" w:color="auto" w:sz="8" w:space="0"/>
            </w:tcBorders>
            <w:shd w:val="clear" w:color="auto" w:fill="auto"/>
            <w:vAlign w:val="center"/>
          </w:tcPr>
          <w:p w14:paraId="46C383FC">
            <w:pPr>
              <w:pStyle w:val="178"/>
            </w:pPr>
            <w:r>
              <w:rPr>
                <w:rFonts w:hint="eastAsia"/>
              </w:rPr>
              <w:t>使用注意事项</w:t>
            </w:r>
          </w:p>
        </w:tc>
      </w:tr>
      <w:tr w14:paraId="661E88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83" w:type="dxa"/>
            <w:tcBorders>
              <w:top w:val="single" w:color="auto" w:sz="8" w:space="0"/>
            </w:tcBorders>
            <w:shd w:val="clear" w:color="auto" w:fill="auto"/>
            <w:vAlign w:val="center"/>
          </w:tcPr>
          <w:p w14:paraId="25F11586">
            <w:pPr>
              <w:pStyle w:val="178"/>
            </w:pPr>
            <w:r>
              <w:rPr>
                <w:rFonts w:hint="eastAsia"/>
              </w:rPr>
              <w:t>1</w:t>
            </w:r>
          </w:p>
        </w:tc>
        <w:tc>
          <w:tcPr>
            <w:tcW w:w="1417" w:type="dxa"/>
            <w:tcBorders>
              <w:top w:val="single" w:color="auto" w:sz="8" w:space="0"/>
            </w:tcBorders>
            <w:shd w:val="clear" w:color="auto" w:fill="auto"/>
            <w:vAlign w:val="center"/>
          </w:tcPr>
          <w:p w14:paraId="2CD380E9">
            <w:pPr>
              <w:pStyle w:val="178"/>
            </w:pPr>
            <w:r>
              <w:rPr>
                <w:rFonts w:hint="eastAsia"/>
              </w:rPr>
              <w:t>轻型一次性食品</w:t>
            </w:r>
          </w:p>
        </w:tc>
        <w:tc>
          <w:tcPr>
            <w:tcW w:w="1559" w:type="dxa"/>
            <w:tcBorders>
              <w:top w:val="single" w:color="auto" w:sz="8" w:space="0"/>
            </w:tcBorders>
            <w:shd w:val="clear" w:color="auto" w:fill="auto"/>
            <w:vAlign w:val="center"/>
          </w:tcPr>
          <w:p w14:paraId="49052C35">
            <w:pPr>
              <w:pStyle w:val="178"/>
            </w:pPr>
            <w:r>
              <w:rPr>
                <w:rFonts w:hint="eastAsia"/>
              </w:rPr>
              <w:t>袋装、盒装</w:t>
            </w:r>
          </w:p>
        </w:tc>
        <w:tc>
          <w:tcPr>
            <w:tcW w:w="1701" w:type="dxa"/>
            <w:tcBorders>
              <w:top w:val="single" w:color="auto" w:sz="8" w:space="0"/>
            </w:tcBorders>
            <w:shd w:val="clear" w:color="auto" w:fill="auto"/>
            <w:vAlign w:val="center"/>
          </w:tcPr>
          <w:p w14:paraId="667DC49E">
            <w:pPr>
              <w:pStyle w:val="178"/>
            </w:pPr>
            <w:r>
              <w:rPr>
                <w:rFonts w:hint="eastAsia"/>
              </w:rPr>
              <w:t>生物基材料</w:t>
            </w:r>
          </w:p>
        </w:tc>
        <w:tc>
          <w:tcPr>
            <w:tcW w:w="2118" w:type="dxa"/>
            <w:tcBorders>
              <w:top w:val="single" w:color="auto" w:sz="8" w:space="0"/>
            </w:tcBorders>
            <w:shd w:val="clear" w:color="auto" w:fill="auto"/>
            <w:vAlign w:val="center"/>
          </w:tcPr>
          <w:p w14:paraId="01ECD9AA">
            <w:pPr>
              <w:pStyle w:val="178"/>
            </w:pPr>
            <w:r>
              <w:rPr>
                <w:rFonts w:hint="eastAsia"/>
              </w:rPr>
              <w:t>力学性能适中、可降解性好</w:t>
            </w:r>
          </w:p>
        </w:tc>
        <w:tc>
          <w:tcPr>
            <w:tcW w:w="1556" w:type="dxa"/>
            <w:tcBorders>
              <w:top w:val="single" w:color="auto" w:sz="8" w:space="0"/>
            </w:tcBorders>
            <w:shd w:val="clear" w:color="auto" w:fill="auto"/>
            <w:vAlign w:val="center"/>
          </w:tcPr>
          <w:p w14:paraId="7666F053">
            <w:pPr>
              <w:pStyle w:val="178"/>
            </w:pPr>
            <w:r>
              <w:rPr>
                <w:rFonts w:hint="eastAsia"/>
              </w:rPr>
              <w:t>避光、低温、干燥储存</w:t>
            </w:r>
          </w:p>
        </w:tc>
      </w:tr>
      <w:tr w14:paraId="34B9B1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83" w:type="dxa"/>
            <w:shd w:val="clear" w:color="auto" w:fill="auto"/>
            <w:vAlign w:val="center"/>
          </w:tcPr>
          <w:p w14:paraId="3C62D51E">
            <w:pPr>
              <w:pStyle w:val="178"/>
            </w:pPr>
            <w:r>
              <w:rPr>
                <w:rFonts w:hint="eastAsia"/>
              </w:rPr>
              <w:t>2</w:t>
            </w:r>
          </w:p>
        </w:tc>
        <w:tc>
          <w:tcPr>
            <w:tcW w:w="1417" w:type="dxa"/>
            <w:shd w:val="clear" w:color="auto" w:fill="auto"/>
            <w:vAlign w:val="center"/>
          </w:tcPr>
          <w:p w14:paraId="3696BE9C">
            <w:pPr>
              <w:pStyle w:val="178"/>
            </w:pPr>
            <w:r>
              <w:rPr>
                <w:rFonts w:hint="eastAsia"/>
              </w:rPr>
              <w:t>油脂类食品</w:t>
            </w:r>
          </w:p>
        </w:tc>
        <w:tc>
          <w:tcPr>
            <w:tcW w:w="1559" w:type="dxa"/>
            <w:shd w:val="clear" w:color="auto" w:fill="auto"/>
            <w:vAlign w:val="center"/>
          </w:tcPr>
          <w:p w14:paraId="501B30ED">
            <w:pPr>
              <w:pStyle w:val="178"/>
            </w:pPr>
            <w:r>
              <w:rPr>
                <w:rFonts w:hint="eastAsia"/>
              </w:rPr>
              <w:t>袋装、托盘</w:t>
            </w:r>
          </w:p>
        </w:tc>
        <w:tc>
          <w:tcPr>
            <w:tcW w:w="1701" w:type="dxa"/>
            <w:shd w:val="clear" w:color="auto" w:fill="auto"/>
            <w:vAlign w:val="center"/>
          </w:tcPr>
          <w:p w14:paraId="3E30CE29">
            <w:pPr>
              <w:pStyle w:val="178"/>
            </w:pPr>
            <w:r>
              <w:rPr>
                <w:rFonts w:hint="eastAsia"/>
              </w:rPr>
              <w:t>复合材料</w:t>
            </w:r>
          </w:p>
        </w:tc>
        <w:tc>
          <w:tcPr>
            <w:tcW w:w="2118" w:type="dxa"/>
            <w:shd w:val="clear" w:color="auto" w:fill="auto"/>
            <w:vAlign w:val="center"/>
          </w:tcPr>
          <w:p w14:paraId="7161E178">
            <w:pPr>
              <w:pStyle w:val="178"/>
            </w:pPr>
            <w:r>
              <w:rPr>
                <w:rFonts w:hint="eastAsia"/>
              </w:rPr>
              <w:t>阻隔性好、耐油性优</w:t>
            </w:r>
          </w:p>
        </w:tc>
        <w:tc>
          <w:tcPr>
            <w:tcW w:w="1556" w:type="dxa"/>
            <w:shd w:val="clear" w:color="auto" w:fill="auto"/>
            <w:vAlign w:val="center"/>
          </w:tcPr>
          <w:p w14:paraId="5313ABFC">
            <w:pPr>
              <w:pStyle w:val="178"/>
            </w:pPr>
            <w:r>
              <w:rPr>
                <w:rFonts w:hint="eastAsia"/>
              </w:rPr>
              <w:t>防潮、防污染</w:t>
            </w:r>
          </w:p>
        </w:tc>
      </w:tr>
      <w:tr w14:paraId="7E3C9D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83" w:type="dxa"/>
            <w:shd w:val="clear" w:color="auto" w:fill="auto"/>
            <w:vAlign w:val="center"/>
          </w:tcPr>
          <w:p w14:paraId="52EA85BE">
            <w:pPr>
              <w:pStyle w:val="178"/>
            </w:pPr>
            <w:r>
              <w:rPr>
                <w:rFonts w:hint="eastAsia"/>
              </w:rPr>
              <w:t>3</w:t>
            </w:r>
          </w:p>
        </w:tc>
        <w:tc>
          <w:tcPr>
            <w:tcW w:w="1417" w:type="dxa"/>
            <w:shd w:val="clear" w:color="auto" w:fill="auto"/>
            <w:vAlign w:val="center"/>
          </w:tcPr>
          <w:p w14:paraId="0A19A4EA">
            <w:pPr>
              <w:pStyle w:val="178"/>
            </w:pPr>
            <w:r>
              <w:rPr>
                <w:rFonts w:hint="eastAsia"/>
              </w:rPr>
              <w:t>易氧化食品</w:t>
            </w:r>
          </w:p>
        </w:tc>
        <w:tc>
          <w:tcPr>
            <w:tcW w:w="1559" w:type="dxa"/>
            <w:shd w:val="clear" w:color="auto" w:fill="auto"/>
            <w:vAlign w:val="center"/>
          </w:tcPr>
          <w:p w14:paraId="14D86526">
            <w:pPr>
              <w:pStyle w:val="178"/>
            </w:pPr>
            <w:r>
              <w:rPr>
                <w:rFonts w:hint="eastAsia"/>
              </w:rPr>
              <w:t>多层包装、真空包装</w:t>
            </w:r>
          </w:p>
        </w:tc>
        <w:tc>
          <w:tcPr>
            <w:tcW w:w="1701" w:type="dxa"/>
            <w:shd w:val="clear" w:color="auto" w:fill="auto"/>
            <w:vAlign w:val="center"/>
          </w:tcPr>
          <w:p w14:paraId="4CAD28DD">
            <w:pPr>
              <w:pStyle w:val="178"/>
            </w:pPr>
            <w:r>
              <w:rPr>
                <w:rFonts w:hint="eastAsia"/>
              </w:rPr>
              <w:t>复合材料</w:t>
            </w:r>
          </w:p>
        </w:tc>
        <w:tc>
          <w:tcPr>
            <w:tcW w:w="2118" w:type="dxa"/>
            <w:shd w:val="clear" w:color="auto" w:fill="auto"/>
            <w:vAlign w:val="center"/>
          </w:tcPr>
          <w:p w14:paraId="2A0579C2">
            <w:pPr>
              <w:pStyle w:val="178"/>
            </w:pPr>
            <w:r>
              <w:rPr>
                <w:rFonts w:hint="eastAsia"/>
              </w:rPr>
              <w:t>阻隔性高、力学性能稳定</w:t>
            </w:r>
          </w:p>
        </w:tc>
        <w:tc>
          <w:tcPr>
            <w:tcW w:w="1556" w:type="dxa"/>
            <w:shd w:val="clear" w:color="auto" w:fill="auto"/>
            <w:vAlign w:val="center"/>
          </w:tcPr>
          <w:p w14:paraId="2F1CC84A">
            <w:pPr>
              <w:pStyle w:val="178"/>
            </w:pPr>
            <w:r>
              <w:rPr>
                <w:rFonts w:hint="eastAsia"/>
              </w:rPr>
              <w:t>避光、低温、湿度控制</w:t>
            </w:r>
          </w:p>
        </w:tc>
      </w:tr>
      <w:tr w14:paraId="73D9ED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83" w:type="dxa"/>
            <w:shd w:val="clear" w:color="auto" w:fill="auto"/>
            <w:vAlign w:val="center"/>
          </w:tcPr>
          <w:p w14:paraId="766B1AFD">
            <w:pPr>
              <w:pStyle w:val="178"/>
            </w:pPr>
            <w:r>
              <w:rPr>
                <w:rFonts w:hint="eastAsia"/>
              </w:rPr>
              <w:t>4</w:t>
            </w:r>
          </w:p>
        </w:tc>
        <w:tc>
          <w:tcPr>
            <w:tcW w:w="1417" w:type="dxa"/>
            <w:shd w:val="clear" w:color="auto" w:fill="auto"/>
            <w:vAlign w:val="center"/>
          </w:tcPr>
          <w:p w14:paraId="05F74689">
            <w:pPr>
              <w:pStyle w:val="178"/>
            </w:pPr>
            <w:r>
              <w:rPr>
                <w:rFonts w:hint="eastAsia"/>
              </w:rPr>
              <w:t>水果蔬菜</w:t>
            </w:r>
          </w:p>
        </w:tc>
        <w:tc>
          <w:tcPr>
            <w:tcW w:w="1559" w:type="dxa"/>
            <w:shd w:val="clear" w:color="auto" w:fill="auto"/>
            <w:vAlign w:val="center"/>
          </w:tcPr>
          <w:p w14:paraId="7A59BB86">
            <w:pPr>
              <w:pStyle w:val="178"/>
            </w:pPr>
            <w:r>
              <w:rPr>
                <w:rFonts w:hint="eastAsia"/>
              </w:rPr>
              <w:t>袋装、托盘</w:t>
            </w:r>
          </w:p>
        </w:tc>
        <w:tc>
          <w:tcPr>
            <w:tcW w:w="1701" w:type="dxa"/>
            <w:shd w:val="clear" w:color="auto" w:fill="auto"/>
            <w:vAlign w:val="center"/>
          </w:tcPr>
          <w:p w14:paraId="5F7C0800">
            <w:pPr>
              <w:pStyle w:val="178"/>
            </w:pPr>
            <w:r>
              <w:rPr>
                <w:rFonts w:hint="eastAsia"/>
              </w:rPr>
              <w:t>生物基/复合材料</w:t>
            </w:r>
          </w:p>
        </w:tc>
        <w:tc>
          <w:tcPr>
            <w:tcW w:w="2118" w:type="dxa"/>
            <w:shd w:val="clear" w:color="auto" w:fill="auto"/>
            <w:vAlign w:val="center"/>
          </w:tcPr>
          <w:p w14:paraId="344BDFD0">
            <w:pPr>
              <w:pStyle w:val="178"/>
            </w:pPr>
            <w:r>
              <w:rPr>
                <w:rFonts w:hint="eastAsia"/>
              </w:rPr>
              <w:t>通气性好、力学性能适中</w:t>
            </w:r>
          </w:p>
        </w:tc>
        <w:tc>
          <w:tcPr>
            <w:tcW w:w="1556" w:type="dxa"/>
            <w:shd w:val="clear" w:color="auto" w:fill="auto"/>
            <w:vAlign w:val="center"/>
          </w:tcPr>
          <w:p w14:paraId="5DD5F30C">
            <w:pPr>
              <w:pStyle w:val="178"/>
            </w:pPr>
            <w:r>
              <w:rPr>
                <w:rFonts w:hint="eastAsia"/>
              </w:rPr>
              <w:t>避高温、防压损</w:t>
            </w:r>
          </w:p>
        </w:tc>
      </w:tr>
      <w:tr w14:paraId="54B8C1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83" w:type="dxa"/>
            <w:shd w:val="clear" w:color="auto" w:fill="auto"/>
            <w:vAlign w:val="center"/>
          </w:tcPr>
          <w:p w14:paraId="0A8A4DE9">
            <w:pPr>
              <w:pStyle w:val="178"/>
            </w:pPr>
            <w:r>
              <w:rPr>
                <w:rFonts w:hint="eastAsia"/>
              </w:rPr>
              <w:t>5</w:t>
            </w:r>
          </w:p>
        </w:tc>
        <w:tc>
          <w:tcPr>
            <w:tcW w:w="1417" w:type="dxa"/>
            <w:shd w:val="clear" w:color="auto" w:fill="auto"/>
            <w:vAlign w:val="center"/>
          </w:tcPr>
          <w:p w14:paraId="76DB93D2">
            <w:pPr>
              <w:pStyle w:val="178"/>
            </w:pPr>
            <w:r>
              <w:rPr>
                <w:rFonts w:hint="eastAsia"/>
              </w:rPr>
              <w:t>饼干、干果</w:t>
            </w:r>
          </w:p>
        </w:tc>
        <w:tc>
          <w:tcPr>
            <w:tcW w:w="1559" w:type="dxa"/>
            <w:shd w:val="clear" w:color="auto" w:fill="auto"/>
            <w:vAlign w:val="center"/>
          </w:tcPr>
          <w:p w14:paraId="60C2D79F">
            <w:pPr>
              <w:pStyle w:val="178"/>
            </w:pPr>
            <w:r>
              <w:rPr>
                <w:rFonts w:hint="eastAsia"/>
              </w:rPr>
              <w:t>袋装、盒装</w:t>
            </w:r>
          </w:p>
        </w:tc>
        <w:tc>
          <w:tcPr>
            <w:tcW w:w="1701" w:type="dxa"/>
            <w:shd w:val="clear" w:color="auto" w:fill="auto"/>
            <w:vAlign w:val="center"/>
          </w:tcPr>
          <w:p w14:paraId="2DD6E42D">
            <w:pPr>
              <w:pStyle w:val="178"/>
            </w:pPr>
            <w:r>
              <w:rPr>
                <w:rFonts w:hint="eastAsia"/>
              </w:rPr>
              <w:t>PLA复合材料</w:t>
            </w:r>
          </w:p>
        </w:tc>
        <w:tc>
          <w:tcPr>
            <w:tcW w:w="2118" w:type="dxa"/>
            <w:shd w:val="clear" w:color="auto" w:fill="auto"/>
            <w:vAlign w:val="center"/>
          </w:tcPr>
          <w:p w14:paraId="27FC5E07">
            <w:pPr>
              <w:pStyle w:val="178"/>
            </w:pPr>
            <w:r>
              <w:rPr>
                <w:rFonts w:hint="eastAsia"/>
              </w:rPr>
              <w:t>阻隔性适中、力学性能稳定</w:t>
            </w:r>
          </w:p>
        </w:tc>
        <w:tc>
          <w:tcPr>
            <w:tcW w:w="1556" w:type="dxa"/>
            <w:shd w:val="clear" w:color="auto" w:fill="auto"/>
            <w:vAlign w:val="center"/>
          </w:tcPr>
          <w:p w14:paraId="17AFF78E">
            <w:pPr>
              <w:pStyle w:val="178"/>
            </w:pPr>
            <w:r>
              <w:rPr>
                <w:rFonts w:hint="eastAsia"/>
              </w:rPr>
              <w:t>干燥储存、避免高温</w:t>
            </w:r>
          </w:p>
        </w:tc>
      </w:tr>
    </w:tbl>
    <w:p w14:paraId="43CE2391">
      <w:pPr>
        <w:pStyle w:val="105"/>
        <w:spacing w:before="120" w:after="120" w:line="360" w:lineRule="auto"/>
      </w:pPr>
      <w:r>
        <w:rPr>
          <w:rFonts w:hint="eastAsia"/>
        </w:rPr>
        <w:t>环境与回收</w:t>
      </w:r>
    </w:p>
    <w:p w14:paraId="56374525">
      <w:pPr>
        <w:pStyle w:val="56"/>
        <w:spacing w:line="360" w:lineRule="auto"/>
        <w:ind w:firstLine="420"/>
      </w:pPr>
      <w:r>
        <w:rPr>
          <w:rFonts w:hint="eastAsia"/>
        </w:rPr>
        <w:t>包装材料应符合可降解环保要求，使用后可在堆肥或适宜环境下降解。企业应建立包装废弃物回收和降解管理制度，确保材料在使用后能够实现环境友好处理，减少对生态环境的影响。</w:t>
      </w:r>
    </w:p>
    <w:p w14:paraId="281A22CF">
      <w:pPr>
        <w:pStyle w:val="105"/>
        <w:spacing w:before="120" w:after="120" w:line="360" w:lineRule="auto"/>
      </w:pPr>
      <w:r>
        <w:rPr>
          <w:rFonts w:hint="eastAsia"/>
        </w:rPr>
        <w:t>持续优化应用</w:t>
      </w:r>
    </w:p>
    <w:p w14:paraId="633F45F5">
      <w:pPr>
        <w:pStyle w:val="56"/>
        <w:spacing w:line="360" w:lineRule="auto"/>
        <w:ind w:firstLine="420"/>
      </w:pPr>
      <w:r>
        <w:rPr>
          <w:rFonts w:hint="eastAsia"/>
        </w:rPr>
        <w:t>在材料应用过程中，应结合使用反馈、性能评估数据及市场需求，不断优化材料选择和包装设计。通过改进加工工艺、调整材料配比和升级复合技术，实现食品安全、功能性能和环保目标的有机统一。</w:t>
      </w:r>
    </w:p>
    <w:bookmarkEnd w:id="26"/>
    <w:p w14:paraId="615CCFFB">
      <w:pPr>
        <w:pStyle w:val="56"/>
        <w:ind w:firstLine="0" w:firstLineChars="0"/>
        <w:jc w:val="center"/>
      </w:pPr>
      <w:bookmarkStart w:id="57" w:name="BookMark8"/>
      <w:r>
        <w:rPr>
          <w:rFonts w:hint="eastAsia"/>
        </w:rPr>
        <w:drawing>
          <wp:inline distT="0" distB="0" distL="0" distR="0">
            <wp:extent cx="1485900" cy="317500"/>
            <wp:effectExtent l="0" t="0" r="0" b="6350"/>
            <wp:docPr id="1776010371" name="图片 1"/>
            <wp:cNvGraphicFramePr/>
            <a:graphic xmlns:a="http://schemas.openxmlformats.org/drawingml/2006/main">
              <a:graphicData uri="http://schemas.openxmlformats.org/drawingml/2006/picture">
                <pic:pic xmlns:pic="http://schemas.openxmlformats.org/drawingml/2006/picture">
                  <pic:nvPicPr>
                    <pic:cNvPr id="1776010371" name="图片 1"/>
                    <pic:cNvPicPr/>
                  </pic:nvPicPr>
                  <pic:blipFill>
                    <a:blip r:embed="rId3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7"/>
    </w:p>
    <w:sectPr>
      <w:headerReference r:id="rId23" w:type="default"/>
      <w:footerReference r:id="rId25" w:type="default"/>
      <w:headerReference r:id="rId24" w:type="even"/>
      <w:footerReference r:id="rId26"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A94E3">
    <w:pPr>
      <w:pStyle w:val="17"/>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9C26F">
    <w:pPr>
      <w:pStyle w:val="51"/>
    </w:pPr>
    <w:r>
      <w:fldChar w:fldCharType="begin"/>
    </w:r>
    <w:r>
      <w:instrText xml:space="preserve"> PAGE   \* MERGEFORMAT \* MERGEFORMAT </w:instrText>
    </w:r>
    <w:r>
      <w:fldChar w:fldCharType="separate"/>
    </w:r>
    <w: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7BAE1">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F4FF8">
    <w:pPr>
      <w:pStyle w:val="52"/>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17D6F">
    <w:pPr>
      <w:pStyle w:val="51"/>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6D285">
    <w:pPr>
      <w:pStyle w:val="52"/>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26167">
    <w:pPr>
      <w:pStyle w:val="51"/>
    </w:pPr>
    <w:r>
      <w:fldChar w:fldCharType="begin"/>
    </w:r>
    <w:r>
      <w:instrText xml:space="preserve"> PAGE   \* MERGEFORMAT \* MERGEFORMAT </w:instrText>
    </w:r>
    <w:r>
      <w:fldChar w:fldCharType="separate"/>
    </w:r>
    <w:r>
      <w:t>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C0092">
    <w:pPr>
      <w:pStyle w:val="52"/>
    </w:pPr>
    <w:r>
      <w:fldChar w:fldCharType="begin"/>
    </w:r>
    <w:r>
      <w:instrText xml:space="preserve">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E9805">
    <w:pPr>
      <w:pStyle w:val="51"/>
    </w:pPr>
    <w:r>
      <w:fldChar w:fldCharType="begin"/>
    </w:r>
    <w:r>
      <w:instrText xml:space="preserve"> PAGE   \* MERGEFORMAT \* MERGEFORMAT </w:instrText>
    </w:r>
    <w:r>
      <w:fldChar w:fldCharType="separate"/>
    </w:r>
    <w: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831BF">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4C8A8">
    <w:pPr>
      <w:pStyle w:val="18"/>
      <w:wordWrap w:val="0"/>
      <w:jc w:val="right"/>
      <w:rPr>
        <w:rFonts w:ascii="黑体" w:hAnsi="黑体" w:eastAsia="黑体"/>
      </w:rPr>
    </w:pPr>
    <w:r>
      <w:pict>
        <v:shape id="PowerPlusWaterMarkObject59875283" o:spid="_x0000_s1028" o:spt="136" type="#_x0000_t136" style="position:absolute;left:0pt;height:59.9pt;width:599.4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全国团体标准信息平台" style="font-family:宋体;font-size:1pt;v-text-align:center;"/>
        </v:shape>
      </w:pict>
    </w: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07CCE">
    <w:pPr>
      <w:pStyle w:val="62"/>
    </w:pPr>
    <w:r>
      <w:fldChar w:fldCharType="begin"/>
    </w:r>
    <w:r>
      <w:instrText xml:space="preserve"> STYLEREF  标准文件_文件编号 \* MERGEFORMAT </w:instrText>
    </w:r>
    <w:r>
      <w:fldChar w:fldCharType="separate"/>
    </w:r>
    <w:r>
      <w:t>T/XJBX 0091—2025</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33774">
    <w:pPr>
      <w:pStyle w:val="61"/>
    </w:pPr>
    <w:r>
      <w:fldChar w:fldCharType="begin"/>
    </w:r>
    <w:r>
      <w:instrText xml:space="preserve"> STYLEREF  标准文件_文件编号  \* MERGEFORMAT </w:instrText>
    </w:r>
    <w:r>
      <w:fldChar w:fldCharType="separate"/>
    </w:r>
    <w:r>
      <w:t>T/XJBX 0091—2025</w: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A9ED1">
    <w:pPr>
      <w:pStyle w:val="62"/>
    </w:pPr>
    <w:r>
      <w:fldChar w:fldCharType="begin"/>
    </w:r>
    <w:r>
      <w:instrText xml:space="preserve"> STYLEREF  标准文件_文件编号 \* MERGEFORMAT </w:instrText>
    </w:r>
    <w:r>
      <w:fldChar w:fldCharType="separate"/>
    </w:r>
    <w:r>
      <w:t>T/XJBX 0091—2025</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F0166">
    <w:pPr>
      <w:pStyle w:val="18"/>
    </w:pPr>
    <w:r>
      <w:pict>
        <v:shape id="PowerPlusWaterMarkObject59875282" o:spid="_x0000_s1027" o:spt="136" type="#_x0000_t136" style="position:absolute;left:0pt;height:59.9pt;width:599.4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全国团体标准信息平台"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B2C0B">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85318">
    <w:pPr>
      <w:pStyle w:val="61"/>
    </w:pPr>
    <w:r>
      <w:fldChar w:fldCharType="begin"/>
    </w:r>
    <w:r>
      <w:instrText xml:space="preserve"> STYLEREF  标准文件_文件编号  \* MERGEFORMAT </w:instrText>
    </w:r>
    <w:r>
      <w:fldChar w:fldCharType="separate"/>
    </w:r>
    <w:r>
      <w:t>T/XJBX 0091—2025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ADBAF">
    <w:pPr>
      <w:pStyle w:val="62"/>
    </w:pPr>
    <w:r>
      <w:fldChar w:fldCharType="begin"/>
    </w:r>
    <w:r>
      <w:instrText xml:space="preserve"> STYLEREF  标准文件_文件编号 \* MERGEFORMAT </w:instrText>
    </w:r>
    <w:r>
      <w:fldChar w:fldCharType="separate"/>
    </w:r>
    <w:r>
      <w:t>T/XJBX 0091—2025</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B679D">
    <w:pPr>
      <w:pStyle w:val="18"/>
    </w:pPr>
    <w:r>
      <w:pict>
        <v:shape id="PowerPlusWaterMarkObject59875284" o:spid="_x0000_s1029" o:spt="136" type="#_x0000_t136" style="position:absolute;left:0pt;height:59.9pt;width:599.4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path="t" trim="f" xscale="f" string="全国团体标准信息平台" style="font-family:宋体;font-size:1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91727">
    <w:pPr>
      <w:pStyle w:val="61"/>
    </w:pPr>
    <w:r>
      <w:fldChar w:fldCharType="begin"/>
    </w:r>
    <w:r>
      <w:instrText xml:space="preserve"> STYLEREF  标准文件_文件编号  \* MERGEFORMAT </w:instrText>
    </w:r>
    <w:r>
      <w:fldChar w:fldCharType="separate"/>
    </w:r>
    <w:r>
      <w:t>T/XJBX 0091—2025</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90D63">
    <w:pPr>
      <w:pStyle w:val="62"/>
    </w:pPr>
    <w:r>
      <w:fldChar w:fldCharType="begin"/>
    </w:r>
    <w:r>
      <w:instrText xml:space="preserve"> STYLEREF  标准文件_文件编号 \* MERGEFORMAT </w:instrText>
    </w:r>
    <w:r>
      <w:fldChar w:fldCharType="separate"/>
    </w:r>
    <w:r>
      <w:t>T/XJBX 0091—2025</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37BAF">
    <w:pPr>
      <w:pStyle w:val="61"/>
    </w:pPr>
    <w:r>
      <w:fldChar w:fldCharType="begin"/>
    </w:r>
    <w:r>
      <w:instrText xml:space="preserve"> STYLEREF  标准文件_文件编号  \* MERGEFORMAT </w:instrText>
    </w:r>
    <w:r>
      <w:fldChar w:fldCharType="separate"/>
    </w:r>
    <w:r>
      <w:t>T/XJBX 0091—2025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Y2szQ2NLcwNDU1NTFW0lEKTi0uzszPAykwrgUAV/plSSwAAAA="/>
  </w:docVars>
  <w:rsids>
    <w:rsidRoot w:val="00110741"/>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0741"/>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A"/>
    <w:rsid w:val="001649EB"/>
    <w:rsid w:val="00164BAF"/>
    <w:rsid w:val="00164FA8"/>
    <w:rsid w:val="00165065"/>
    <w:rsid w:val="00165434"/>
    <w:rsid w:val="0016580B"/>
    <w:rsid w:val="00165824"/>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103B"/>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9FD"/>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4F79F8"/>
    <w:rsid w:val="00501139"/>
    <w:rsid w:val="0050363E"/>
    <w:rsid w:val="005039BC"/>
    <w:rsid w:val="005043BB"/>
    <w:rsid w:val="00504A3D"/>
    <w:rsid w:val="00505767"/>
    <w:rsid w:val="005073F0"/>
    <w:rsid w:val="00510A7B"/>
    <w:rsid w:val="005112A8"/>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BF"/>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03F"/>
    <w:rsid w:val="00A07E47"/>
    <w:rsid w:val="00A121E3"/>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2E30"/>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834"/>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A5910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qFormat="1" w:unhideWhenUsed="0" w:uiPriority="0"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uiPriority w:val="99"/>
    <w:rPr>
      <w:sz w:val="18"/>
      <w:szCs w:val="18"/>
    </w:rPr>
  </w:style>
  <w:style w:type="paragraph" w:styleId="17">
    <w:name w:val="footer"/>
    <w:basedOn w:val="1"/>
    <w:link w:val="44"/>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uiPriority w:val="0"/>
    <w:rPr>
      <w:b/>
      <w:bCs/>
      <w:kern w:val="44"/>
      <w:sz w:val="44"/>
      <w:szCs w:val="44"/>
    </w:rPr>
  </w:style>
  <w:style w:type="character" w:customStyle="1" w:styleId="35">
    <w:name w:val="标题 2 字符"/>
    <w:link w:val="3"/>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uiPriority w:val="0"/>
    <w:rPr>
      <w:b/>
      <w:bCs/>
      <w:kern w:val="2"/>
      <w:sz w:val="28"/>
      <w:szCs w:val="28"/>
    </w:rPr>
  </w:style>
  <w:style w:type="character" w:customStyle="1" w:styleId="39">
    <w:name w:val="标题 6 字符"/>
    <w:link w:val="7"/>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uiPriority w:val="0"/>
    <w:rPr>
      <w:rFonts w:ascii="Arial" w:hAnsi="Arial" w:eastAsia="黑体"/>
      <w:kern w:val="2"/>
      <w:sz w:val="24"/>
      <w:szCs w:val="24"/>
    </w:rPr>
  </w:style>
  <w:style w:type="character" w:customStyle="1" w:styleId="42">
    <w:name w:val="标题 9 字符"/>
    <w:link w:val="10"/>
    <w:uiPriority w:val="0"/>
    <w:rPr>
      <w:rFonts w:ascii="Arial" w:hAnsi="Arial" w:eastAsia="黑体"/>
      <w:kern w:val="2"/>
      <w:sz w:val="21"/>
      <w:szCs w:val="21"/>
    </w:rPr>
  </w:style>
  <w:style w:type="character" w:customStyle="1" w:styleId="43">
    <w:name w:val="页眉 字符"/>
    <w:link w:val="18"/>
    <w:uiPriority w:val="99"/>
    <w:rPr>
      <w:kern w:val="2"/>
      <w:sz w:val="18"/>
      <w:szCs w:val="18"/>
    </w:rPr>
  </w:style>
  <w:style w:type="character" w:customStyle="1" w:styleId="44">
    <w:name w:val="页脚 字符"/>
    <w:link w:val="17"/>
    <w:uiPriority w:val="99"/>
    <w:rPr>
      <w:rFonts w:ascii="宋体"/>
      <w:kern w:val="2"/>
      <w:sz w:val="18"/>
      <w:szCs w:val="18"/>
    </w:rPr>
  </w:style>
  <w:style w:type="character" w:customStyle="1" w:styleId="45">
    <w:name w:val="批注框文本 字符"/>
    <w:link w:val="16"/>
    <w:semiHidden/>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uiPriority w:val="29"/>
    <w:rPr>
      <w:i/>
      <w:iCs/>
      <w:color w:val="000000"/>
      <w:kern w:val="2"/>
      <w:sz w:val="21"/>
      <w:szCs w:val="21"/>
    </w:rPr>
  </w:style>
  <w:style w:type="character" w:customStyle="1" w:styleId="48">
    <w:name w:val="标题 字符"/>
    <w:link w:val="25"/>
    <w:uiPriority w:val="0"/>
    <w:rPr>
      <w:rFonts w:ascii="Arial" w:hAnsi="Arial" w:cs="Arial"/>
      <w:b/>
      <w:bCs/>
      <w:kern w:val="2"/>
      <w:sz w:val="32"/>
      <w:szCs w:val="32"/>
    </w:rPr>
  </w:style>
  <w:style w:type="paragraph" w:customStyle="1" w:styleId="49">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uiPriority w:val="0"/>
    <w:pPr>
      <w:snapToGrid w:val="0"/>
      <w:ind w:firstLine="200" w:firstLineChars="200"/>
    </w:pPr>
    <w:rPr>
      <w:kern w:val="0"/>
    </w:rPr>
  </w:style>
  <w:style w:type="paragraph" w:customStyle="1" w:styleId="56">
    <w:name w:val="标准文件_段"/>
    <w:link w:val="184"/>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5" Type="http://schemas.openxmlformats.org/officeDocument/2006/relationships/glossaryDocument" Target="glossary/document.xml"/><Relationship Id="rId34" Type="http://schemas.openxmlformats.org/officeDocument/2006/relationships/fontTable" Target="fontTable.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3.jpeg"/><Relationship Id="rId3" Type="http://schemas.openxmlformats.org/officeDocument/2006/relationships/footnotes" Target="footnotes.xml"/><Relationship Id="rId29" Type="http://schemas.openxmlformats.org/officeDocument/2006/relationships/image" Target="media/image2.png"/><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10.xml"/><Relationship Id="rId25" Type="http://schemas.openxmlformats.org/officeDocument/2006/relationships/footer" Target="footer9.xml"/><Relationship Id="rId24" Type="http://schemas.openxmlformats.org/officeDocument/2006/relationships/header" Target="header12.xml"/><Relationship Id="rId23" Type="http://schemas.openxmlformats.org/officeDocument/2006/relationships/header" Target="header11.xml"/><Relationship Id="rId22" Type="http://schemas.openxmlformats.org/officeDocument/2006/relationships/footer" Target="footer8.xml"/><Relationship Id="rId21" Type="http://schemas.openxmlformats.org/officeDocument/2006/relationships/footer" Target="footer7.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6.xml"/><Relationship Id="rId17" Type="http://schemas.openxmlformats.org/officeDocument/2006/relationships/footer" Target="footer5.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4.xml"/><Relationship Id="rId13" Type="http://schemas.openxmlformats.org/officeDocument/2006/relationships/footer" Target="footer3.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28A614B804142AE8BDBB50A8A79792D"/>
        <w:style w:val=""/>
        <w:category>
          <w:name w:val="常规"/>
          <w:gallery w:val="placeholder"/>
        </w:category>
        <w:types>
          <w:type w:val="bbPlcHdr"/>
        </w:types>
        <w:behaviors>
          <w:behavior w:val="content"/>
        </w:behaviors>
        <w:description w:val=""/>
        <w:guid w:val="{B44CCB2B-4182-4EBE-B7E9-6C909CAF39B0}"/>
      </w:docPartPr>
      <w:docPartBody>
        <w:p w14:paraId="29871E48">
          <w:pPr>
            <w:pStyle w:val="5"/>
          </w:pPr>
          <w:r>
            <w:rPr>
              <w:rStyle w:val="4"/>
              <w:rFonts w:hint="eastAsia"/>
            </w:rPr>
            <w:t>单击或点击此处输入文字。</w:t>
          </w:r>
        </w:p>
      </w:docPartBody>
    </w:docPart>
    <w:docPart>
      <w:docPartPr>
        <w:name w:val="E937BECAD2B34860A158A768CA921C5E"/>
        <w:style w:val=""/>
        <w:category>
          <w:name w:val="常规"/>
          <w:gallery w:val="placeholder"/>
        </w:category>
        <w:types>
          <w:type w:val="bbPlcHdr"/>
        </w:types>
        <w:behaviors>
          <w:behavior w:val="content"/>
        </w:behaviors>
        <w:description w:val=""/>
        <w:guid w:val="{B591C5A6-A077-4DE7-8549-88E3AD26FF7C}"/>
      </w:docPartPr>
      <w:docPartBody>
        <w:p w14:paraId="79260922">
          <w:pPr>
            <w:pStyle w:val="6"/>
          </w:pPr>
          <w:r>
            <w:rPr>
              <w:rStyle w:val="4"/>
              <w:rFonts w:hint="eastAsia"/>
            </w:rPr>
            <w:t>选择一项。</w:t>
          </w:r>
        </w:p>
      </w:docPartBody>
    </w:docPart>
    <w:docPart>
      <w:docPartPr>
        <w:name w:val="7D0407537AFA4EBFB7447D8BB1E4BCDB"/>
        <w:style w:val=""/>
        <w:category>
          <w:name w:val="常规"/>
          <w:gallery w:val="placeholder"/>
        </w:category>
        <w:types>
          <w:type w:val="bbPlcHdr"/>
        </w:types>
        <w:behaviors>
          <w:behavior w:val="content"/>
        </w:behaviors>
        <w:description w:val=""/>
        <w:guid w:val="{4FE560AC-77D7-4372-B13C-1BE31CBD38D8}"/>
      </w:docPartPr>
      <w:docPartBody>
        <w:p w14:paraId="0E42FACC">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447"/>
    <w:rsid w:val="008A4D07"/>
    <w:rsid w:val="009B6447"/>
    <w:rsid w:val="00AD5DDB"/>
    <w:rsid w:val="00B6674A"/>
    <w:rsid w:val="00EA47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428A614B804142AE8BDBB50A8A79792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E937BECAD2B34860A158A768CA921C5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7D0407537AFA4EBFB7447D8BB1E4BCDB"/>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8"/>
    <customShpInfo spid="_x0000_s1027"/>
    <customShpInfo spid="_x0000_s1029"/>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15</Pages>
  <Words>4989</Words>
  <Characters>5300</Characters>
  <Lines>49</Lines>
  <Paragraphs>13</Paragraphs>
  <TotalTime>53</TotalTime>
  <ScaleCrop>false</ScaleCrop>
  <LinksUpToDate>false</LinksUpToDate>
  <CharactersWithSpaces>5396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2025-09-26T14:08:00Z</dcterms:created>
  <dc:creator>Jianyi Huang</dc:creator>
  <dc:description>&lt;config cover="true" show_menu="true" version="1.0.0" doctype="SDKXY"&gt;_x000d_
&lt;/config&gt;</dc:description>
  <cp:lastModifiedBy>微信用户</cp:lastModifiedBy>
  <cp:lastPrinted>2021-02-02T08:22:00Z</cp:lastPrinted>
  <dcterms:modified xsi:type="dcterms:W3CDTF">2025-09-28T03:29:34Z</dcterms:modified>
  <dc:title>团体标准</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eyJoZGlkIjoiYjU3OWNmZWNhOTU1OGIzZjViZTdhZWJmNzZlMzNmYTYiLCJ1c2VySWQiOiIxNDE1OTEzOTEwIn0=</vt:lpwstr>
  </property>
  <property fmtid="{D5CDD505-2E9C-101B-9397-08002B2CF9AE}" pid="16" name="KSOProductBuildVer">
    <vt:lpwstr>2052-12.1.0.22529</vt:lpwstr>
  </property>
  <property fmtid="{D5CDD505-2E9C-101B-9397-08002B2CF9AE}" pid="17" name="ICV">
    <vt:lpwstr>3765CCF050FD464895C39DCC2DF29659_12</vt:lpwstr>
  </property>
</Properties>
</file>