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21.01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21.010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C 6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C 65</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092"/>
            </w:textInput>
          </w:ffData>
        </w:fldChar>
      </w:r>
      <w:bookmarkStart w:id="6" w:name="NSTD_CODE_F"/>
      <w:r>
        <w:instrText xml:space="preserve"> FORMTEXT </w:instrText>
      </w:r>
      <w:r>
        <w:fldChar w:fldCharType="separate"/>
      </w:r>
      <w:r>
        <w:t>0092</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fldChar w:fldCharType="begin">
          <w:ffData>
            <w:name w:val="CSTD_NAME"/>
            <w:enabled/>
            <w:calcOnExit w:val="0"/>
            <w:textInput>
              <w:default w:val="特种设备定期检验流程规范"/>
            </w:textInput>
          </w:ffData>
        </w:fldChar>
      </w:r>
      <w:bookmarkStart w:id="9" w:name="CSTD_NAME"/>
      <w:r>
        <w:instrText xml:space="preserve"> FORMTEXT </w:instrText>
      </w:r>
      <w:r>
        <w:fldChar w:fldCharType="separate"/>
      </w:r>
      <w:r>
        <w:t>特种设备定期检验流程规范</w:t>
      </w:r>
      <w: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periodic inspection procedures of special equipment"/>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periodic inspection procedures of special equipment</w:t>
      </w:r>
      <w:r>
        <w:rPr>
          <w:rFonts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292DF72">
      <w:pPr>
        <w:pStyle w:val="91"/>
        <w:spacing w:after="360"/>
      </w:pPr>
      <w:bookmarkStart w:id="21" w:name="BookMark1"/>
      <w:r>
        <w:rPr>
          <w:rFonts w:hint="eastAsia"/>
          <w:spacing w:val="320"/>
        </w:rPr>
        <w:t>目</w:t>
      </w:r>
      <w:r>
        <w:rPr>
          <w:rFonts w:hint="eastAsia"/>
        </w:rPr>
        <w:t>次</w:t>
      </w:r>
    </w:p>
    <w:p w14:paraId="74684129">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"_Toc209892266" </w:instrText>
      </w:r>
      <w:r>
        <w:fldChar w:fldCharType="separate"/>
      </w:r>
      <w:r>
        <w:rPr>
          <w:rStyle w:val="32"/>
        </w:rPr>
        <w:t>前言</w:t>
      </w:r>
      <w:r>
        <w:tab/>
      </w:r>
      <w:r>
        <w:fldChar w:fldCharType="begin"/>
      </w:r>
      <w:r>
        <w:instrText xml:space="preserve"> PAGEREF _Toc209892266 \h </w:instrText>
      </w:r>
      <w:r>
        <w:fldChar w:fldCharType="separate"/>
      </w:r>
      <w:r>
        <w:t>III</w:t>
      </w:r>
      <w:r>
        <w:fldChar w:fldCharType="end"/>
      </w:r>
      <w:r>
        <w:fldChar w:fldCharType="end"/>
      </w:r>
    </w:p>
    <w:p w14:paraId="5E98C937">
      <w:pPr>
        <w:pStyle w:val="19"/>
        <w:tabs>
          <w:tab w:val="right" w:leader="dot" w:pos="9344"/>
        </w:tabs>
        <w:rPr>
          <w:rFonts w:asciiTheme="minorHAnsi" w:hAnsiTheme="minorHAnsi" w:eastAsiaTheme="minorEastAsia" w:cstheme="minorBidi"/>
          <w:szCs w:val="22"/>
        </w:rPr>
      </w:pPr>
      <w:r>
        <w:fldChar w:fldCharType="begin"/>
      </w:r>
      <w:r>
        <w:instrText xml:space="preserve"> HYPERLINK \l "_Toc209892267" </w:instrText>
      </w:r>
      <w:r>
        <w:fldChar w:fldCharType="separate"/>
      </w:r>
      <w:r>
        <w:rPr>
          <w:rStyle w:val="32"/>
        </w:rPr>
        <w:t>引言</w:t>
      </w:r>
      <w:r>
        <w:tab/>
      </w:r>
      <w:r>
        <w:fldChar w:fldCharType="begin"/>
      </w:r>
      <w:r>
        <w:instrText xml:space="preserve"> PAGEREF _Toc209892267 \h </w:instrText>
      </w:r>
      <w:r>
        <w:fldChar w:fldCharType="separate"/>
      </w:r>
      <w:r>
        <w:t>V</w:t>
      </w:r>
      <w:r>
        <w:fldChar w:fldCharType="end"/>
      </w:r>
      <w:r>
        <w:fldChar w:fldCharType="end"/>
      </w:r>
    </w:p>
    <w:p w14:paraId="266C1E9F">
      <w:pPr>
        <w:pStyle w:val="19"/>
        <w:tabs>
          <w:tab w:val="right" w:leader="dot" w:pos="9344"/>
        </w:tabs>
        <w:rPr>
          <w:rFonts w:asciiTheme="minorHAnsi" w:hAnsiTheme="minorHAnsi" w:eastAsiaTheme="minorEastAsia" w:cstheme="minorBidi"/>
          <w:szCs w:val="22"/>
        </w:rPr>
      </w:pPr>
      <w:r>
        <w:fldChar w:fldCharType="begin"/>
      </w:r>
      <w:r>
        <w:instrText xml:space="preserve"> HYPERLINK \l "_Toc209892268" </w:instrText>
      </w:r>
      <w:r>
        <w:fldChar w:fldCharType="separate"/>
      </w:r>
      <w:r>
        <w:rPr>
          <w:rStyle w:val="32"/>
        </w:rPr>
        <w:t>1  范围</w:t>
      </w:r>
      <w:r>
        <w:tab/>
      </w:r>
      <w:r>
        <w:fldChar w:fldCharType="begin"/>
      </w:r>
      <w:r>
        <w:instrText xml:space="preserve"> PAGEREF _Toc209892268 \h </w:instrText>
      </w:r>
      <w:r>
        <w:fldChar w:fldCharType="separate"/>
      </w:r>
      <w:r>
        <w:t>1</w:t>
      </w:r>
      <w:r>
        <w:fldChar w:fldCharType="end"/>
      </w:r>
      <w:r>
        <w:fldChar w:fldCharType="end"/>
      </w:r>
    </w:p>
    <w:p w14:paraId="1CDF72DC">
      <w:pPr>
        <w:pStyle w:val="19"/>
        <w:tabs>
          <w:tab w:val="right" w:leader="dot" w:pos="9344"/>
        </w:tabs>
        <w:rPr>
          <w:rFonts w:asciiTheme="minorHAnsi" w:hAnsiTheme="minorHAnsi" w:eastAsiaTheme="minorEastAsia" w:cstheme="minorBidi"/>
          <w:szCs w:val="22"/>
        </w:rPr>
      </w:pPr>
      <w:r>
        <w:fldChar w:fldCharType="begin"/>
      </w:r>
      <w:r>
        <w:instrText xml:space="preserve"> HYPERLINK \l "_Toc209892269" </w:instrText>
      </w:r>
      <w:r>
        <w:fldChar w:fldCharType="separate"/>
      </w:r>
      <w:r>
        <w:rPr>
          <w:rStyle w:val="32"/>
        </w:rPr>
        <w:t>2  规范性引用文件</w:t>
      </w:r>
      <w:r>
        <w:tab/>
      </w:r>
      <w:r>
        <w:fldChar w:fldCharType="begin"/>
      </w:r>
      <w:r>
        <w:instrText xml:space="preserve"> PAGEREF _Toc209892269 \h </w:instrText>
      </w:r>
      <w:r>
        <w:fldChar w:fldCharType="separate"/>
      </w:r>
      <w:r>
        <w:t>1</w:t>
      </w:r>
      <w:r>
        <w:fldChar w:fldCharType="end"/>
      </w:r>
      <w:r>
        <w:fldChar w:fldCharType="end"/>
      </w:r>
    </w:p>
    <w:p w14:paraId="43462522">
      <w:pPr>
        <w:pStyle w:val="19"/>
        <w:tabs>
          <w:tab w:val="right" w:leader="dot" w:pos="9344"/>
        </w:tabs>
        <w:rPr>
          <w:rFonts w:asciiTheme="minorHAnsi" w:hAnsiTheme="minorHAnsi" w:eastAsiaTheme="minorEastAsia" w:cstheme="minorBidi"/>
          <w:szCs w:val="22"/>
        </w:rPr>
      </w:pPr>
      <w:r>
        <w:fldChar w:fldCharType="begin"/>
      </w:r>
      <w:r>
        <w:instrText xml:space="preserve"> HYPERLINK \l "_Toc209892270" </w:instrText>
      </w:r>
      <w:r>
        <w:fldChar w:fldCharType="separate"/>
      </w:r>
      <w:r>
        <w:rPr>
          <w:rStyle w:val="32"/>
        </w:rPr>
        <w:t>3  术语和定义</w:t>
      </w:r>
      <w:r>
        <w:tab/>
      </w:r>
      <w:r>
        <w:fldChar w:fldCharType="begin"/>
      </w:r>
      <w:r>
        <w:instrText xml:space="preserve"> PAGEREF _Toc209892270 \h </w:instrText>
      </w:r>
      <w:r>
        <w:fldChar w:fldCharType="separate"/>
      </w:r>
      <w:r>
        <w:t>1</w:t>
      </w:r>
      <w:r>
        <w:fldChar w:fldCharType="end"/>
      </w:r>
      <w:r>
        <w:fldChar w:fldCharType="end"/>
      </w:r>
    </w:p>
    <w:p w14:paraId="750B6091">
      <w:pPr>
        <w:pStyle w:val="19"/>
        <w:tabs>
          <w:tab w:val="right" w:leader="dot" w:pos="9344"/>
        </w:tabs>
        <w:rPr>
          <w:rFonts w:asciiTheme="minorHAnsi" w:hAnsiTheme="minorHAnsi" w:eastAsiaTheme="minorEastAsia" w:cstheme="minorBidi"/>
          <w:szCs w:val="22"/>
        </w:rPr>
      </w:pPr>
      <w:r>
        <w:fldChar w:fldCharType="begin"/>
      </w:r>
      <w:r>
        <w:instrText xml:space="preserve"> HYPERLINK \l "_Toc209892271" </w:instrText>
      </w:r>
      <w:r>
        <w:fldChar w:fldCharType="separate"/>
      </w:r>
      <w:r>
        <w:rPr>
          <w:rStyle w:val="32"/>
        </w:rPr>
        <w:t>4  总体原则</w:t>
      </w:r>
      <w:r>
        <w:tab/>
      </w:r>
      <w:r>
        <w:fldChar w:fldCharType="begin"/>
      </w:r>
      <w:r>
        <w:instrText xml:space="preserve"> PAGEREF _Toc209892271 \h </w:instrText>
      </w:r>
      <w:r>
        <w:fldChar w:fldCharType="separate"/>
      </w:r>
      <w:r>
        <w:t>2</w:t>
      </w:r>
      <w:r>
        <w:fldChar w:fldCharType="end"/>
      </w:r>
      <w:r>
        <w:fldChar w:fldCharType="end"/>
      </w:r>
    </w:p>
    <w:p w14:paraId="50848500">
      <w:pPr>
        <w:pStyle w:val="19"/>
        <w:tabs>
          <w:tab w:val="right" w:leader="dot" w:pos="9344"/>
        </w:tabs>
        <w:rPr>
          <w:rFonts w:asciiTheme="minorHAnsi" w:hAnsiTheme="minorHAnsi" w:eastAsiaTheme="minorEastAsia" w:cstheme="minorBidi"/>
          <w:szCs w:val="22"/>
        </w:rPr>
      </w:pPr>
      <w:r>
        <w:fldChar w:fldCharType="begin"/>
      </w:r>
      <w:r>
        <w:instrText xml:space="preserve"> HYPERLINK \l "_Toc209892272" </w:instrText>
      </w:r>
      <w:r>
        <w:fldChar w:fldCharType="separate"/>
      </w:r>
      <w:r>
        <w:rPr>
          <w:rStyle w:val="32"/>
        </w:rPr>
        <w:t>5  检验流程及操作要求</w:t>
      </w:r>
      <w:r>
        <w:tab/>
      </w:r>
      <w:r>
        <w:fldChar w:fldCharType="begin"/>
      </w:r>
      <w:r>
        <w:instrText xml:space="preserve"> PAGEREF _Toc209892272 \h </w:instrText>
      </w:r>
      <w:r>
        <w:fldChar w:fldCharType="separate"/>
      </w:r>
      <w:r>
        <w:t>3</w:t>
      </w:r>
      <w:r>
        <w:fldChar w:fldCharType="end"/>
      </w:r>
      <w:r>
        <w:fldChar w:fldCharType="end"/>
      </w:r>
    </w:p>
    <w:p w14:paraId="06EF2141">
      <w:pPr>
        <w:pStyle w:val="19"/>
        <w:tabs>
          <w:tab w:val="right" w:leader="dot" w:pos="9344"/>
        </w:tabs>
        <w:rPr>
          <w:rFonts w:asciiTheme="minorHAnsi" w:hAnsiTheme="minorHAnsi" w:eastAsiaTheme="minorEastAsia" w:cstheme="minorBidi"/>
          <w:szCs w:val="22"/>
        </w:rPr>
      </w:pPr>
      <w:r>
        <w:fldChar w:fldCharType="begin"/>
      </w:r>
      <w:r>
        <w:instrText xml:space="preserve"> HYPERLINK \l "_Toc209892273" </w:instrText>
      </w:r>
      <w:r>
        <w:fldChar w:fldCharType="separate"/>
      </w:r>
      <w:r>
        <w:rPr>
          <w:rStyle w:val="32"/>
        </w:rPr>
        <w:t>6  安全管理与质量控制</w:t>
      </w:r>
      <w:r>
        <w:tab/>
      </w:r>
      <w:r>
        <w:fldChar w:fldCharType="begin"/>
      </w:r>
      <w:r>
        <w:instrText xml:space="preserve"> PAGEREF _Toc209892273 \h </w:instrText>
      </w:r>
      <w:r>
        <w:fldChar w:fldCharType="separate"/>
      </w:r>
      <w:r>
        <w:t>4</w:t>
      </w:r>
      <w:r>
        <w:fldChar w:fldCharType="end"/>
      </w:r>
      <w:r>
        <w:fldChar w:fldCharType="end"/>
      </w:r>
    </w:p>
    <w:p w14:paraId="1EDB5C55">
      <w:pPr>
        <w:pStyle w:val="19"/>
        <w:tabs>
          <w:tab w:val="right" w:leader="dot" w:pos="9344"/>
        </w:tabs>
        <w:rPr>
          <w:rFonts w:asciiTheme="minorHAnsi" w:hAnsiTheme="minorHAnsi" w:eastAsiaTheme="minorEastAsia" w:cstheme="minorBidi"/>
          <w:szCs w:val="22"/>
        </w:rPr>
      </w:pPr>
      <w:r>
        <w:fldChar w:fldCharType="begin"/>
      </w:r>
      <w:r>
        <w:instrText xml:space="preserve"> HYPERLINK \l "_Toc209892274" </w:instrText>
      </w:r>
      <w:r>
        <w:fldChar w:fldCharType="separate"/>
      </w:r>
      <w:r>
        <w:rPr>
          <w:rStyle w:val="32"/>
        </w:rPr>
        <w:t>7  检验结果判定与报告管理</w:t>
      </w:r>
      <w:r>
        <w:tab/>
      </w:r>
      <w:r>
        <w:fldChar w:fldCharType="begin"/>
      </w:r>
      <w:r>
        <w:instrText xml:space="preserve"> PAGEREF _Toc209892274 \h </w:instrText>
      </w:r>
      <w:r>
        <w:fldChar w:fldCharType="separate"/>
      </w:r>
      <w:r>
        <w:t>5</w:t>
      </w:r>
      <w:r>
        <w:fldChar w:fldCharType="end"/>
      </w:r>
      <w:r>
        <w:fldChar w:fldCharType="end"/>
      </w:r>
    </w:p>
    <w:p w14:paraId="6071F8AD">
      <w:pPr>
        <w:pStyle w:val="19"/>
        <w:tabs>
          <w:tab w:val="right" w:leader="dot" w:pos="9344"/>
        </w:tabs>
        <w:rPr>
          <w:rFonts w:asciiTheme="minorHAnsi" w:hAnsiTheme="minorHAnsi" w:eastAsiaTheme="minorEastAsia" w:cstheme="minorBidi"/>
          <w:szCs w:val="22"/>
        </w:rPr>
      </w:pPr>
      <w:r>
        <w:fldChar w:fldCharType="begin"/>
      </w:r>
      <w:r>
        <w:instrText xml:space="preserve"> HYPERLINK \l "_Toc209892275" </w:instrText>
      </w:r>
      <w:r>
        <w:fldChar w:fldCharType="separate"/>
      </w:r>
      <w:r>
        <w:rPr>
          <w:rStyle w:val="32"/>
        </w:rPr>
        <w:t>8  信息化与智能化管理</w:t>
      </w:r>
      <w:r>
        <w:tab/>
      </w:r>
      <w:r>
        <w:fldChar w:fldCharType="begin"/>
      </w:r>
      <w:r>
        <w:instrText xml:space="preserve"> PAGEREF _Toc209892275 \h </w:instrText>
      </w:r>
      <w:r>
        <w:fldChar w:fldCharType="separate"/>
      </w:r>
      <w:r>
        <w:t>6</w:t>
      </w:r>
      <w:r>
        <w:fldChar w:fldCharType="end"/>
      </w:r>
      <w:r>
        <w:fldChar w:fldCharType="end"/>
      </w:r>
    </w:p>
    <w:p w14:paraId="0F5DEFD9">
      <w:pPr>
        <w:pStyle w:val="19"/>
        <w:tabs>
          <w:tab w:val="right" w:leader="dot" w:pos="9344"/>
        </w:tabs>
        <w:rPr>
          <w:rFonts w:asciiTheme="minorHAnsi" w:hAnsiTheme="minorHAnsi" w:eastAsiaTheme="minorEastAsia" w:cstheme="minorBidi"/>
          <w:szCs w:val="22"/>
        </w:rPr>
      </w:pPr>
      <w:r>
        <w:fldChar w:fldCharType="begin"/>
      </w:r>
      <w:r>
        <w:instrText xml:space="preserve"> HYPERLINK \l "_Toc209892276" </w:instrText>
      </w:r>
      <w:r>
        <w:fldChar w:fldCharType="separate"/>
      </w:r>
      <w:r>
        <w:rPr>
          <w:rStyle w:val="32"/>
        </w:rPr>
        <w:t>参考文献</w:t>
      </w:r>
      <w:r>
        <w:tab/>
      </w:r>
      <w:r>
        <w:fldChar w:fldCharType="begin"/>
      </w:r>
      <w:r>
        <w:instrText xml:space="preserve"> PAGEREF _Toc209892276 \h </w:instrText>
      </w:r>
      <w:r>
        <w:fldChar w:fldCharType="separate"/>
      </w:r>
      <w:r>
        <w:t>8</w:t>
      </w:r>
      <w:r>
        <w:fldChar w:fldCharType="end"/>
      </w:r>
      <w:r>
        <w:fldChar w:fldCharType="end"/>
      </w:r>
    </w:p>
    <w:p w14:paraId="6524F623">
      <w:pPr>
        <w:pStyle w:val="91"/>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892266"/>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本文件起草单位：广东省特种设备检测研究院江门检测院。</w:t>
      </w:r>
    </w:p>
    <w:p w14:paraId="42BC1C2C">
      <w:pPr>
        <w:pStyle w:val="56"/>
        <w:spacing w:line="360" w:lineRule="auto"/>
        <w:ind w:firstLine="420"/>
      </w:pPr>
      <w:r>
        <w:rPr>
          <w:rFonts w:hint="eastAsia"/>
        </w:rPr>
        <w:t>本文件主要起草人：王炕强。</w:t>
      </w:r>
    </w:p>
    <w:p w14:paraId="4F59AFA1">
      <w:pPr>
        <w:pStyle w:val="56"/>
        <w:ind w:firstLine="420"/>
      </w:pPr>
    </w:p>
    <w:p w14:paraId="43B1A6EE">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4104DD8B">
      <w:pPr>
        <w:pStyle w:val="89"/>
        <w:spacing w:after="360"/>
      </w:pPr>
      <w:bookmarkStart w:id="24" w:name="_Toc209892267"/>
      <w:bookmarkStart w:id="25" w:name="BookMark3"/>
      <w:r>
        <w:rPr>
          <w:spacing w:val="320"/>
        </w:rPr>
        <w:t>引</w:t>
      </w:r>
      <w:r>
        <w:t>言</w:t>
      </w:r>
      <w:bookmarkEnd w:id="24"/>
    </w:p>
    <w:p w14:paraId="0BA12441">
      <w:pPr>
        <w:pStyle w:val="56"/>
        <w:spacing w:line="360" w:lineRule="auto"/>
        <w:ind w:firstLine="420"/>
      </w:pPr>
      <w:r>
        <w:rPr>
          <w:rFonts w:hint="eastAsia"/>
        </w:rPr>
        <w:t>特种设备在现代工业、公共设施和服务行业中具有广泛应用，如压力容器、起重机械、电梯、锅炉等。这类设备在运行过程中承担着重要的安全职责，其故障或失效可能导致严重的人身伤亡、财产损失和社会影响。因此，特种设备的定期检验对于保障设备安全、延长使用寿命和维护公共安全具有不可替代的重要性。</w:t>
      </w:r>
    </w:p>
    <w:p w14:paraId="3E7239DF">
      <w:pPr>
        <w:pStyle w:val="56"/>
        <w:spacing w:line="360" w:lineRule="auto"/>
        <w:ind w:firstLine="420"/>
      </w:pPr>
      <w:r>
        <w:rPr>
          <w:rFonts w:hint="eastAsia"/>
        </w:rPr>
        <w:t>目前，我国对特种设备的安全监管逐步完善，但在检验流程的规范化、标准化方面仍存在一定差异。部分检验环节存在操作不统一、记录不完整、检验频次和方法不够明确等问题，影响了检验工作的科学性和可追溯性。制定统一的特种设备定期检验流程规范，旨在明确检验程序、职责分工、记录要求和质量控制措施，为企业、检验机构及监管部门提供统一参考，确保特种设备定期检验工作依法、规范、安全、可控。</w:t>
      </w:r>
    </w:p>
    <w:p w14:paraId="42EAE8EF">
      <w:pPr>
        <w:pStyle w:val="56"/>
        <w:spacing w:line="360" w:lineRule="auto"/>
        <w:ind w:firstLine="420"/>
      </w:pPr>
      <w:r>
        <w:rPr>
          <w:rFonts w:hint="eastAsia"/>
        </w:rPr>
        <w:t>本文件结合国内外相关技术标准、行业经验以及实践案例，系统规定了特种设备定期检验的组织流程、操作要求、资料管理和质量控制等内容，既适用于常规检验项目，也可作为特殊条件下检验工作的参考依据。实施本规范有助于提高特种设备检验的科学性和效率，保障设备运行安全，减少事故风险，并推动检验工作标准化、信息化和可追溯化的发展。</w:t>
      </w:r>
    </w:p>
    <w:p w14:paraId="50D9A392">
      <w:pPr>
        <w:pStyle w:val="56"/>
        <w:ind w:firstLine="420"/>
      </w:pPr>
    </w:p>
    <w:p w14:paraId="1F60BA1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7" w:name="NEW_STAND_NAME"/>
          <w:r>
            <w:rPr>
              <w:rFonts w:hint="eastAsia"/>
            </w:rPr>
            <w:t>特种设备定期检验流程规范</w:t>
          </w:r>
        </w:p>
      </w:sdtContent>
    </w:sdt>
    <w:bookmarkEnd w:id="27"/>
    <w:p w14:paraId="153BF6ED">
      <w:pPr>
        <w:pStyle w:val="104"/>
        <w:spacing w:before="240" w:after="240" w:line="360" w:lineRule="auto"/>
      </w:pPr>
      <w:bookmarkStart w:id="28" w:name="_Toc97192964"/>
      <w:bookmarkStart w:id="29" w:name="_Toc26718930"/>
      <w:bookmarkStart w:id="30" w:name="_Toc209892268"/>
      <w:bookmarkStart w:id="31" w:name="_Toc24884211"/>
      <w:bookmarkStart w:id="32" w:name="_Toc26986530"/>
      <w:bookmarkStart w:id="33" w:name="_Toc17233333"/>
      <w:bookmarkStart w:id="34" w:name="_Toc24884218"/>
      <w:bookmarkStart w:id="35" w:name="_Toc26986771"/>
      <w:bookmarkStart w:id="36" w:name="_Toc26648465"/>
      <w:bookmarkStart w:id="37" w:name="_Toc17233325"/>
      <w:r>
        <w:rPr>
          <w:rFonts w:hint="eastAsia"/>
        </w:rPr>
        <w:t>范围</w:t>
      </w:r>
      <w:bookmarkEnd w:id="28"/>
      <w:bookmarkEnd w:id="29"/>
      <w:bookmarkEnd w:id="30"/>
      <w:bookmarkEnd w:id="31"/>
      <w:bookmarkEnd w:id="32"/>
      <w:bookmarkEnd w:id="33"/>
      <w:bookmarkEnd w:id="34"/>
      <w:bookmarkEnd w:id="35"/>
      <w:bookmarkEnd w:id="36"/>
      <w:bookmarkEnd w:id="37"/>
    </w:p>
    <w:p w14:paraId="4DD27FFE">
      <w:pPr>
        <w:pStyle w:val="56"/>
        <w:spacing w:line="360" w:lineRule="auto"/>
        <w:ind w:firstLine="420"/>
      </w:pPr>
      <w:bookmarkStart w:id="38" w:name="_Toc17233326"/>
      <w:bookmarkStart w:id="39" w:name="_Toc17233334"/>
      <w:bookmarkStart w:id="40" w:name="_Toc26648466"/>
      <w:bookmarkStart w:id="41" w:name="_Toc24884219"/>
      <w:bookmarkStart w:id="42" w:name="_Toc24884212"/>
      <w:r>
        <w:rPr>
          <w:rFonts w:hint="eastAsia"/>
        </w:rPr>
        <w:t>本文件规定了特种设备定期检验流程中的总体原则、检验流程及操作要求、安全管理与质量控制、检验结果判定与报告管理及信息化与智能化管理等内容。</w:t>
      </w:r>
    </w:p>
    <w:p w14:paraId="1F850373">
      <w:pPr>
        <w:pStyle w:val="56"/>
        <w:spacing w:line="360" w:lineRule="auto"/>
        <w:ind w:firstLine="420"/>
      </w:pPr>
      <w:r>
        <w:rPr>
          <w:rFonts w:hint="eastAsia"/>
        </w:rPr>
        <w:t>本文件适用于特种设备的定期检验工作，涵盖压力容器、锅炉、电梯、起重机械及其他法律法规规定的特种设备。</w:t>
      </w:r>
    </w:p>
    <w:p w14:paraId="1F7FEEB2">
      <w:pPr>
        <w:pStyle w:val="104"/>
        <w:spacing w:before="240" w:after="240" w:line="360" w:lineRule="auto"/>
      </w:pPr>
      <w:bookmarkStart w:id="43" w:name="_Toc26986772"/>
      <w:bookmarkStart w:id="44" w:name="_Toc26718931"/>
      <w:bookmarkStart w:id="45" w:name="_Toc209892269"/>
      <w:bookmarkStart w:id="46" w:name="_Toc97192965"/>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25562BF">
      <w:pPr>
        <w:pStyle w:val="56"/>
        <w:spacing w:line="360" w:lineRule="auto"/>
        <w:ind w:firstLine="420"/>
      </w:pPr>
      <w:r>
        <w:rPr>
          <w:rFonts w:hint="eastAsia"/>
        </w:rPr>
        <w:t>GB/T 1.1—2020 标准化工作导则  第1部分:标准化文件的结构和起草规则</w:t>
      </w:r>
    </w:p>
    <w:p w14:paraId="20BF2DF0">
      <w:pPr>
        <w:pStyle w:val="56"/>
        <w:spacing w:line="360" w:lineRule="auto"/>
        <w:ind w:firstLine="420"/>
      </w:pPr>
      <w:r>
        <w:t>DB15/T 3703.3</w:t>
      </w:r>
      <w:r>
        <w:rPr>
          <w:rFonts w:hint="eastAsia"/>
        </w:rPr>
        <w:t>—</w:t>
      </w:r>
      <w:r>
        <w:t xml:space="preserve">2024 </w:t>
      </w:r>
      <w:r>
        <w:rPr>
          <w:rFonts w:hint="eastAsia"/>
        </w:rPr>
        <w:t xml:space="preserve">特种设备双重预防机制 </w:t>
      </w:r>
      <w:r>
        <w:t xml:space="preserve"> </w:t>
      </w:r>
      <w:r>
        <w:rPr>
          <w:rFonts w:hint="eastAsia"/>
        </w:rPr>
        <w:t>第3部分:特种设备隐患排查通则</w:t>
      </w:r>
    </w:p>
    <w:p w14:paraId="2AF87848">
      <w:pPr>
        <w:pStyle w:val="56"/>
        <w:spacing w:line="360" w:lineRule="auto"/>
        <w:ind w:firstLine="420"/>
      </w:pPr>
      <w:r>
        <w:t>DB4413/T 58</w:t>
      </w:r>
      <w:r>
        <w:rPr>
          <w:rFonts w:hint="eastAsia"/>
        </w:rPr>
        <w:t>—</w:t>
      </w:r>
      <w:r>
        <w:t xml:space="preserve">2024 </w:t>
      </w:r>
      <w:r>
        <w:rPr>
          <w:rFonts w:hint="eastAsia"/>
        </w:rPr>
        <w:t>特种设备双预防导则</w:t>
      </w:r>
    </w:p>
    <w:p w14:paraId="6962992E">
      <w:pPr>
        <w:pStyle w:val="104"/>
        <w:spacing w:before="240" w:after="240" w:line="360" w:lineRule="auto"/>
      </w:pPr>
      <w:bookmarkStart w:id="48" w:name="_Toc209892270"/>
      <w:bookmarkStart w:id="49" w:name="_Toc97192966"/>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303AA4B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特种设备 special equipment</w:t>
      </w:r>
    </w:p>
    <w:p w14:paraId="54CED87A">
      <w:pPr>
        <w:pStyle w:val="56"/>
        <w:spacing w:line="360" w:lineRule="auto"/>
        <w:ind w:firstLine="420"/>
      </w:pPr>
      <w:r>
        <w:rPr>
          <w:rFonts w:hint="eastAsia"/>
        </w:rPr>
        <w:t>指法律、法规规定的具有特殊安全要求的设备，包括但不限于压力容器、锅炉、电梯、起重机械及其他相关设备。</w:t>
      </w:r>
    </w:p>
    <w:p w14:paraId="07CC8E6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定期检验 periodic inspection</w:t>
      </w:r>
    </w:p>
    <w:p w14:paraId="4D7F3EFC">
      <w:pPr>
        <w:pStyle w:val="56"/>
        <w:spacing w:line="360" w:lineRule="auto"/>
        <w:ind w:firstLine="420"/>
      </w:pPr>
      <w:r>
        <w:rPr>
          <w:rFonts w:hint="eastAsia"/>
        </w:rPr>
        <w:t>按照国家法规、标准或制造商要求，对特种设备在规定周期内进行的系统检查和评估，旨在确认设备性能、安全状态和运行可靠性。</w:t>
      </w:r>
    </w:p>
    <w:p w14:paraId="0CF5CD9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检验机构 inspection agency</w:t>
      </w:r>
    </w:p>
    <w:p w14:paraId="4CDC062C">
      <w:pPr>
        <w:pStyle w:val="56"/>
        <w:spacing w:line="360" w:lineRule="auto"/>
        <w:ind w:firstLine="420"/>
      </w:pPr>
      <w:r>
        <w:rPr>
          <w:rFonts w:hint="eastAsia"/>
        </w:rPr>
        <w:t>依法取得资质的单位，负责执行特种设备定期检验、检测和评估工作，并出具检验报告。</w:t>
      </w:r>
    </w:p>
    <w:p w14:paraId="171D143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检验项目 inspection item</w:t>
      </w:r>
    </w:p>
    <w:p w14:paraId="519DEB4E">
      <w:pPr>
        <w:pStyle w:val="56"/>
        <w:spacing w:line="360" w:lineRule="auto"/>
        <w:ind w:firstLine="420"/>
      </w:pPr>
      <w:r>
        <w:rPr>
          <w:rFonts w:hint="eastAsia"/>
        </w:rPr>
        <w:t>指在定期检验过程中需执行的具体检测内容，包括外观检查、性能测试、安全装置验证、无损检测、运行记录核查等。</w:t>
      </w:r>
    </w:p>
    <w:p w14:paraId="1B93CB6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检验流程 inspection procedure</w:t>
      </w:r>
    </w:p>
    <w:p w14:paraId="0FEE0B01">
      <w:pPr>
        <w:pStyle w:val="56"/>
        <w:spacing w:line="360" w:lineRule="auto"/>
        <w:ind w:firstLine="420"/>
      </w:pPr>
      <w:r>
        <w:rPr>
          <w:rFonts w:hint="eastAsia"/>
        </w:rPr>
        <w:t>特种设备定期检验从接收检验申请、现场检查、检测与试验、资料记录、结果判定到出具检验报告的完整操作过程。</w:t>
      </w:r>
    </w:p>
    <w:p w14:paraId="4B2AAC4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检验报告 inspection report</w:t>
      </w:r>
    </w:p>
    <w:p w14:paraId="3F1F078A">
      <w:pPr>
        <w:pStyle w:val="56"/>
        <w:spacing w:line="360" w:lineRule="auto"/>
        <w:ind w:firstLine="420"/>
      </w:pPr>
      <w:r>
        <w:rPr>
          <w:rFonts w:hint="eastAsia"/>
        </w:rPr>
        <w:t>由检验机构出具的正式文件，记录特种设备定期检验的过程、结果、结论及建议，并作为设备安全管理和备案的依据。</w:t>
      </w:r>
    </w:p>
    <w:p w14:paraId="2067B25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检验周期 inspection interval</w:t>
      </w:r>
    </w:p>
    <w:p w14:paraId="45316CA0">
      <w:pPr>
        <w:pStyle w:val="56"/>
        <w:spacing w:line="360" w:lineRule="auto"/>
        <w:ind w:firstLine="420"/>
      </w:pPr>
      <w:r>
        <w:rPr>
          <w:rFonts w:hint="eastAsia"/>
        </w:rPr>
        <w:t>特种设备根据国家规定、设备类型和运行条件，确定的定期检验时间间隔，用于安排下一次检验。</w:t>
      </w:r>
    </w:p>
    <w:p w14:paraId="54BE994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质量控制 quality control</w:t>
      </w:r>
    </w:p>
    <w:p w14:paraId="2F0AD604">
      <w:pPr>
        <w:pStyle w:val="56"/>
        <w:spacing w:line="360" w:lineRule="auto"/>
        <w:ind w:firstLine="420"/>
      </w:pPr>
      <w:r>
        <w:rPr>
          <w:rFonts w:hint="eastAsia"/>
        </w:rPr>
        <w:t>在检验过程中采取的措施，用以保证检验程序、数据、记录和结论符合国家法规和标准要求，确保检验结果的准确性和可靠性。</w:t>
      </w:r>
    </w:p>
    <w:p w14:paraId="083959AE">
      <w:pPr>
        <w:pStyle w:val="104"/>
        <w:spacing w:before="240" w:after="240" w:line="360" w:lineRule="auto"/>
      </w:pPr>
      <w:bookmarkStart w:id="51" w:name="_Toc209892271"/>
      <w:r>
        <w:rPr>
          <w:rFonts w:hint="eastAsia"/>
        </w:rPr>
        <w:t>总体原则</w:t>
      </w:r>
      <w:bookmarkEnd w:id="51"/>
    </w:p>
    <w:p w14:paraId="6F651DB0">
      <w:pPr>
        <w:pStyle w:val="105"/>
        <w:spacing w:before="120" w:after="120" w:line="360" w:lineRule="auto"/>
      </w:pPr>
      <w:r>
        <w:rPr>
          <w:rFonts w:hint="eastAsia"/>
        </w:rPr>
        <w:t>安全优先</w:t>
      </w:r>
    </w:p>
    <w:p w14:paraId="1530E88B">
      <w:pPr>
        <w:pStyle w:val="56"/>
        <w:spacing w:line="360" w:lineRule="auto"/>
        <w:ind w:firstLine="420"/>
      </w:pPr>
      <w:r>
        <w:rPr>
          <w:rFonts w:hint="eastAsia"/>
        </w:rPr>
        <w:t>特种设备定期检验应始终以保障人员安全、设备安全和公共安全为首要目标。检验活动必须遵循安全操作规程，严格落实防护措施，防止检验过程中发生人身伤害或设备损坏事故。</w:t>
      </w:r>
    </w:p>
    <w:p w14:paraId="4906BEE2">
      <w:pPr>
        <w:pStyle w:val="105"/>
        <w:spacing w:before="120" w:after="120" w:line="360" w:lineRule="auto"/>
      </w:pPr>
      <w:r>
        <w:rPr>
          <w:rFonts w:hint="eastAsia"/>
        </w:rPr>
        <w:t>规范化管理</w:t>
      </w:r>
    </w:p>
    <w:p w14:paraId="22D5D193">
      <w:pPr>
        <w:pStyle w:val="56"/>
        <w:spacing w:line="360" w:lineRule="auto"/>
        <w:ind w:firstLine="420"/>
      </w:pPr>
      <w:r>
        <w:rPr>
          <w:rFonts w:hint="eastAsia"/>
        </w:rPr>
        <w:t>检验流程应遵循统一、标准化的程序，确保各环节操作规范、可追溯和可核查。包括检验申请受理、现场检查、检测与试验、数据记录、结果判定及检验报告的编制。所有环节均应有明确责任分工，确保工作有序、高效进行。</w:t>
      </w:r>
    </w:p>
    <w:p w14:paraId="44C0FB73">
      <w:pPr>
        <w:pStyle w:val="105"/>
        <w:spacing w:before="120" w:after="120" w:line="360" w:lineRule="auto"/>
      </w:pPr>
      <w:r>
        <w:rPr>
          <w:rFonts w:hint="eastAsia"/>
        </w:rPr>
        <w:t>科学性与合理性</w:t>
      </w:r>
    </w:p>
    <w:p w14:paraId="3A7B4E82">
      <w:pPr>
        <w:pStyle w:val="56"/>
        <w:spacing w:line="360" w:lineRule="auto"/>
        <w:ind w:firstLine="420"/>
      </w:pPr>
      <w:r>
        <w:rPr>
          <w:rFonts w:hint="eastAsia"/>
        </w:rPr>
        <w:t>定期检验应结合设备类型、运行状态、使用环境及历史维护记录，科学确定检验项目、检验方法和周期，避免盲目检验或遗漏关键项目。检验过程中应充分利用先进检测技术和仪器设备，提高检验精度和可靠性。</w:t>
      </w:r>
    </w:p>
    <w:p w14:paraId="6676AC7E">
      <w:pPr>
        <w:pStyle w:val="105"/>
        <w:spacing w:before="120" w:after="120" w:line="360" w:lineRule="auto"/>
      </w:pPr>
      <w:r>
        <w:rPr>
          <w:rFonts w:hint="eastAsia"/>
        </w:rPr>
        <w:t>质量控制</w:t>
      </w:r>
    </w:p>
    <w:p w14:paraId="71C45D73">
      <w:pPr>
        <w:pStyle w:val="56"/>
        <w:spacing w:line="360" w:lineRule="auto"/>
        <w:ind w:firstLine="420"/>
      </w:pPr>
      <w:r>
        <w:rPr>
          <w:rFonts w:hint="eastAsia"/>
        </w:rPr>
        <w:t>整个检验过程必须建立严格的质量控制体系，包括材料、仪器、人员及检验方法的管理。应对关键环节和重要数据进行复核和验证，确保检验结果准确、完整、可靠。对发现的异常或隐患，应及时记录、分析并提出整改建议。</w:t>
      </w:r>
    </w:p>
    <w:p w14:paraId="1DFD0301">
      <w:pPr>
        <w:pStyle w:val="105"/>
        <w:spacing w:before="120" w:after="120" w:line="360" w:lineRule="auto"/>
      </w:pPr>
      <w:r>
        <w:rPr>
          <w:rFonts w:hint="eastAsia"/>
        </w:rPr>
        <w:t>可追溯性</w:t>
      </w:r>
    </w:p>
    <w:p w14:paraId="0E690FF0">
      <w:pPr>
        <w:pStyle w:val="56"/>
        <w:spacing w:line="360" w:lineRule="auto"/>
        <w:ind w:firstLine="420"/>
      </w:pPr>
      <w:r>
        <w:rPr>
          <w:rFonts w:hint="eastAsia"/>
        </w:rPr>
        <w:t>检验过程及结果应完整记录，并形成可追溯的文档资料。所有检验记录、试验数据、检测报告、缺陷处理和整改措施均应归档保存，以便在后续管理、监督和审计中查阅。</w:t>
      </w:r>
    </w:p>
    <w:p w14:paraId="4797094F">
      <w:pPr>
        <w:pStyle w:val="105"/>
        <w:spacing w:before="120" w:after="120" w:line="360" w:lineRule="auto"/>
      </w:pPr>
      <w:r>
        <w:rPr>
          <w:rFonts w:hint="eastAsia"/>
        </w:rPr>
        <w:t>持续改进</w:t>
      </w:r>
    </w:p>
    <w:p w14:paraId="311204EC">
      <w:pPr>
        <w:pStyle w:val="56"/>
        <w:spacing w:line="360" w:lineRule="auto"/>
        <w:ind w:firstLine="420"/>
      </w:pPr>
      <w:r>
        <w:rPr>
          <w:rFonts w:hint="eastAsia"/>
        </w:rPr>
        <w:t>检验工作应根据法律法规更新、技术进步和实践经验进行不断优化。通过总结经验、分析数据和完善流程，提高检验效率、精度和科学性，推动特种设备定期检验工作规范化和信息化发展。</w:t>
      </w:r>
    </w:p>
    <w:p w14:paraId="21B43128">
      <w:pPr>
        <w:pStyle w:val="104"/>
        <w:spacing w:before="240" w:after="240" w:line="360" w:lineRule="auto"/>
      </w:pPr>
      <w:bookmarkStart w:id="52" w:name="_Toc209892272"/>
      <w:r>
        <w:rPr>
          <w:rFonts w:hint="eastAsia"/>
        </w:rPr>
        <w:t>检验流程及操作要求</w:t>
      </w:r>
      <w:bookmarkEnd w:id="52"/>
    </w:p>
    <w:p w14:paraId="470D68D4">
      <w:pPr>
        <w:pStyle w:val="105"/>
        <w:spacing w:before="120" w:after="120" w:line="360" w:lineRule="auto"/>
      </w:pPr>
      <w:r>
        <w:rPr>
          <w:rFonts w:hint="eastAsia"/>
        </w:rPr>
        <w:t>检验申请与受理</w:t>
      </w:r>
    </w:p>
    <w:p w14:paraId="687B56AB">
      <w:pPr>
        <w:pStyle w:val="56"/>
        <w:spacing w:line="360" w:lineRule="auto"/>
        <w:ind w:firstLine="420"/>
      </w:pPr>
      <w:r>
        <w:rPr>
          <w:rFonts w:hint="eastAsia"/>
        </w:rPr>
        <w:t>特种设备定期检验应由设备使用单位提出申请，明确设备类型、编号、运行状况和检验周期等信息。检验机构在受理申请后，应核对设备登记信息，确认申请的完整性与合理性，安排检验时间并通知相关责任人员。</w:t>
      </w:r>
    </w:p>
    <w:p w14:paraId="72A3A570">
      <w:pPr>
        <w:pStyle w:val="105"/>
        <w:spacing w:before="120" w:after="120" w:line="360" w:lineRule="auto"/>
      </w:pPr>
      <w:r>
        <w:rPr>
          <w:rFonts w:hint="eastAsia"/>
        </w:rPr>
        <w:t>检验准备</w:t>
      </w:r>
    </w:p>
    <w:p w14:paraId="0B0EAA15">
      <w:pPr>
        <w:pStyle w:val="56"/>
        <w:spacing w:line="360" w:lineRule="auto"/>
        <w:ind w:firstLine="420"/>
      </w:pPr>
      <w:r>
        <w:rPr>
          <w:rFonts w:hint="eastAsia"/>
        </w:rPr>
        <w:t>检验前，应对设备和检验现场进行评估，确保水、电、气源及安全通道正常，检验所需仪器设备完好且已校准。检验人员应熟悉设备结构、运行原理及历史维修记录，制定检验计划，明确各检验环节的操作方法和安全措施。</w:t>
      </w:r>
    </w:p>
    <w:p w14:paraId="24B48DF6">
      <w:pPr>
        <w:pStyle w:val="105"/>
        <w:spacing w:before="120" w:after="120" w:line="360" w:lineRule="auto"/>
      </w:pPr>
      <w:r>
        <w:rPr>
          <w:rFonts w:hint="eastAsia"/>
        </w:rPr>
        <w:t>现场检查</w:t>
      </w:r>
    </w:p>
    <w:p w14:paraId="3DB6E245">
      <w:pPr>
        <w:pStyle w:val="56"/>
        <w:spacing w:line="360" w:lineRule="auto"/>
        <w:ind w:firstLine="420"/>
      </w:pPr>
      <w:r>
        <w:rPr>
          <w:rFonts w:hint="eastAsia"/>
        </w:rPr>
        <w:t>现场检查是定期检验的重要环节，应包括外观检查、安装状态、运行参数及安全装置的检查。检查内容应覆盖设备的关键部位和易损件，对发现的异常情况应立即记录，并拍照存档。现场检查应严格按照标准操作规程执行，确保不对设备正常运行造成影响。</w:t>
      </w:r>
    </w:p>
    <w:p w14:paraId="7B3057D2">
      <w:pPr>
        <w:pStyle w:val="105"/>
        <w:spacing w:before="120" w:after="120" w:line="360" w:lineRule="auto"/>
      </w:pPr>
      <w:r>
        <w:rPr>
          <w:rFonts w:hint="eastAsia"/>
        </w:rPr>
        <w:t>检测与试验</w:t>
      </w:r>
    </w:p>
    <w:p w14:paraId="08A60EED">
      <w:pPr>
        <w:pStyle w:val="56"/>
        <w:spacing w:line="360" w:lineRule="auto"/>
        <w:ind w:firstLine="420"/>
      </w:pPr>
      <w:r>
        <w:rPr>
          <w:rFonts w:hint="eastAsia"/>
        </w:rPr>
        <w:t>根据设备类别和检验项目，采用必要的无损检测、功能测试和性能试验方法。包括压力容器的泄漏试验、锅炉的安全阀检测、电梯的载荷试验、起重机械的极限负荷测试等。所有检测和试验过程应详细记录数据，确保结果可复核、可追溯。</w:t>
      </w:r>
    </w:p>
    <w:p w14:paraId="76DE6536">
      <w:pPr>
        <w:pStyle w:val="105"/>
        <w:spacing w:before="120" w:after="120" w:line="360" w:lineRule="auto"/>
      </w:pPr>
      <w:r>
        <w:rPr>
          <w:rFonts w:hint="eastAsia"/>
        </w:rPr>
        <w:t>数据记录与分析</w:t>
      </w:r>
    </w:p>
    <w:p w14:paraId="4CDDC479">
      <w:pPr>
        <w:pStyle w:val="56"/>
        <w:spacing w:line="360" w:lineRule="auto"/>
        <w:ind w:firstLine="420"/>
      </w:pPr>
      <w:r>
        <w:rPr>
          <w:rFonts w:hint="eastAsia"/>
        </w:rPr>
        <w:t>检验过程中产生的所有数据应实时记录，并进行初步分析。对比历史记录和设计参数，判断设备是否符合安全标准，评估运行风险。发现异常数据或潜在隐患，应提出整改措施和建议。</w:t>
      </w:r>
    </w:p>
    <w:p w14:paraId="5FF725F8">
      <w:pPr>
        <w:pStyle w:val="105"/>
        <w:spacing w:before="120" w:after="120" w:line="360" w:lineRule="auto"/>
      </w:pPr>
      <w:r>
        <w:rPr>
          <w:rFonts w:hint="eastAsia"/>
        </w:rPr>
        <w:t>检验报告编制</w:t>
      </w:r>
    </w:p>
    <w:p w14:paraId="277875D5">
      <w:pPr>
        <w:pStyle w:val="56"/>
        <w:spacing w:line="360" w:lineRule="auto"/>
        <w:ind w:firstLine="420"/>
      </w:pPr>
      <w:r>
        <w:rPr>
          <w:rFonts w:hint="eastAsia"/>
        </w:rPr>
        <w:t>检验完成后，检验机构应根据现场检查、检测和试验数据编制正式检验报告。报告内容包括设备信息、检验方法、检验结果、存在问题、整改建议及结论。报告应由检验人员签字确认，并提交设备使用单位和相关监管部门备案。</w:t>
      </w:r>
    </w:p>
    <w:p w14:paraId="565AC637">
      <w:pPr>
        <w:pStyle w:val="105"/>
        <w:spacing w:before="120" w:after="120" w:line="360" w:lineRule="auto"/>
      </w:pPr>
      <w:r>
        <w:rPr>
          <w:rFonts w:hint="eastAsia"/>
        </w:rPr>
        <w:t>整改与复检</w:t>
      </w:r>
    </w:p>
    <w:p w14:paraId="7372FEB3">
      <w:pPr>
        <w:pStyle w:val="56"/>
        <w:spacing w:line="360" w:lineRule="auto"/>
        <w:ind w:firstLine="420"/>
      </w:pPr>
      <w:r>
        <w:rPr>
          <w:rFonts w:hint="eastAsia"/>
        </w:rPr>
        <w:t>对于检验中发现的不合格项或安全隐患，设备使用单位应按照整改建议及时采取措施。整改完成后，必要时应进行复检，确保设备达到规定的安全标准，方可继续使用。</w:t>
      </w:r>
    </w:p>
    <w:p w14:paraId="6BFCDD37">
      <w:pPr>
        <w:pStyle w:val="105"/>
        <w:spacing w:before="120" w:after="120" w:line="360" w:lineRule="auto"/>
      </w:pPr>
      <w:r>
        <w:rPr>
          <w:rFonts w:hint="eastAsia"/>
        </w:rPr>
        <w:t>档案管理</w:t>
      </w:r>
    </w:p>
    <w:p w14:paraId="421C6F09">
      <w:pPr>
        <w:pStyle w:val="56"/>
        <w:spacing w:line="360" w:lineRule="auto"/>
        <w:ind w:firstLine="420"/>
      </w:pPr>
      <w:r>
        <w:rPr>
          <w:rFonts w:hint="eastAsia"/>
        </w:rPr>
        <w:t>所有检验申请、现场记录、试验数据和检验报告应完整归档，建立电子和纸质档案，实现信息化管理和长期保存，为后续检验、监管和审计提供依据。</w:t>
      </w:r>
    </w:p>
    <w:p w14:paraId="44CC80B0">
      <w:pPr>
        <w:pStyle w:val="104"/>
        <w:spacing w:before="240" w:after="240" w:line="360" w:lineRule="auto"/>
      </w:pPr>
      <w:bookmarkStart w:id="53" w:name="_Toc209892273"/>
      <w:r>
        <w:rPr>
          <w:rFonts w:hint="eastAsia"/>
        </w:rPr>
        <w:t>安全管理与质量控制</w:t>
      </w:r>
      <w:bookmarkEnd w:id="53"/>
    </w:p>
    <w:p w14:paraId="4A699388">
      <w:pPr>
        <w:pStyle w:val="105"/>
        <w:spacing w:before="120" w:after="120" w:line="360" w:lineRule="auto"/>
      </w:pPr>
      <w:r>
        <w:rPr>
          <w:rFonts w:hint="eastAsia"/>
        </w:rPr>
        <w:t>检验人员资质</w:t>
      </w:r>
    </w:p>
    <w:p w14:paraId="4F4DB487">
      <w:pPr>
        <w:pStyle w:val="56"/>
        <w:spacing w:line="360" w:lineRule="auto"/>
        <w:ind w:firstLine="420"/>
      </w:pPr>
      <w:r>
        <w:rPr>
          <w:rFonts w:hint="eastAsia"/>
        </w:rPr>
        <w:t>参与特种设备定期检验的人员必须持有国家或行业规定的检验资质证书，并接受定期培训，熟悉设备结构、性能、运行原理及检验标准。检验人员应具备独立识别安全隐患和执行检验操作的能力，并严格遵守职业道德和操作规范。</w:t>
      </w:r>
    </w:p>
    <w:p w14:paraId="4DAF60A9">
      <w:pPr>
        <w:pStyle w:val="105"/>
        <w:spacing w:before="120" w:after="120" w:line="360" w:lineRule="auto"/>
      </w:pPr>
      <w:r>
        <w:rPr>
          <w:rFonts w:hint="eastAsia"/>
        </w:rPr>
        <w:t>安全防护措施</w:t>
      </w:r>
    </w:p>
    <w:p w14:paraId="5C1C1061">
      <w:pPr>
        <w:pStyle w:val="56"/>
        <w:spacing w:line="360" w:lineRule="auto"/>
        <w:ind w:firstLine="420"/>
      </w:pPr>
      <w:r>
        <w:rPr>
          <w:rFonts w:hint="eastAsia"/>
        </w:rPr>
        <w:t>在检验过程中，应根据设备类型和现场环境制定详细的安全防护方案。检验人员必须佩戴必要的防护用品，如安全帽、防护手套、防护眼镜、防护鞋等。对高处作业、水下作业、电气作业等特殊环境，应采取相应安全措施，如挂设警示标志、使用安全带、配置救生设备等。</w:t>
      </w:r>
    </w:p>
    <w:p w14:paraId="00F19C65">
      <w:pPr>
        <w:pStyle w:val="105"/>
        <w:spacing w:before="120" w:after="120" w:line="360" w:lineRule="auto"/>
      </w:pPr>
      <w:r>
        <w:rPr>
          <w:rFonts w:hint="eastAsia"/>
        </w:rPr>
        <w:t>施工现场管理</w:t>
      </w:r>
    </w:p>
    <w:p w14:paraId="5009864A">
      <w:pPr>
        <w:pStyle w:val="56"/>
        <w:spacing w:line="360" w:lineRule="auto"/>
        <w:ind w:firstLine="420"/>
      </w:pPr>
      <w:r>
        <w:rPr>
          <w:rFonts w:hint="eastAsia"/>
        </w:rPr>
        <w:t>检验现场应保持良好的秩序，确保通道畅通，危险区域明确标识，并对无关人员进行隔离。检验过程中不得随意拆卸、改动设备或干扰正常运行，以防引发意外。现场管理应包括设备状态监控、作业协调、危险因素控制和紧急联络机制。</w:t>
      </w:r>
    </w:p>
    <w:p w14:paraId="589B4B16">
      <w:pPr>
        <w:pStyle w:val="105"/>
        <w:spacing w:before="120" w:after="120" w:line="360" w:lineRule="auto"/>
      </w:pPr>
      <w:r>
        <w:rPr>
          <w:rFonts w:hint="eastAsia"/>
        </w:rPr>
        <w:t>质量控制要求</w:t>
      </w:r>
    </w:p>
    <w:p w14:paraId="589C65CE">
      <w:pPr>
        <w:pStyle w:val="56"/>
        <w:spacing w:line="360" w:lineRule="auto"/>
        <w:ind w:firstLine="420"/>
      </w:pPr>
      <w:r>
        <w:rPr>
          <w:rFonts w:hint="eastAsia"/>
        </w:rPr>
        <w:t>检验机构应建立严格的质量管理体系，对检验全过程实施监督和控制。包括：</w:t>
      </w:r>
    </w:p>
    <w:p w14:paraId="5C8F59B0">
      <w:pPr>
        <w:pStyle w:val="132"/>
        <w:spacing w:line="360" w:lineRule="auto"/>
      </w:pPr>
      <w:r>
        <w:rPr>
          <w:rFonts w:hint="eastAsia"/>
        </w:rPr>
        <w:t>检验前对设备资料、仪器设备、人员资格进行审核；</w:t>
      </w:r>
    </w:p>
    <w:p w14:paraId="37DF5A65">
      <w:pPr>
        <w:pStyle w:val="132"/>
        <w:spacing w:line="360" w:lineRule="auto"/>
      </w:pPr>
      <w:r>
        <w:rPr>
          <w:rFonts w:hint="eastAsia"/>
        </w:rPr>
        <w:t>检验过程中对数据采集、测试方法、操作步骤进行实时监控；</w:t>
      </w:r>
    </w:p>
    <w:p w14:paraId="022DC67F">
      <w:pPr>
        <w:pStyle w:val="132"/>
        <w:spacing w:line="360" w:lineRule="auto"/>
      </w:pPr>
      <w:r>
        <w:rPr>
          <w:rFonts w:hint="eastAsia"/>
        </w:rPr>
        <w:t>检验结束后对数据分析、报告编制、结论判定进行复核。</w:t>
      </w:r>
    </w:p>
    <w:p w14:paraId="6491D478">
      <w:pPr>
        <w:pStyle w:val="105"/>
        <w:spacing w:before="120" w:after="120" w:line="360" w:lineRule="auto"/>
      </w:pPr>
      <w:r>
        <w:rPr>
          <w:rFonts w:hint="eastAsia"/>
        </w:rPr>
        <w:t>关键环节监控</w:t>
      </w:r>
    </w:p>
    <w:p w14:paraId="4990EC64">
      <w:pPr>
        <w:pStyle w:val="56"/>
        <w:spacing w:line="360" w:lineRule="auto"/>
        <w:ind w:firstLine="420"/>
      </w:pPr>
      <w:r>
        <w:rPr>
          <w:rFonts w:hint="eastAsia"/>
        </w:rPr>
        <w:t>对关键检验环节和高风险操作应采取双人复核或交叉检查制度，确保检验结果的准确性和可靠性。对发现的异常情况应及时上报，并采取临时安全措施，防止风险扩大。</w:t>
      </w:r>
    </w:p>
    <w:p w14:paraId="697DDE5D">
      <w:pPr>
        <w:pStyle w:val="105"/>
        <w:spacing w:before="120" w:after="120" w:line="360" w:lineRule="auto"/>
      </w:pPr>
      <w:r>
        <w:rPr>
          <w:rFonts w:hint="eastAsia"/>
        </w:rPr>
        <w:t>应急管理</w:t>
      </w:r>
    </w:p>
    <w:p w14:paraId="1CC87612">
      <w:pPr>
        <w:pStyle w:val="56"/>
        <w:spacing w:line="360" w:lineRule="auto"/>
        <w:ind w:firstLine="420"/>
      </w:pPr>
      <w:r>
        <w:rPr>
          <w:rFonts w:hint="eastAsia"/>
        </w:rPr>
        <w:t>检验过程中应建立应急预案，包括突发设备故障、人员受伤、火灾及其他安全事件的处理程序。应急预案应明确责任人、报警程序、处置措施和应急资源配置，并定期组织演练，确保检验人员熟悉应急流程。</w:t>
      </w:r>
    </w:p>
    <w:p w14:paraId="5DA4E418">
      <w:pPr>
        <w:pStyle w:val="105"/>
        <w:spacing w:before="120" w:after="120" w:line="360" w:lineRule="auto"/>
      </w:pPr>
      <w:r>
        <w:rPr>
          <w:rFonts w:hint="eastAsia"/>
        </w:rPr>
        <w:t>档案和信息化管理</w:t>
      </w:r>
    </w:p>
    <w:p w14:paraId="451BA36A">
      <w:pPr>
        <w:pStyle w:val="56"/>
        <w:spacing w:line="360" w:lineRule="auto"/>
        <w:ind w:firstLine="420"/>
      </w:pPr>
      <w:r>
        <w:rPr>
          <w:rFonts w:hint="eastAsia"/>
        </w:rPr>
        <w:t>所有安全管理和质量控制记录应完整归档，包括作业许可、风险评估、检测数据、异常处理和整改记录。鼓励采用信息化管理系统，实现检验数据的电子化存储、追踪和分析，提高质量控制的可追溯性和管理效率。</w:t>
      </w:r>
    </w:p>
    <w:p w14:paraId="131273FD">
      <w:pPr>
        <w:pStyle w:val="104"/>
        <w:spacing w:before="240" w:after="240" w:line="360" w:lineRule="auto"/>
      </w:pPr>
      <w:bookmarkStart w:id="54" w:name="_Toc209892274"/>
      <w:r>
        <w:rPr>
          <w:rFonts w:hint="eastAsia"/>
        </w:rPr>
        <w:t>检验结果判定与报告管理</w:t>
      </w:r>
      <w:bookmarkEnd w:id="54"/>
    </w:p>
    <w:p w14:paraId="6826D97E">
      <w:pPr>
        <w:pStyle w:val="105"/>
        <w:spacing w:before="120" w:after="120" w:line="360" w:lineRule="auto"/>
      </w:pPr>
      <w:r>
        <w:rPr>
          <w:rFonts w:hint="eastAsia"/>
        </w:rPr>
        <w:t>检验结果判定原则</w:t>
      </w:r>
    </w:p>
    <w:p w14:paraId="3572A8BE">
      <w:pPr>
        <w:pStyle w:val="56"/>
        <w:spacing w:line="360" w:lineRule="auto"/>
        <w:ind w:firstLine="420"/>
      </w:pPr>
      <w:r>
        <w:rPr>
          <w:rFonts w:hint="eastAsia"/>
        </w:rPr>
        <w:t>特种设备定期检验结果应根据国家法律法规、行业标准、设备设计要求及历史运行记录进行综合评估。判定过程中应遵循安全第一、科学合理、客观公正的原则，重点关注关键部位、易损件和安全装置的性能。对发现的隐患和不符合项，应明确风险等级和处理措施，并提出整改建议或停用建议。</w:t>
      </w:r>
    </w:p>
    <w:p w14:paraId="0C4031F1">
      <w:pPr>
        <w:pStyle w:val="105"/>
        <w:spacing w:before="120" w:after="120" w:line="360" w:lineRule="auto"/>
      </w:pPr>
      <w:r>
        <w:rPr>
          <w:rFonts w:hint="eastAsia"/>
        </w:rPr>
        <w:t>合格标准</w:t>
      </w:r>
    </w:p>
    <w:p w14:paraId="15C897F6">
      <w:pPr>
        <w:pStyle w:val="56"/>
        <w:spacing w:line="360" w:lineRule="auto"/>
        <w:ind w:firstLine="420"/>
      </w:pPr>
      <w:r>
        <w:rPr>
          <w:rFonts w:hint="eastAsia"/>
        </w:rPr>
        <w:t>检验判定应符合以下要求：</w:t>
      </w:r>
    </w:p>
    <w:p w14:paraId="32F54A3A">
      <w:pPr>
        <w:pStyle w:val="132"/>
        <w:spacing w:line="360" w:lineRule="auto"/>
      </w:pPr>
      <w:r>
        <w:rPr>
          <w:rFonts w:hint="eastAsia"/>
        </w:rPr>
        <w:t>所有强度、密封性、功能性及安全装置指标达到设计或标准规定值；</w:t>
      </w:r>
    </w:p>
    <w:p w14:paraId="742DFE85">
      <w:pPr>
        <w:pStyle w:val="132"/>
        <w:spacing w:line="360" w:lineRule="auto"/>
      </w:pPr>
      <w:r>
        <w:rPr>
          <w:rFonts w:hint="eastAsia"/>
        </w:rPr>
        <w:t>检验过程中未发现可能导致设备事故的重大隐患；</w:t>
      </w:r>
    </w:p>
    <w:p w14:paraId="08E25A7F">
      <w:pPr>
        <w:pStyle w:val="132"/>
        <w:spacing w:line="360" w:lineRule="auto"/>
      </w:pPr>
      <w:r>
        <w:rPr>
          <w:rFonts w:hint="eastAsia"/>
        </w:rPr>
        <w:t>异常情况已采取有效整改措施，并通过复检确认其符合安全标准。</w:t>
      </w:r>
    </w:p>
    <w:p w14:paraId="68DCC317">
      <w:pPr>
        <w:pStyle w:val="105"/>
        <w:spacing w:before="120" w:after="120" w:line="360" w:lineRule="auto"/>
      </w:pPr>
      <w:r>
        <w:rPr>
          <w:rFonts w:hint="eastAsia"/>
        </w:rPr>
        <w:t>报告编制要求</w:t>
      </w:r>
    </w:p>
    <w:p w14:paraId="783543DC">
      <w:pPr>
        <w:pStyle w:val="56"/>
        <w:spacing w:line="360" w:lineRule="auto"/>
        <w:ind w:firstLine="420"/>
      </w:pPr>
      <w:r>
        <w:rPr>
          <w:rFonts w:hint="eastAsia"/>
        </w:rPr>
        <w:t>检验机构应在检验完成后及时编制检验报告。报告应包括：</w:t>
      </w:r>
    </w:p>
    <w:p w14:paraId="7EC3719B">
      <w:pPr>
        <w:pStyle w:val="132"/>
        <w:spacing w:line="360" w:lineRule="auto"/>
      </w:pPr>
      <w:r>
        <w:rPr>
          <w:rFonts w:hint="eastAsia"/>
        </w:rPr>
        <w:t>设备基本信息（类型、编号、制造厂家、出厂日期等）；</w:t>
      </w:r>
    </w:p>
    <w:p w14:paraId="7A9AC954">
      <w:pPr>
        <w:pStyle w:val="132"/>
        <w:spacing w:line="360" w:lineRule="auto"/>
      </w:pPr>
      <w:r>
        <w:rPr>
          <w:rFonts w:hint="eastAsia"/>
        </w:rPr>
        <w:t>检验时间、检验人员及使用的检验方法和仪器；</w:t>
      </w:r>
    </w:p>
    <w:p w14:paraId="3FBBDE24">
      <w:pPr>
        <w:pStyle w:val="132"/>
        <w:spacing w:line="360" w:lineRule="auto"/>
      </w:pPr>
      <w:r>
        <w:rPr>
          <w:rFonts w:hint="eastAsia"/>
        </w:rPr>
        <w:t>检验项目及其结果，包括数据、图表和照片等支持材料；</w:t>
      </w:r>
    </w:p>
    <w:p w14:paraId="05B9798E">
      <w:pPr>
        <w:pStyle w:val="132"/>
        <w:spacing w:line="360" w:lineRule="auto"/>
      </w:pPr>
      <w:r>
        <w:rPr>
          <w:rFonts w:hint="eastAsia"/>
        </w:rPr>
        <w:t>检验结论及设备安全等级判定；</w:t>
      </w:r>
    </w:p>
    <w:p w14:paraId="361FC1AA">
      <w:pPr>
        <w:pStyle w:val="132"/>
        <w:spacing w:line="360" w:lineRule="auto"/>
      </w:pPr>
      <w:r>
        <w:rPr>
          <w:rFonts w:hint="eastAsia"/>
        </w:rPr>
        <w:t>对存在问题提出的整改建议和复检要求。</w:t>
      </w:r>
    </w:p>
    <w:p w14:paraId="18B0850A">
      <w:pPr>
        <w:pStyle w:val="105"/>
        <w:spacing w:before="120" w:after="120" w:line="360" w:lineRule="auto"/>
      </w:pPr>
      <w:r>
        <w:rPr>
          <w:rFonts w:hint="eastAsia"/>
        </w:rPr>
        <w:t>报告签署与备案</w:t>
      </w:r>
    </w:p>
    <w:p w14:paraId="46EC9771">
      <w:pPr>
        <w:pStyle w:val="56"/>
        <w:spacing w:line="360" w:lineRule="auto"/>
        <w:ind w:firstLine="420"/>
      </w:pPr>
      <w:r>
        <w:rPr>
          <w:rFonts w:hint="eastAsia"/>
        </w:rPr>
        <w:t>检验报告应由检验机构负责人或授权检验人员签字确认，并加盖检验机构印章。检验报告需同时提交设备使用单位和相关监管部门备案，确保管理部门能够掌握设备安全状况，为后续监管、维护和事故追溯提供依据。</w:t>
      </w:r>
    </w:p>
    <w:p w14:paraId="62EBAAA6">
      <w:pPr>
        <w:pStyle w:val="105"/>
        <w:spacing w:before="120" w:after="120" w:line="360" w:lineRule="auto"/>
      </w:pPr>
      <w:r>
        <w:rPr>
          <w:rFonts w:hint="eastAsia"/>
        </w:rPr>
        <w:t>复检与整改跟踪</w:t>
      </w:r>
    </w:p>
    <w:p w14:paraId="05FE848A">
      <w:pPr>
        <w:pStyle w:val="56"/>
        <w:spacing w:line="360" w:lineRule="auto"/>
        <w:ind w:firstLine="420"/>
      </w:pPr>
      <w:r>
        <w:rPr>
          <w:rFonts w:hint="eastAsia"/>
        </w:rPr>
        <w:t>对于检验中发现不合格项或存在安全隐患的设备，使用单位应按照报告要求及时整改，并在必要时进行复检。检验机构应记录复检结果和整改情况，确保设备达到安全使用标准，并更新档案记录，实现闭环管理。</w:t>
      </w:r>
    </w:p>
    <w:p w14:paraId="03B4AAAF">
      <w:pPr>
        <w:pStyle w:val="105"/>
        <w:spacing w:before="120" w:after="120" w:line="360" w:lineRule="auto"/>
      </w:pPr>
      <w:r>
        <w:rPr>
          <w:rFonts w:hint="eastAsia"/>
        </w:rPr>
        <w:t>档案管理</w:t>
      </w:r>
    </w:p>
    <w:p w14:paraId="7EFA31AB">
      <w:pPr>
        <w:pStyle w:val="56"/>
        <w:spacing w:line="360" w:lineRule="auto"/>
        <w:ind w:firstLine="420"/>
      </w:pPr>
      <w:r>
        <w:rPr>
          <w:rFonts w:hint="eastAsia"/>
        </w:rPr>
        <w:t>所有检验报告、数据、照片及整改记录应完整归档，建立电子与纸质档案双重管理机制，确保资料可追溯、可查阅、可用于历史分析与管理决策。</w:t>
      </w:r>
    </w:p>
    <w:p w14:paraId="403F40BF">
      <w:pPr>
        <w:pStyle w:val="104"/>
        <w:spacing w:before="240" w:after="240" w:line="360" w:lineRule="auto"/>
      </w:pPr>
      <w:bookmarkStart w:id="55" w:name="_Toc209892275"/>
      <w:r>
        <w:rPr>
          <w:rFonts w:hint="eastAsia"/>
        </w:rPr>
        <w:t>信息化与智能化管理</w:t>
      </w:r>
      <w:bookmarkEnd w:id="55"/>
    </w:p>
    <w:p w14:paraId="02F7AF6A">
      <w:pPr>
        <w:pStyle w:val="105"/>
        <w:spacing w:before="120" w:after="120" w:line="360" w:lineRule="auto"/>
      </w:pPr>
      <w:r>
        <w:rPr>
          <w:rFonts w:hint="eastAsia"/>
        </w:rPr>
        <w:t>信息化管理平台</w:t>
      </w:r>
    </w:p>
    <w:p w14:paraId="73111B6B">
      <w:pPr>
        <w:pStyle w:val="56"/>
        <w:spacing w:line="360" w:lineRule="auto"/>
        <w:ind w:firstLine="420"/>
      </w:pPr>
      <w:r>
        <w:rPr>
          <w:rFonts w:hint="eastAsia"/>
        </w:rPr>
        <w:t>特种设备定期检验应建立信息化管理平台，对检验流程、设备档案、检验数据、异常记录和整改情况进行统一管理。平台应支持检验计划安排、人员调度、数据录入、实时监控和报表生成，实现检验全过程数字化、可追溯化管理。</w:t>
      </w:r>
    </w:p>
    <w:p w14:paraId="61CAFF86">
      <w:pPr>
        <w:pStyle w:val="105"/>
        <w:spacing w:before="120" w:after="120" w:line="360" w:lineRule="auto"/>
      </w:pPr>
      <w:r>
        <w:rPr>
          <w:rFonts w:hint="eastAsia"/>
        </w:rPr>
        <w:t>数据采集与存储</w:t>
      </w:r>
    </w:p>
    <w:p w14:paraId="43B9AC31">
      <w:pPr>
        <w:pStyle w:val="56"/>
        <w:spacing w:line="360" w:lineRule="auto"/>
        <w:ind w:firstLine="420"/>
      </w:pPr>
      <w:r>
        <w:rPr>
          <w:rFonts w:hint="eastAsia"/>
        </w:rPr>
        <w:t>检验过程中产生的所有数据应通过信息化平台采集、记录和存储，包括现场检查数据、仪器测试数据、照片和视频资料。数据存储应保证完整性、准确性和安全性，并按照法律法规要求进行加密保护和备份管理。</w:t>
      </w:r>
    </w:p>
    <w:p w14:paraId="081D4061">
      <w:pPr>
        <w:pStyle w:val="105"/>
        <w:spacing w:before="120" w:after="120" w:line="360" w:lineRule="auto"/>
      </w:pPr>
      <w:r>
        <w:rPr>
          <w:rFonts w:hint="eastAsia"/>
        </w:rPr>
        <w:t>智能分析与预警</w:t>
      </w:r>
    </w:p>
    <w:p w14:paraId="653B8361">
      <w:pPr>
        <w:pStyle w:val="56"/>
        <w:spacing w:line="360" w:lineRule="auto"/>
        <w:ind w:firstLine="420"/>
      </w:pPr>
      <w:r>
        <w:rPr>
          <w:rFonts w:hint="eastAsia"/>
        </w:rPr>
        <w:t>信息化平台应具备智能分析功能，对设备运行参数、检验数据和历史记录进行统计分析和趋势预测，识别潜在安全风险。对于可能出现异常或隐患的设备，应及时发出预警信息，提醒管理人员采取措施。</w:t>
      </w:r>
    </w:p>
    <w:p w14:paraId="32A063D4">
      <w:pPr>
        <w:pStyle w:val="105"/>
        <w:spacing w:before="120" w:after="120" w:line="360" w:lineRule="auto"/>
      </w:pPr>
      <w:r>
        <w:rPr>
          <w:rFonts w:hint="eastAsia"/>
        </w:rPr>
        <w:t>移动端与远程管理</w:t>
      </w:r>
    </w:p>
    <w:p w14:paraId="4E228538">
      <w:pPr>
        <w:pStyle w:val="56"/>
        <w:spacing w:line="360" w:lineRule="auto"/>
        <w:ind w:firstLine="420"/>
      </w:pPr>
      <w:r>
        <w:rPr>
          <w:rFonts w:hint="eastAsia"/>
        </w:rPr>
        <w:t>支持移动端应用和远程管理，使检验人员能够通过平板、手机等设备实时查看检验任务、上传数据和接收预警信息。远程管理功能应保证数据同步、权限管理和安全通信，提升检验工作的灵活性和效率。</w:t>
      </w:r>
    </w:p>
    <w:p w14:paraId="2BF41119">
      <w:pPr>
        <w:pStyle w:val="105"/>
        <w:spacing w:before="120" w:after="120" w:line="360" w:lineRule="auto"/>
      </w:pPr>
      <w:r>
        <w:rPr>
          <w:rFonts w:hint="eastAsia"/>
        </w:rPr>
        <w:t>数据共享与监管</w:t>
      </w:r>
    </w:p>
    <w:p w14:paraId="4D40B3DD">
      <w:pPr>
        <w:pStyle w:val="56"/>
        <w:spacing w:line="360" w:lineRule="auto"/>
        <w:ind w:firstLine="420"/>
      </w:pPr>
      <w:r>
        <w:rPr>
          <w:rFonts w:hint="eastAsia"/>
        </w:rPr>
        <w:t>信息化平台应实现与监管部门的联网对接，实现检验数据共享和监管。监管部门可实时掌握设备安全状态、检验周期和整改情况，提高监管效率和透明度。</w:t>
      </w:r>
    </w:p>
    <w:p w14:paraId="46997F85">
      <w:pPr>
        <w:pStyle w:val="105"/>
        <w:spacing w:before="120" w:after="120" w:line="360" w:lineRule="auto"/>
      </w:pPr>
      <w:r>
        <w:rPr>
          <w:rFonts w:hint="eastAsia"/>
        </w:rPr>
        <w:t>持续优化与升级</w:t>
      </w:r>
    </w:p>
    <w:p w14:paraId="3E0CAF35">
      <w:pPr>
        <w:pStyle w:val="56"/>
        <w:spacing w:line="360" w:lineRule="auto"/>
        <w:ind w:firstLine="420"/>
      </w:pPr>
      <w:r>
        <w:rPr>
          <w:rFonts w:hint="eastAsia"/>
        </w:rPr>
        <w:t>随着技术发展，信息化管理平台应定期优化和升级，引入大数据分析、人工智能辅助判定和物联网监控等先进技术，不断提升检验数据处理能力、风险识别准确性和决策支持水平，实现特种设备检验管理的智能化与现代化。</w:t>
      </w:r>
    </w:p>
    <w:bookmarkEnd w:id="26"/>
    <w:p w14:paraId="65347B32">
      <w:pPr>
        <w:pStyle w:val="56"/>
        <w:spacing w:line="360" w:lineRule="auto"/>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pPr>
      <w:bookmarkStart w:id="56" w:name="BookMark6"/>
    </w:p>
    <w:p w14:paraId="63098E59">
      <w:pPr>
        <w:pStyle w:val="63"/>
        <w:spacing w:after="120" w:line="360" w:lineRule="auto"/>
      </w:pPr>
      <w:bookmarkStart w:id="57" w:name="_Toc209892276"/>
      <w:r>
        <w:rPr>
          <w:rFonts w:hint="eastAsia"/>
          <w:spacing w:val="105"/>
        </w:rPr>
        <w:t>参考文</w:t>
      </w:r>
      <w:r>
        <w:rPr>
          <w:rFonts w:hint="eastAsia"/>
        </w:rPr>
        <w:t>献</w:t>
      </w:r>
      <w:bookmarkEnd w:id="57"/>
    </w:p>
    <w:p w14:paraId="42B68B6A">
      <w:pPr>
        <w:pStyle w:val="56"/>
        <w:spacing w:line="360" w:lineRule="auto"/>
        <w:ind w:firstLine="420"/>
      </w:pPr>
      <w:r>
        <w:rPr>
          <w:rFonts w:hint="eastAsia"/>
        </w:rPr>
        <w:t>[</w:t>
      </w:r>
      <w:r>
        <w:t xml:space="preserve">1] TSG 21-2016 </w:t>
      </w:r>
      <w:r>
        <w:rPr>
          <w:rFonts w:hint="eastAsia"/>
        </w:rPr>
        <w:t>固定式压力容器安全技术监察规程</w:t>
      </w:r>
    </w:p>
    <w:p w14:paraId="674A4C20">
      <w:pPr>
        <w:pStyle w:val="56"/>
        <w:spacing w:line="360" w:lineRule="auto"/>
        <w:ind w:firstLine="420"/>
      </w:pPr>
      <w:r>
        <w:t xml:space="preserve">[2] TSG R0005-2011 </w:t>
      </w:r>
      <w:r>
        <w:rPr>
          <w:rFonts w:hint="eastAsia"/>
        </w:rPr>
        <w:t>移动式压力容器安全技术监察规程</w:t>
      </w:r>
    </w:p>
    <w:p w14:paraId="403BAAB3">
      <w:pPr>
        <w:pStyle w:val="56"/>
        <w:spacing w:line="360" w:lineRule="auto"/>
        <w:ind w:firstLine="420"/>
      </w:pPr>
      <w:r>
        <w:t xml:space="preserve">[3] ZBFGH 23-1999 </w:t>
      </w:r>
      <w:r>
        <w:rPr>
          <w:rFonts w:hint="eastAsia"/>
        </w:rPr>
        <w:t>压力容器安全技术监察规程</w:t>
      </w:r>
    </w:p>
    <w:bookmarkEnd w:id="56"/>
    <w:p w14:paraId="4FDA4841">
      <w:pPr>
        <w:pStyle w:val="56"/>
        <w:ind w:firstLine="0" w:firstLineChars="0"/>
        <w:jc w:val="center"/>
      </w:pPr>
      <w:bookmarkStart w:id="58" w:name="BookMark8"/>
      <w:r>
        <w:rPr>
          <w:rFonts w:hint="eastAsia"/>
        </w:rPr>
        <w:drawing>
          <wp:inline distT="0" distB="0" distL="0" distR="0">
            <wp:extent cx="1485900" cy="317500"/>
            <wp:effectExtent l="0" t="0" r="0" b="6350"/>
            <wp:docPr id="691264870" name="图片 1"/>
            <wp:cNvGraphicFramePr/>
            <a:graphic xmlns:a="http://schemas.openxmlformats.org/drawingml/2006/main">
              <a:graphicData uri="http://schemas.openxmlformats.org/drawingml/2006/picture">
                <pic:pic xmlns:pic="http://schemas.openxmlformats.org/drawingml/2006/picture">
                  <pic:nvPicPr>
                    <pic:cNvPr id="691264870" name="图片 1"/>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bookmarkStart w:id="59" w:name="_GoBack"/>
      <w:bookmarkEnd w:id="59"/>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E431D">
    <w:pPr>
      <w:pStyle w:val="51"/>
    </w:pPr>
    <w:r>
      <w:fldChar w:fldCharType="begin"/>
    </w:r>
    <w:r>
      <w:instrText xml:space="preserve"> PAGE   \* MERGEFORMAT \* MERGEFORMAT </w:instrText>
    </w:r>
    <w:r>
      <w:fldChar w:fldCharType="separate"/>
    </w:r>
    <w:r>
      <w:t>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63BC6">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988A">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989F3">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CC6F7">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E764A">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931D">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D2C60">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AD086">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4507A">
    <w:pPr>
      <w:pStyle w:val="62"/>
    </w:pPr>
    <w:r>
      <w:fldChar w:fldCharType="begin"/>
    </w:r>
    <w:r>
      <w:instrText xml:space="preserve"> STYLEREF  标准文件_文件编号 \* MERGEFORMAT </w:instrText>
    </w:r>
    <w:r>
      <w:fldChar w:fldCharType="separate"/>
    </w:r>
    <w:r>
      <w:t>T/XJBX 0092—2025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DA082">
    <w:pPr>
      <w:pStyle w:val="61"/>
    </w:pPr>
    <w:r>
      <w:fldChar w:fldCharType="begin"/>
    </w:r>
    <w:r>
      <w:instrText xml:space="preserve"> STYLEREF  标准文件_文件编号  \* MERGEFORMAT </w:instrText>
    </w:r>
    <w:r>
      <w:fldChar w:fldCharType="separate"/>
    </w:r>
    <w:r>
      <w:t>T/XJBX 0092—2025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E6223">
    <w:pPr>
      <w:pStyle w:val="62"/>
    </w:pPr>
    <w:r>
      <w:fldChar w:fldCharType="begin"/>
    </w:r>
    <w:r>
      <w:instrText xml:space="preserve"> STYLEREF  标准文件_文件编号 \* MERGEFORMAT </w:instrText>
    </w:r>
    <w:r>
      <w:fldChar w:fldCharType="separate"/>
    </w:r>
    <w:r>
      <w:t>T/XJBX 0092—2025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EC83C">
    <w:pPr>
      <w:pStyle w:val="61"/>
    </w:pPr>
    <w:r>
      <w:pict>
        <v:shape id="_x0000_s1034" o:spid="_x0000_s1034" o:spt="136" type="#_x0000_t136" style="position:absolute;left:0pt;height:59.9pt;width:599.4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0092—2025</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F6DC8">
    <w:pPr>
      <w:pStyle w:val="62"/>
    </w:pPr>
    <w:r>
      <w:fldChar w:fldCharType="begin"/>
    </w:r>
    <w:r>
      <w:instrText xml:space="preserve"> STYLEREF  标准文件_文件编号 \* MERGEFORMAT </w:instrText>
    </w:r>
    <w:r>
      <w:fldChar w:fldCharType="separate"/>
    </w:r>
    <w:r>
      <w:t>T/XJBX 0092—2025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0092—2025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fldChar w:fldCharType="begin"/>
    </w:r>
    <w:r>
      <w:instrText xml:space="preserve"> STYLEREF  标准文件_文件编号 \* MERGEFORMAT </w:instrText>
    </w:r>
    <w:r>
      <w:fldChar w:fldCharType="separate"/>
    </w:r>
    <w:r>
      <w:t>T/XJBX 0092—2025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D72C3">
    <w:pPr>
      <w:pStyle w:val="61"/>
    </w:pPr>
    <w:r>
      <w:fldChar w:fldCharType="begin"/>
    </w:r>
    <w:r>
      <w:instrText xml:space="preserve"> STYLEREF  标准文件_文件编号  \* MERGEFORMAT </w:instrText>
    </w:r>
    <w:r>
      <w:fldChar w:fldCharType="separate"/>
    </w:r>
    <w:r>
      <w:t>T/XJBX 0092—2025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66E13">
    <w:pPr>
      <w:pStyle w:val="62"/>
    </w:pPr>
    <w:r>
      <w:fldChar w:fldCharType="begin"/>
    </w:r>
    <w:r>
      <w:instrText xml:space="preserve"> STYLEREF  标准文件_文件编号 \* MERGEFORMAT </w:instrText>
    </w:r>
    <w:r>
      <w:fldChar w:fldCharType="separate"/>
    </w:r>
    <w:r>
      <w:t>T/XJBX 0092—2025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B7823">
    <w:pPr>
      <w:pStyle w:val="61"/>
    </w:pPr>
    <w:r>
      <w:fldChar w:fldCharType="begin"/>
    </w:r>
    <w:r>
      <w:instrText xml:space="preserve"> STYLEREF  标准文件_文件编号  \* MERGEFORMAT </w:instrText>
    </w:r>
    <w:r>
      <w:fldChar w:fldCharType="separate"/>
    </w:r>
    <w:r>
      <w:t>T/XJBX 0092—2025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qQUAkGwkBi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6A77"/>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F2C"/>
    <w:rsid w:val="008F0CDC"/>
    <w:rsid w:val="008F17A3"/>
    <w:rsid w:val="008F1ED3"/>
    <w:rsid w:val="008F4C29"/>
    <w:rsid w:val="008F70BD"/>
    <w:rsid w:val="008F788F"/>
    <w:rsid w:val="008F7EA2"/>
    <w:rsid w:val="00902722"/>
    <w:rsid w:val="009027BC"/>
    <w:rsid w:val="00902FBD"/>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C32"/>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6C3"/>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DE65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jpe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282B4DD6">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327986C4">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0F9997C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8A4D07"/>
    <w:rsid w:val="009B6447"/>
    <w:rsid w:val="00B17687"/>
    <w:rsid w:val="00B6674A"/>
    <w:rsid w:val="00CE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29"/>
    <customShpInfo spid="_x0000_s1034"/>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5039</Words>
  <Characters>5328</Characters>
  <Lines>46</Lines>
  <Paragraphs>13</Paragraphs>
  <TotalTime>28</TotalTime>
  <ScaleCrop>false</ScaleCrop>
  <LinksUpToDate>false</LinksUpToDate>
  <CharactersWithSpaces>5416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2025-09-28T03:31:47Z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257F3E427FF3492ABE9114FE559FB7CB_12</vt:lpwstr>
  </property>
</Properties>
</file>