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01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91.010.01</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02"/>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02</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90"/>
            </w:textInput>
          </w:ffData>
        </w:fldChar>
      </w:r>
      <w:bookmarkStart w:id="6" w:name="NSTD_CODE_F"/>
      <w:r>
        <w:instrText xml:space="preserve"> FORMTEXT </w:instrText>
      </w:r>
      <w:r>
        <w:fldChar w:fldCharType="separate"/>
      </w:r>
      <w:r>
        <w:t>0090</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fldChar w:fldCharType="begin">
          <w:ffData>
            <w:name w:val="CSTD_NAME"/>
            <w:enabled/>
            <w:calcOnExit w:val="0"/>
            <w:textInput>
              <w:default w:val="工程造价审计风险评估与应对规范"/>
            </w:textInput>
          </w:ffData>
        </w:fldChar>
      </w:r>
      <w:bookmarkStart w:id="9" w:name="CSTD_NAME"/>
      <w:r>
        <w:instrText xml:space="preserve"> FORMTEXT </w:instrText>
      </w:r>
      <w:r>
        <w:fldChar w:fldCharType="separate"/>
      </w:r>
      <w:r>
        <w:t>工程造价审计风险评估与应对规范</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risk assessment and response in engineering cost audit"/>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risk assessment and response in engineering cost audit</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55CEC1D">
      <w:pPr>
        <w:pStyle w:val="89"/>
        <w:spacing w:before="900" w:after="360"/>
      </w:pPr>
      <w:bookmarkStart w:id="21" w:name="BookMark2"/>
      <w:r>
        <w:rPr>
          <w:spacing w:val="320"/>
        </w:rPr>
        <w:t>前</w:t>
      </w:r>
      <w:r>
        <w:t>言</w:t>
      </w:r>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本文件起草单位：甘肃第九建设集团有限责任公司。</w:t>
      </w:r>
    </w:p>
    <w:p w14:paraId="42BC1C2C">
      <w:pPr>
        <w:pStyle w:val="56"/>
        <w:spacing w:line="360" w:lineRule="auto"/>
        <w:ind w:firstLine="420"/>
      </w:pPr>
      <w:r>
        <w:rPr>
          <w:rFonts w:hint="eastAsia"/>
        </w:rPr>
        <w:t>本文件主要起草人：董 仓。</w:t>
      </w:r>
    </w:p>
    <w:p w14:paraId="4F59AFA1">
      <w:pPr>
        <w:pStyle w:val="56"/>
        <w:ind w:firstLine="420"/>
      </w:pPr>
    </w:p>
    <w:p w14:paraId="43B1A6EE">
      <w:pPr>
        <w:pStyle w:val="56"/>
        <w:ind w:firstLine="420"/>
        <w:sectPr>
          <w:headerReference r:id="rId12" w:type="first"/>
          <w:headerReference r:id="rId10" w:type="default"/>
          <w:footerReference r:id="rId13" w:type="default"/>
          <w:headerReference r:id="rId11" w:type="even"/>
          <w:pgSz w:w="11906" w:h="16838"/>
          <w:pgMar w:top="1928" w:right="1134" w:bottom="1134" w:left="1134" w:header="1418" w:footer="1134" w:gutter="284"/>
          <w:pgNumType w:fmt="upperRoman" w:start="1"/>
          <w:cols w:space="425" w:num="1"/>
          <w:formProt w:val="0"/>
          <w:docGrid w:linePitch="312" w:charSpace="0"/>
        </w:sectPr>
      </w:pPr>
    </w:p>
    <w:bookmarkEnd w:id="21"/>
    <w:p w14:paraId="4104DD8B">
      <w:pPr>
        <w:pStyle w:val="89"/>
        <w:spacing w:after="360"/>
      </w:pPr>
      <w:bookmarkStart w:id="22" w:name="BookMark3"/>
      <w:r>
        <w:rPr>
          <w:spacing w:val="320"/>
        </w:rPr>
        <w:t>引</w:t>
      </w:r>
      <w:r>
        <w:t>言</w:t>
      </w:r>
    </w:p>
    <w:p w14:paraId="39BC4402">
      <w:pPr>
        <w:pStyle w:val="56"/>
        <w:spacing w:line="360" w:lineRule="auto"/>
        <w:ind w:firstLine="420"/>
      </w:pPr>
      <w:r>
        <w:rPr>
          <w:rFonts w:hint="eastAsia"/>
        </w:rPr>
        <w:t>随着工程建设项目规模和复杂度的不断提升，工程造价管理在保障项目经济效益、控制投资风险、提高资源利用效率方面发挥着关键作用。然而，在实际工程项目中，由于设计变更频繁、施工环境复杂、材料价格波动及合同管理不完善等因素，工程造价审计工作面临较高风险。未经充分识别和控制的风险可能导致审计结论失真、投资决策偏差，甚至引发经济纠纷或法律责任。</w:t>
      </w:r>
    </w:p>
    <w:p w14:paraId="72C65082">
      <w:pPr>
        <w:pStyle w:val="56"/>
        <w:spacing w:line="360" w:lineRule="auto"/>
        <w:ind w:firstLine="420"/>
      </w:pPr>
      <w:r>
        <w:rPr>
          <w:rFonts w:hint="eastAsia"/>
        </w:rPr>
        <w:t>工程造价审计风险评估与应对是确保审计结果客观、真实和可靠的重要环节。通过系统识别、量化分析和科学应对各类风险，可以有效降低审计失误率，提升审计质量，保障项目投资安全和经济效益。风险评估不仅涉及工程项目本身的造价核算，还包括合同条款、设计方案、施工方案及相关政策法规的综合分析，对审计人员的专业能力和数据处理能力提出了较高要求。</w:t>
      </w:r>
    </w:p>
    <w:p w14:paraId="42EAE8EF">
      <w:pPr>
        <w:pStyle w:val="56"/>
        <w:spacing w:line="360" w:lineRule="auto"/>
        <w:ind w:firstLine="420"/>
      </w:pPr>
      <w:r>
        <w:rPr>
          <w:rFonts w:hint="eastAsia"/>
        </w:rPr>
        <w:t>本文件结合国内外工程造价审计管理经验及实践案例，提出系统的审计风险识别方法、评估指标体系、量化分析模型及应对措施，旨在为审计机构、项目管理单位及相关监管部门提供操作性强、科学性高的技术指导。通过标准化的风险评估与应对流程，能够实现对工程造价审计全流程的规范管理，确保审计工作公开、透明、可追溯，并为项目投资决策和造价管理提供可靠依据。</w:t>
      </w:r>
    </w:p>
    <w:p w14:paraId="50D9A392">
      <w:pPr>
        <w:pStyle w:val="56"/>
        <w:ind w:firstLine="420"/>
      </w:pPr>
    </w:p>
    <w:p w14:paraId="1F60BA12">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2"/>
    <w:p w14:paraId="12C43CC1">
      <w:pPr>
        <w:spacing w:line="20" w:lineRule="exact"/>
        <w:jc w:val="center"/>
        <w:rPr>
          <w:rFonts w:ascii="黑体" w:hAnsi="黑体" w:eastAsia="黑体"/>
          <w:sz w:val="32"/>
          <w:szCs w:val="32"/>
        </w:rPr>
      </w:pPr>
      <w:bookmarkStart w:id="23"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4" w:name="NEW_STAND_NAME"/>
          <w:r>
            <w:rPr>
              <w:rFonts w:hint="eastAsia"/>
            </w:rPr>
            <w:t>工程造价审计风险评估与应对规范</w:t>
          </w:r>
        </w:p>
      </w:sdtContent>
    </w:sdt>
    <w:bookmarkEnd w:id="24"/>
    <w:p w14:paraId="153BF6ED">
      <w:pPr>
        <w:pStyle w:val="104"/>
        <w:spacing w:before="240" w:after="240" w:line="360" w:lineRule="auto"/>
      </w:pPr>
      <w:bookmarkStart w:id="25" w:name="_Toc17233325"/>
      <w:bookmarkStart w:id="26" w:name="_Toc17233333"/>
      <w:bookmarkStart w:id="27" w:name="_Toc97192964"/>
      <w:bookmarkStart w:id="28" w:name="_Toc26648465"/>
      <w:bookmarkStart w:id="29" w:name="_Toc26986771"/>
      <w:bookmarkStart w:id="30" w:name="_Toc24884218"/>
      <w:bookmarkStart w:id="31" w:name="_Toc26718930"/>
      <w:bookmarkStart w:id="32" w:name="_Toc26986530"/>
      <w:bookmarkStart w:id="33" w:name="_Toc24884211"/>
      <w:r>
        <w:rPr>
          <w:rFonts w:hint="eastAsia"/>
        </w:rPr>
        <w:t>范围</w:t>
      </w:r>
      <w:bookmarkEnd w:id="25"/>
      <w:bookmarkEnd w:id="26"/>
      <w:bookmarkEnd w:id="27"/>
      <w:bookmarkEnd w:id="28"/>
      <w:bookmarkEnd w:id="29"/>
      <w:bookmarkEnd w:id="30"/>
      <w:bookmarkEnd w:id="31"/>
      <w:bookmarkEnd w:id="32"/>
      <w:bookmarkEnd w:id="33"/>
    </w:p>
    <w:p w14:paraId="564FFFDF">
      <w:pPr>
        <w:pStyle w:val="56"/>
        <w:spacing w:line="360" w:lineRule="auto"/>
        <w:ind w:firstLine="420"/>
      </w:pPr>
      <w:bookmarkStart w:id="34" w:name="_Toc17233334"/>
      <w:bookmarkStart w:id="35" w:name="_Toc24884219"/>
      <w:bookmarkStart w:id="36" w:name="_Toc24884212"/>
      <w:bookmarkStart w:id="37" w:name="_Toc17233326"/>
      <w:bookmarkStart w:id="38" w:name="_Toc26648466"/>
      <w:r>
        <w:rPr>
          <w:rFonts w:hint="eastAsia"/>
        </w:rPr>
        <w:t>本文件规定了工程造价审计中风险识别、评估和应对的技术要求和操作流程，包括风险识别与评估方法、风险应对措施、质量控制及数据记录与信息管理等内容。</w:t>
      </w:r>
    </w:p>
    <w:p w14:paraId="387C9C2B">
      <w:pPr>
        <w:pStyle w:val="56"/>
        <w:spacing w:line="360" w:lineRule="auto"/>
        <w:ind w:firstLine="420"/>
      </w:pPr>
      <w:r>
        <w:rPr>
          <w:rFonts w:hint="eastAsia"/>
        </w:rPr>
        <w:t>本文件适用于各类建设工程项目的造价审计工作，包括房建工程、市政工程、交通基础设施工程及水利工程等。同时，也可作为相关监管部门和投资方在项目造价管理和审计工作中的参考依据。</w:t>
      </w:r>
    </w:p>
    <w:p w14:paraId="1F7FEEB2">
      <w:pPr>
        <w:pStyle w:val="104"/>
        <w:spacing w:before="240" w:after="240" w:line="360" w:lineRule="auto"/>
      </w:pPr>
      <w:bookmarkStart w:id="39" w:name="_Toc26718931"/>
      <w:bookmarkStart w:id="40" w:name="_Toc26986531"/>
      <w:bookmarkStart w:id="41" w:name="_Toc26986772"/>
      <w:bookmarkStart w:id="42" w:name="_Toc97192965"/>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124362B">
      <w:pPr>
        <w:pStyle w:val="56"/>
        <w:spacing w:line="360" w:lineRule="auto"/>
        <w:ind w:firstLine="420"/>
      </w:pPr>
      <w:r>
        <w:rPr>
          <w:rFonts w:hint="eastAsia"/>
        </w:rPr>
        <w:t>GB/T 1.1—2020 标准化工作导则  第1部分:标准化文件的结构和起草规则</w:t>
      </w:r>
    </w:p>
    <w:p w14:paraId="743BBB7E">
      <w:pPr>
        <w:pStyle w:val="56"/>
        <w:spacing w:line="360" w:lineRule="auto"/>
        <w:ind w:firstLine="420"/>
      </w:pPr>
      <w:r>
        <w:t>GB/T 50326</w:t>
      </w:r>
      <w:r>
        <w:rPr>
          <w:rFonts w:hint="eastAsia"/>
        </w:rPr>
        <w:t>—</w:t>
      </w:r>
      <w:r>
        <w:t xml:space="preserve">2017 </w:t>
      </w:r>
      <w:r>
        <w:rPr>
          <w:rFonts w:hint="eastAsia"/>
        </w:rPr>
        <w:t>建设工程项目管理规范</w:t>
      </w:r>
    </w:p>
    <w:p w14:paraId="133017F4">
      <w:pPr>
        <w:pStyle w:val="56"/>
        <w:spacing w:line="360" w:lineRule="auto"/>
        <w:ind w:firstLine="420"/>
      </w:pPr>
      <w:r>
        <w:t>GB/T 51262</w:t>
      </w:r>
      <w:r>
        <w:rPr>
          <w:rFonts w:hint="eastAsia"/>
        </w:rPr>
        <w:t>—</w:t>
      </w:r>
      <w:r>
        <w:t xml:space="preserve">2017 </w:t>
      </w:r>
      <w:r>
        <w:rPr>
          <w:rFonts w:hint="eastAsia"/>
        </w:rPr>
        <w:t>建设工程造价鉴定规范</w:t>
      </w:r>
    </w:p>
    <w:p w14:paraId="6962992E">
      <w:pPr>
        <w:pStyle w:val="104"/>
        <w:spacing w:before="240" w:after="240" w:line="360" w:lineRule="auto"/>
      </w:pPr>
      <w:bookmarkStart w:id="43" w:name="_Toc97192966"/>
      <w:r>
        <w:rPr>
          <w:rFonts w:hint="eastAsia"/>
          <w:szCs w:val="21"/>
        </w:rPr>
        <w:t>术语和定义</w:t>
      </w:r>
      <w:bookmarkEnd w:id="43"/>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44" w:name="_Toc26986532"/>
          <w:bookmarkEnd w:id="44"/>
          <w:r>
            <w:t>下列术语和定义适用于本文件。</w:t>
          </w:r>
        </w:p>
      </w:sdtContent>
    </w:sdt>
    <w:p w14:paraId="757E0CE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审计风险 audit risk</w:t>
      </w:r>
    </w:p>
    <w:p w14:paraId="7FC18993">
      <w:pPr>
        <w:pStyle w:val="56"/>
        <w:spacing w:line="360" w:lineRule="auto"/>
        <w:ind w:firstLine="420"/>
      </w:pPr>
      <w:r>
        <w:rPr>
          <w:rFonts w:hint="eastAsia"/>
        </w:rPr>
        <w:t>指在工程造价审计过程中，由于审计程序、数据不完整或判断失误等因素，导致审计结论与实际工程造价情况存在偏差的可能性。</w:t>
      </w:r>
    </w:p>
    <w:p w14:paraId="11CD6A6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风险识别 risk identification</w:t>
      </w:r>
    </w:p>
    <w:p w14:paraId="10770F6A">
      <w:pPr>
        <w:pStyle w:val="56"/>
        <w:spacing w:line="360" w:lineRule="auto"/>
        <w:ind w:firstLine="420"/>
      </w:pPr>
      <w:r>
        <w:rPr>
          <w:rFonts w:hint="eastAsia"/>
        </w:rPr>
        <w:t>指在审计前及审计过程中，对可能影响审计结论准确性的因素进行系统梳理和识别，包括设计变更、合同条款、施工方案、材料价格及财务数据等。</w:t>
      </w:r>
    </w:p>
    <w:p w14:paraId="39A1E1C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风险评估 risk assessment</w:t>
      </w:r>
    </w:p>
    <w:p w14:paraId="1260578F">
      <w:pPr>
        <w:pStyle w:val="56"/>
        <w:spacing w:line="360" w:lineRule="auto"/>
        <w:ind w:firstLine="420"/>
      </w:pPr>
      <w:r>
        <w:rPr>
          <w:rFonts w:hint="eastAsia"/>
        </w:rPr>
        <w:t>指通过分析识别出的潜在风险的发生概率和影响程度，对各类审计风险进行分类、排序和量化的过程。</w:t>
      </w:r>
    </w:p>
    <w:p w14:paraId="7CF262A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风险应对措施 risk response measures</w:t>
      </w:r>
    </w:p>
    <w:p w14:paraId="79BFBE77">
      <w:pPr>
        <w:pStyle w:val="56"/>
        <w:spacing w:line="360" w:lineRule="auto"/>
        <w:ind w:firstLine="420"/>
      </w:pPr>
      <w:r>
        <w:rPr>
          <w:rFonts w:hint="eastAsia"/>
        </w:rPr>
        <w:t>指针对不同类型和等级的审计风险，采取预防、控制、缓解或补救措施，以降低风险对审计结论和项目造价的影响。</w:t>
      </w:r>
    </w:p>
    <w:p w14:paraId="6F1AA19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风险量化 risk quantification</w:t>
      </w:r>
    </w:p>
    <w:p w14:paraId="6BB60BB3">
      <w:pPr>
        <w:pStyle w:val="56"/>
        <w:spacing w:line="360" w:lineRule="auto"/>
        <w:ind w:firstLine="420"/>
      </w:pPr>
      <w:r>
        <w:rPr>
          <w:rFonts w:hint="eastAsia"/>
        </w:rPr>
        <w:t>指利用定量分析方法，将风险的可能性和潜在影响转化为数值或指标，便于综合评估和管理。</w:t>
      </w:r>
    </w:p>
    <w:p w14:paraId="0AD6A24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审计控制点 audit control point</w:t>
      </w:r>
    </w:p>
    <w:p w14:paraId="671B7BDE">
      <w:pPr>
        <w:pStyle w:val="56"/>
        <w:spacing w:line="360" w:lineRule="auto"/>
        <w:ind w:firstLine="420"/>
      </w:pPr>
      <w:r>
        <w:rPr>
          <w:rFonts w:hint="eastAsia"/>
        </w:rPr>
        <w:t>指在审计过程中设置的关键环节或检查点，用于对高风险区域或重点环节实施重点监控和评估。</w:t>
      </w:r>
    </w:p>
    <w:p w14:paraId="56EAC3C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重大事项 significant matter</w:t>
      </w:r>
    </w:p>
    <w:p w14:paraId="07649F0E">
      <w:pPr>
        <w:pStyle w:val="56"/>
        <w:spacing w:line="360" w:lineRule="auto"/>
        <w:ind w:firstLine="420"/>
      </w:pPr>
      <w:r>
        <w:rPr>
          <w:rFonts w:hint="eastAsia"/>
        </w:rPr>
        <w:t>指可能对审计结论产生重大影响的事项，包括合同异常、成本异常、设计变更及重大施工偏差等。</w:t>
      </w:r>
    </w:p>
    <w:p w14:paraId="5973816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审计结果复核 audit result review</w:t>
      </w:r>
    </w:p>
    <w:p w14:paraId="3F37B20B">
      <w:pPr>
        <w:pStyle w:val="56"/>
        <w:spacing w:line="360" w:lineRule="auto"/>
        <w:ind w:firstLine="420"/>
      </w:pPr>
      <w:r>
        <w:rPr>
          <w:rFonts w:hint="eastAsia"/>
        </w:rPr>
        <w:t>指对初步审计结论进行复核和验证的过程，以确保审计发现、分析和应对措施的准确性和完整性。</w:t>
      </w:r>
    </w:p>
    <w:p w14:paraId="25CBC44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风险报告 risk report</w:t>
      </w:r>
    </w:p>
    <w:p w14:paraId="311204EC">
      <w:pPr>
        <w:pStyle w:val="56"/>
        <w:spacing w:line="360" w:lineRule="auto"/>
        <w:ind w:firstLine="420"/>
      </w:pPr>
      <w:r>
        <w:rPr>
          <w:rFonts w:hint="eastAsia"/>
        </w:rPr>
        <w:t>指审计完成后形成的书面文件，详细记录识别的风险、评估结果、应对措施及处理意见，为项目管理和决策提供依据。</w:t>
      </w:r>
    </w:p>
    <w:p w14:paraId="759330EB">
      <w:pPr>
        <w:pStyle w:val="104"/>
        <w:spacing w:before="240" w:after="240" w:line="360" w:lineRule="auto"/>
      </w:pPr>
      <w:r>
        <w:rPr>
          <w:rFonts w:hint="eastAsia"/>
        </w:rPr>
        <w:t>总体原则</w:t>
      </w:r>
    </w:p>
    <w:p w14:paraId="6DAC5156">
      <w:pPr>
        <w:pStyle w:val="56"/>
        <w:spacing w:line="360" w:lineRule="auto"/>
        <w:ind w:firstLine="420"/>
      </w:pPr>
      <w:r>
        <w:rPr>
          <w:rFonts w:hint="eastAsia"/>
        </w:rPr>
        <w:t>工程造价审计风险评估与应对应遵循科学、系统、规范、安全和持续改进的总体原则，以确保审计过程公正、数据可靠、结论准确，并有效降低审计风险。</w:t>
      </w:r>
    </w:p>
    <w:p w14:paraId="0F0ACEAF">
      <w:pPr>
        <w:pStyle w:val="105"/>
        <w:spacing w:before="120" w:after="120" w:line="360" w:lineRule="auto"/>
      </w:pPr>
      <w:r>
        <w:rPr>
          <w:rFonts w:hint="eastAsia"/>
        </w:rPr>
        <w:t>科学性原则</w:t>
      </w:r>
    </w:p>
    <w:p w14:paraId="2CA7C347">
      <w:pPr>
        <w:pStyle w:val="56"/>
        <w:spacing w:line="360" w:lineRule="auto"/>
        <w:ind w:firstLine="420"/>
      </w:pPr>
      <w:r>
        <w:rPr>
          <w:rFonts w:hint="eastAsia"/>
        </w:rPr>
        <w:t>审计风险评估应基于工程造价管理理论、审计方法学以及项目实际数据，结合设计方案、合同条款和施工方案，科学识别、分析和量化风险。应根据风险等级和影响程度制定针对性的应对措施，确保风险评估和应对措施具有可操作性和科学依据。</w:t>
      </w:r>
    </w:p>
    <w:p w14:paraId="531388C1">
      <w:pPr>
        <w:pStyle w:val="105"/>
        <w:spacing w:before="120" w:after="120" w:line="360" w:lineRule="auto"/>
      </w:pPr>
      <w:r>
        <w:rPr>
          <w:rFonts w:hint="eastAsia"/>
        </w:rPr>
        <w:t>系统性原则</w:t>
      </w:r>
    </w:p>
    <w:p w14:paraId="2F722377">
      <w:pPr>
        <w:pStyle w:val="56"/>
        <w:spacing w:line="360" w:lineRule="auto"/>
        <w:ind w:firstLine="420"/>
      </w:pPr>
      <w:r>
        <w:rPr>
          <w:rFonts w:hint="eastAsia"/>
        </w:rPr>
        <w:t>审计风险评估应覆盖项目造价审计全过程，包括预算编制、合同管理、施工成本、材料采购及付款结算等环节。风险识别、评估和应对应形成闭环管理，避免局部风险未被发现或控制，从而影响整体审计结果。</w:t>
      </w:r>
    </w:p>
    <w:p w14:paraId="20F1DCC3">
      <w:pPr>
        <w:pStyle w:val="105"/>
        <w:spacing w:before="120" w:after="120" w:line="360" w:lineRule="auto"/>
      </w:pPr>
      <w:r>
        <w:rPr>
          <w:rFonts w:hint="eastAsia"/>
        </w:rPr>
        <w:t>规范性原则</w:t>
      </w:r>
    </w:p>
    <w:p w14:paraId="79AEE4FA">
      <w:pPr>
        <w:pStyle w:val="56"/>
        <w:spacing w:line="360" w:lineRule="auto"/>
        <w:ind w:firstLine="420"/>
      </w:pPr>
      <w:r>
        <w:rPr>
          <w:rFonts w:hint="eastAsia"/>
        </w:rPr>
        <w:t>审计风险识别、评估及应对应遵循国家及行业标准规范，确保操作流程统一、方法标准化。审计记录、风险报告及相关文档应规范化、可追溯，并形成系统档案，便于审计复核、监管和后续管理。</w:t>
      </w:r>
    </w:p>
    <w:p w14:paraId="3BBB1912">
      <w:pPr>
        <w:pStyle w:val="105"/>
        <w:spacing w:before="120" w:after="120" w:line="360" w:lineRule="auto"/>
      </w:pPr>
      <w:r>
        <w:rPr>
          <w:rFonts w:hint="eastAsia"/>
        </w:rPr>
        <w:t>安全性原则</w:t>
      </w:r>
    </w:p>
    <w:p w14:paraId="13BD8F53">
      <w:pPr>
        <w:pStyle w:val="56"/>
        <w:spacing w:line="360" w:lineRule="auto"/>
        <w:ind w:firstLine="420"/>
      </w:pPr>
      <w:r>
        <w:rPr>
          <w:rFonts w:hint="eastAsia"/>
        </w:rPr>
        <w:t>审计风险评估和应对工作应确保信息安全、数据完整和操作安全。在处理涉及合同、财务及敏感数据时，应采取保密措施和权限管理，防止数据泄露或误用。对于高风险事项，应设置复核和审查环节，降低人为操作或判断失误造成的风险。</w:t>
      </w:r>
    </w:p>
    <w:p w14:paraId="51F22F62">
      <w:pPr>
        <w:pStyle w:val="105"/>
        <w:spacing w:before="120" w:after="120" w:line="360" w:lineRule="auto"/>
      </w:pPr>
      <w:r>
        <w:rPr>
          <w:rFonts w:hint="eastAsia"/>
        </w:rPr>
        <w:t>持续改进原则</w:t>
      </w:r>
    </w:p>
    <w:p w14:paraId="62FDC978">
      <w:pPr>
        <w:pStyle w:val="56"/>
        <w:spacing w:line="360" w:lineRule="auto"/>
        <w:ind w:firstLine="420"/>
      </w:pPr>
      <w:r>
        <w:rPr>
          <w:rFonts w:hint="eastAsia"/>
        </w:rPr>
        <w:t>工程造价审计风险管理应建立动态改进机制，对识别、评估和应对过程进行定期总结和分析。通过对历史数据、风险事件及处理经验的整理，优化评估指标、调整应对策略和改进审计方法，持续提升审计风险管理水平，保障审计结论的可靠性和项目投资安全。</w:t>
      </w:r>
    </w:p>
    <w:p w14:paraId="077257CB">
      <w:pPr>
        <w:pStyle w:val="104"/>
        <w:spacing w:before="240" w:after="240" w:line="360" w:lineRule="auto"/>
      </w:pPr>
      <w:r>
        <w:rPr>
          <w:rFonts w:hint="eastAsia"/>
        </w:rPr>
        <w:t>风险识别与评估方法</w:t>
      </w:r>
    </w:p>
    <w:p w14:paraId="7AFB87E8">
      <w:pPr>
        <w:pStyle w:val="105"/>
        <w:spacing w:before="120" w:after="120" w:line="360" w:lineRule="auto"/>
      </w:pPr>
      <w:r>
        <w:rPr>
          <w:rFonts w:hint="eastAsia"/>
        </w:rPr>
        <w:t>风险识别</w:t>
      </w:r>
    </w:p>
    <w:p w14:paraId="1E99DC4C">
      <w:pPr>
        <w:pStyle w:val="56"/>
        <w:spacing w:line="360" w:lineRule="auto"/>
        <w:ind w:firstLine="420"/>
      </w:pPr>
      <w:r>
        <w:rPr>
          <w:rFonts w:hint="eastAsia"/>
        </w:rPr>
        <w:t>风险识别应结合项目特点、历史数据和行业经验，系统梳理可能影响审计结论的因素。主要识别方法包括：</w:t>
      </w:r>
    </w:p>
    <w:p w14:paraId="4D597C47">
      <w:pPr>
        <w:pStyle w:val="132"/>
        <w:spacing w:line="360" w:lineRule="auto"/>
      </w:pPr>
      <w:r>
        <w:rPr>
          <w:rFonts w:hint="eastAsia"/>
        </w:rPr>
        <w:t>文档分析法：审查设计图纸、施工方案、合同条款、预算及结算文件，发现潜在异常或不合理条款；</w:t>
      </w:r>
    </w:p>
    <w:p w14:paraId="3FEA1370">
      <w:pPr>
        <w:pStyle w:val="132"/>
        <w:spacing w:line="360" w:lineRule="auto"/>
      </w:pPr>
      <w:r>
        <w:rPr>
          <w:rFonts w:hint="eastAsia"/>
        </w:rPr>
        <w:t>现场勘查法：通过现场核查施工进度、施工方法、材料使用情况及设备管理状态，发现可能导致造价偏差的风险因素；</w:t>
      </w:r>
    </w:p>
    <w:p w14:paraId="0481EB95">
      <w:pPr>
        <w:pStyle w:val="132"/>
        <w:spacing w:line="360" w:lineRule="auto"/>
      </w:pPr>
      <w:r>
        <w:rPr>
          <w:rFonts w:hint="eastAsia"/>
        </w:rPr>
        <w:t>专家咨询法：邀请造价管理、工程审计及施工管理专家，对复杂项目或特殊环节进行风险研判；</w:t>
      </w:r>
    </w:p>
    <w:p w14:paraId="761FBAAE">
      <w:pPr>
        <w:pStyle w:val="132"/>
        <w:spacing w:line="360" w:lineRule="auto"/>
      </w:pPr>
      <w:r>
        <w:rPr>
          <w:rFonts w:hint="eastAsia"/>
        </w:rPr>
        <w:t>数据分析法：利用历史数据、成本模型及统计分析手段，识别异常波动、偏差趋势及潜在风险点。</w:t>
      </w:r>
    </w:p>
    <w:p w14:paraId="365025C6">
      <w:pPr>
        <w:pStyle w:val="105"/>
        <w:spacing w:before="120" w:after="120" w:line="360" w:lineRule="auto"/>
      </w:pPr>
      <w:r>
        <w:rPr>
          <w:rFonts w:hint="eastAsia"/>
        </w:rPr>
        <w:t>风险评估方法</w:t>
      </w:r>
    </w:p>
    <w:p w14:paraId="3BC5E769">
      <w:pPr>
        <w:pStyle w:val="56"/>
        <w:spacing w:line="360" w:lineRule="auto"/>
        <w:ind w:firstLine="420"/>
      </w:pPr>
      <w:r>
        <w:rPr>
          <w:rFonts w:hint="eastAsia"/>
        </w:rPr>
        <w:t>风险评估包括风险等级划分和量化分析。应根据风险发生的可能性和对审计结论的影响程度，对风险进行分类和排序。风险评估方法包括：</w:t>
      </w:r>
    </w:p>
    <w:p w14:paraId="130AF2F7">
      <w:pPr>
        <w:pStyle w:val="132"/>
        <w:spacing w:line="360" w:lineRule="auto"/>
      </w:pPr>
      <w:r>
        <w:rPr>
          <w:rFonts w:hint="eastAsia"/>
        </w:rPr>
        <w:t>定性评估：根据经验判断风险的严重性和可能性，划分为高、中、低三级风险等级；</w:t>
      </w:r>
    </w:p>
    <w:p w14:paraId="778F91E2">
      <w:pPr>
        <w:pStyle w:val="132"/>
        <w:spacing w:line="360" w:lineRule="auto"/>
      </w:pPr>
      <w:r>
        <w:rPr>
          <w:rFonts w:hint="eastAsia"/>
        </w:rPr>
        <w:t>定量评估：采用概率分析、加权评分、风险指数或数值模拟方法，将风险转化为可量化指标；</w:t>
      </w:r>
    </w:p>
    <w:p w14:paraId="7B6351E4">
      <w:pPr>
        <w:pStyle w:val="132"/>
        <w:spacing w:line="360" w:lineRule="auto"/>
      </w:pPr>
      <w:r>
        <w:rPr>
          <w:rFonts w:hint="eastAsia"/>
        </w:rPr>
        <w:t>复合评估：结合定性与定量结果，对重点风险和重大事项形成综合评价，指导审计应对措施的制定。</w:t>
      </w:r>
    </w:p>
    <w:p w14:paraId="4B7980E8">
      <w:pPr>
        <w:pStyle w:val="56"/>
        <w:spacing w:line="360" w:lineRule="auto"/>
        <w:ind w:firstLine="420"/>
      </w:pPr>
      <w:r>
        <w:rPr>
          <w:rFonts w:hint="eastAsia"/>
        </w:rPr>
        <w:t>工程造价审计关键风险类别及评估要素见表1。</w:t>
      </w:r>
    </w:p>
    <w:p w14:paraId="1F2093A8">
      <w:pPr>
        <w:pStyle w:val="112"/>
        <w:spacing w:before="120" w:after="120" w:line="360" w:lineRule="auto"/>
      </w:pPr>
      <w:r>
        <w:rPr>
          <w:rFonts w:hint="eastAsia"/>
        </w:rPr>
        <w:t>工程造价审计关键风险类别及评估要素</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559"/>
        <w:gridCol w:w="2410"/>
        <w:gridCol w:w="2126"/>
        <w:gridCol w:w="1276"/>
        <w:gridCol w:w="1122"/>
      </w:tblGrid>
      <w:tr w14:paraId="19DEA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14:paraId="4E4C9337">
            <w:pPr>
              <w:pStyle w:val="178"/>
            </w:pPr>
            <w:r>
              <w:rPr>
                <w:rFonts w:hint="eastAsia"/>
              </w:rPr>
              <w:t>序号</w:t>
            </w:r>
          </w:p>
        </w:tc>
        <w:tc>
          <w:tcPr>
            <w:tcW w:w="1559" w:type="dxa"/>
            <w:tcBorders>
              <w:top w:val="single" w:color="auto" w:sz="8" w:space="0"/>
              <w:bottom w:val="single" w:color="auto" w:sz="8" w:space="0"/>
            </w:tcBorders>
            <w:shd w:val="clear" w:color="auto" w:fill="auto"/>
            <w:vAlign w:val="center"/>
          </w:tcPr>
          <w:p w14:paraId="6AB894EC">
            <w:pPr>
              <w:pStyle w:val="178"/>
            </w:pPr>
            <w:r>
              <w:rPr>
                <w:rFonts w:hint="eastAsia"/>
              </w:rPr>
              <w:t>风险类别</w:t>
            </w:r>
          </w:p>
        </w:tc>
        <w:tc>
          <w:tcPr>
            <w:tcW w:w="2410" w:type="dxa"/>
            <w:tcBorders>
              <w:top w:val="single" w:color="auto" w:sz="8" w:space="0"/>
              <w:bottom w:val="single" w:color="auto" w:sz="8" w:space="0"/>
            </w:tcBorders>
            <w:shd w:val="clear" w:color="auto" w:fill="auto"/>
            <w:vAlign w:val="center"/>
          </w:tcPr>
          <w:p w14:paraId="463609CF">
            <w:pPr>
              <w:pStyle w:val="178"/>
            </w:pPr>
            <w:r>
              <w:rPr>
                <w:rFonts w:hint="eastAsia"/>
              </w:rPr>
              <w:t>风险来源</w:t>
            </w:r>
          </w:p>
        </w:tc>
        <w:tc>
          <w:tcPr>
            <w:tcW w:w="2126" w:type="dxa"/>
            <w:tcBorders>
              <w:top w:val="single" w:color="auto" w:sz="8" w:space="0"/>
              <w:bottom w:val="single" w:color="auto" w:sz="8" w:space="0"/>
            </w:tcBorders>
            <w:shd w:val="clear" w:color="auto" w:fill="auto"/>
            <w:vAlign w:val="center"/>
          </w:tcPr>
          <w:p w14:paraId="22232F81">
            <w:pPr>
              <w:pStyle w:val="178"/>
            </w:pPr>
            <w:r>
              <w:rPr>
                <w:rFonts w:hint="eastAsia"/>
              </w:rPr>
              <w:t>主要影响因素</w:t>
            </w:r>
          </w:p>
        </w:tc>
        <w:tc>
          <w:tcPr>
            <w:tcW w:w="1276" w:type="dxa"/>
            <w:tcBorders>
              <w:top w:val="single" w:color="auto" w:sz="8" w:space="0"/>
              <w:bottom w:val="single" w:color="auto" w:sz="8" w:space="0"/>
            </w:tcBorders>
            <w:shd w:val="clear" w:color="auto" w:fill="auto"/>
            <w:vAlign w:val="center"/>
          </w:tcPr>
          <w:p w14:paraId="3AE23185">
            <w:pPr>
              <w:pStyle w:val="178"/>
            </w:pPr>
            <w:r>
              <w:rPr>
                <w:rFonts w:hint="eastAsia"/>
              </w:rPr>
              <w:t>评估方法</w:t>
            </w:r>
          </w:p>
        </w:tc>
        <w:tc>
          <w:tcPr>
            <w:tcW w:w="1122" w:type="dxa"/>
            <w:tcBorders>
              <w:top w:val="single" w:color="auto" w:sz="8" w:space="0"/>
              <w:bottom w:val="single" w:color="auto" w:sz="8" w:space="0"/>
            </w:tcBorders>
            <w:shd w:val="clear" w:color="auto" w:fill="auto"/>
            <w:vAlign w:val="center"/>
          </w:tcPr>
          <w:p w14:paraId="12928400">
            <w:pPr>
              <w:pStyle w:val="178"/>
            </w:pPr>
            <w:r>
              <w:rPr>
                <w:rFonts w:hint="eastAsia"/>
              </w:rPr>
              <w:t>风险等级</w:t>
            </w:r>
          </w:p>
        </w:tc>
      </w:tr>
      <w:tr w14:paraId="31E2C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shd w:val="clear" w:color="auto" w:fill="auto"/>
            <w:vAlign w:val="center"/>
          </w:tcPr>
          <w:p w14:paraId="0EE57852">
            <w:pPr>
              <w:pStyle w:val="178"/>
            </w:pPr>
            <w:r>
              <w:rPr>
                <w:rFonts w:hint="eastAsia"/>
              </w:rPr>
              <w:t>1</w:t>
            </w:r>
          </w:p>
        </w:tc>
        <w:tc>
          <w:tcPr>
            <w:tcW w:w="1559" w:type="dxa"/>
            <w:tcBorders>
              <w:top w:val="single" w:color="auto" w:sz="8" w:space="0"/>
            </w:tcBorders>
            <w:shd w:val="clear" w:color="auto" w:fill="auto"/>
            <w:vAlign w:val="center"/>
          </w:tcPr>
          <w:p w14:paraId="1445A6F3">
            <w:pPr>
              <w:pStyle w:val="178"/>
            </w:pPr>
            <w:r>
              <w:rPr>
                <w:rFonts w:hint="eastAsia"/>
              </w:rPr>
              <w:t>设计变更风险</w:t>
            </w:r>
          </w:p>
        </w:tc>
        <w:tc>
          <w:tcPr>
            <w:tcW w:w="2410" w:type="dxa"/>
            <w:tcBorders>
              <w:top w:val="single" w:color="auto" w:sz="8" w:space="0"/>
            </w:tcBorders>
            <w:shd w:val="clear" w:color="auto" w:fill="auto"/>
            <w:vAlign w:val="center"/>
          </w:tcPr>
          <w:p w14:paraId="4F2284DA">
            <w:pPr>
              <w:pStyle w:val="178"/>
            </w:pPr>
            <w:r>
              <w:rPr>
                <w:rFonts w:hint="eastAsia"/>
              </w:rPr>
              <w:t>设计方案调整、方案优化</w:t>
            </w:r>
          </w:p>
        </w:tc>
        <w:tc>
          <w:tcPr>
            <w:tcW w:w="2126" w:type="dxa"/>
            <w:tcBorders>
              <w:top w:val="single" w:color="auto" w:sz="8" w:space="0"/>
            </w:tcBorders>
            <w:shd w:val="clear" w:color="auto" w:fill="auto"/>
            <w:vAlign w:val="center"/>
          </w:tcPr>
          <w:p w14:paraId="7A4F9175">
            <w:pPr>
              <w:pStyle w:val="178"/>
            </w:pPr>
            <w:r>
              <w:rPr>
                <w:rFonts w:hint="eastAsia"/>
              </w:rPr>
              <w:t>造价偏差、合同调整</w:t>
            </w:r>
          </w:p>
        </w:tc>
        <w:tc>
          <w:tcPr>
            <w:tcW w:w="1276" w:type="dxa"/>
            <w:tcBorders>
              <w:top w:val="single" w:color="auto" w:sz="8" w:space="0"/>
            </w:tcBorders>
            <w:shd w:val="clear" w:color="auto" w:fill="auto"/>
            <w:vAlign w:val="center"/>
          </w:tcPr>
          <w:p w14:paraId="598C35C8">
            <w:pPr>
              <w:pStyle w:val="178"/>
            </w:pPr>
            <w:r>
              <w:rPr>
                <w:rFonts w:hint="eastAsia"/>
              </w:rPr>
              <w:t>定性+定量分析</w:t>
            </w:r>
          </w:p>
        </w:tc>
        <w:tc>
          <w:tcPr>
            <w:tcW w:w="1122" w:type="dxa"/>
            <w:tcBorders>
              <w:top w:val="single" w:color="auto" w:sz="8" w:space="0"/>
            </w:tcBorders>
            <w:shd w:val="clear" w:color="auto" w:fill="auto"/>
            <w:vAlign w:val="center"/>
          </w:tcPr>
          <w:p w14:paraId="72F8124B">
            <w:pPr>
              <w:pStyle w:val="178"/>
            </w:pPr>
            <w:r>
              <w:rPr>
                <w:rFonts w:hint="eastAsia"/>
              </w:rPr>
              <w:t>高</w:t>
            </w:r>
          </w:p>
        </w:tc>
      </w:tr>
      <w:tr w14:paraId="250732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635B007C">
            <w:pPr>
              <w:pStyle w:val="178"/>
            </w:pPr>
            <w:r>
              <w:rPr>
                <w:rFonts w:hint="eastAsia"/>
              </w:rPr>
              <w:t>2</w:t>
            </w:r>
          </w:p>
        </w:tc>
        <w:tc>
          <w:tcPr>
            <w:tcW w:w="1559" w:type="dxa"/>
            <w:shd w:val="clear" w:color="auto" w:fill="auto"/>
            <w:vAlign w:val="center"/>
          </w:tcPr>
          <w:p w14:paraId="352E9194">
            <w:pPr>
              <w:pStyle w:val="178"/>
            </w:pPr>
            <w:r>
              <w:rPr>
                <w:rFonts w:hint="eastAsia"/>
              </w:rPr>
              <w:t>施工过程风险</w:t>
            </w:r>
          </w:p>
        </w:tc>
        <w:tc>
          <w:tcPr>
            <w:tcW w:w="2410" w:type="dxa"/>
            <w:shd w:val="clear" w:color="auto" w:fill="auto"/>
            <w:vAlign w:val="center"/>
          </w:tcPr>
          <w:p w14:paraId="5693B042">
            <w:pPr>
              <w:pStyle w:val="178"/>
            </w:pPr>
            <w:r>
              <w:rPr>
                <w:rFonts w:hint="eastAsia"/>
              </w:rPr>
              <w:t>工程施工质量、施工方法</w:t>
            </w:r>
          </w:p>
        </w:tc>
        <w:tc>
          <w:tcPr>
            <w:tcW w:w="2126" w:type="dxa"/>
            <w:shd w:val="clear" w:color="auto" w:fill="auto"/>
            <w:vAlign w:val="center"/>
          </w:tcPr>
          <w:p w14:paraId="7ADDB77A">
            <w:pPr>
              <w:pStyle w:val="178"/>
            </w:pPr>
            <w:r>
              <w:rPr>
                <w:rFonts w:hint="eastAsia"/>
              </w:rPr>
              <w:t>材料浪费、人工成本增加</w:t>
            </w:r>
          </w:p>
        </w:tc>
        <w:tc>
          <w:tcPr>
            <w:tcW w:w="1276" w:type="dxa"/>
            <w:shd w:val="clear" w:color="auto" w:fill="auto"/>
            <w:vAlign w:val="center"/>
          </w:tcPr>
          <w:p w14:paraId="26D4CBEB">
            <w:pPr>
              <w:pStyle w:val="178"/>
            </w:pPr>
            <w:r>
              <w:rPr>
                <w:rFonts w:hint="eastAsia"/>
              </w:rPr>
              <w:t>定性评估</w:t>
            </w:r>
          </w:p>
        </w:tc>
        <w:tc>
          <w:tcPr>
            <w:tcW w:w="1122" w:type="dxa"/>
            <w:shd w:val="clear" w:color="auto" w:fill="auto"/>
            <w:vAlign w:val="center"/>
          </w:tcPr>
          <w:p w14:paraId="4C9FAEF1">
            <w:pPr>
              <w:pStyle w:val="178"/>
            </w:pPr>
            <w:r>
              <w:rPr>
                <w:rFonts w:hint="eastAsia"/>
              </w:rPr>
              <w:t>中</w:t>
            </w:r>
          </w:p>
        </w:tc>
      </w:tr>
      <w:tr w14:paraId="21E1B8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14:paraId="20313DD2">
            <w:pPr>
              <w:pStyle w:val="178"/>
            </w:pPr>
            <w:r>
              <w:rPr>
                <w:rFonts w:hint="eastAsia"/>
              </w:rPr>
              <w:t>3</w:t>
            </w:r>
          </w:p>
        </w:tc>
        <w:tc>
          <w:tcPr>
            <w:tcW w:w="1559" w:type="dxa"/>
            <w:shd w:val="clear" w:color="auto" w:fill="auto"/>
            <w:vAlign w:val="center"/>
          </w:tcPr>
          <w:p w14:paraId="1C1D62A1">
            <w:pPr>
              <w:pStyle w:val="178"/>
            </w:pPr>
            <w:r>
              <w:rPr>
                <w:rFonts w:hint="eastAsia"/>
              </w:rPr>
              <w:t>合同与法律风险</w:t>
            </w:r>
          </w:p>
        </w:tc>
        <w:tc>
          <w:tcPr>
            <w:tcW w:w="2410" w:type="dxa"/>
            <w:shd w:val="clear" w:color="auto" w:fill="auto"/>
            <w:vAlign w:val="center"/>
          </w:tcPr>
          <w:p w14:paraId="2E5D7CF3">
            <w:pPr>
              <w:pStyle w:val="178"/>
            </w:pPr>
            <w:r>
              <w:rPr>
                <w:rFonts w:hint="eastAsia"/>
              </w:rPr>
              <w:t>合同条款不规范、索赔纠纷</w:t>
            </w:r>
          </w:p>
        </w:tc>
        <w:tc>
          <w:tcPr>
            <w:tcW w:w="2126" w:type="dxa"/>
            <w:shd w:val="clear" w:color="auto" w:fill="auto"/>
            <w:vAlign w:val="center"/>
          </w:tcPr>
          <w:p w14:paraId="538F5489">
            <w:pPr>
              <w:pStyle w:val="178"/>
            </w:pPr>
            <w:r>
              <w:rPr>
                <w:rFonts w:hint="eastAsia"/>
              </w:rPr>
              <w:t>额外费用、审计争议</w:t>
            </w:r>
          </w:p>
        </w:tc>
        <w:tc>
          <w:tcPr>
            <w:tcW w:w="1276" w:type="dxa"/>
            <w:shd w:val="clear" w:color="auto" w:fill="auto"/>
            <w:vAlign w:val="center"/>
          </w:tcPr>
          <w:p w14:paraId="3CAAF8F1">
            <w:pPr>
              <w:pStyle w:val="178"/>
            </w:pPr>
            <w:r>
              <w:rPr>
                <w:rFonts w:hint="eastAsia"/>
              </w:rPr>
              <w:t>专家咨询+数据分析</w:t>
            </w:r>
          </w:p>
        </w:tc>
        <w:tc>
          <w:tcPr>
            <w:tcW w:w="1122" w:type="dxa"/>
            <w:shd w:val="clear" w:color="auto" w:fill="auto"/>
            <w:vAlign w:val="center"/>
          </w:tcPr>
          <w:p w14:paraId="061D01FB">
            <w:pPr>
              <w:pStyle w:val="178"/>
            </w:pPr>
            <w:r>
              <w:rPr>
                <w:rFonts w:hint="eastAsia"/>
              </w:rPr>
              <w:t>高</w:t>
            </w:r>
          </w:p>
        </w:tc>
      </w:tr>
      <w:tr w14:paraId="3EBDFC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6B626BF5">
            <w:pPr>
              <w:pStyle w:val="178"/>
            </w:pPr>
            <w:r>
              <w:rPr>
                <w:rFonts w:hint="eastAsia"/>
              </w:rPr>
              <w:t>4</w:t>
            </w:r>
          </w:p>
        </w:tc>
        <w:tc>
          <w:tcPr>
            <w:tcW w:w="1559" w:type="dxa"/>
            <w:shd w:val="clear" w:color="auto" w:fill="auto"/>
            <w:vAlign w:val="center"/>
          </w:tcPr>
          <w:p w14:paraId="39D49442">
            <w:pPr>
              <w:pStyle w:val="178"/>
            </w:pPr>
            <w:r>
              <w:rPr>
                <w:rFonts w:hint="eastAsia"/>
              </w:rPr>
              <w:t>材料价格风险</w:t>
            </w:r>
          </w:p>
        </w:tc>
        <w:tc>
          <w:tcPr>
            <w:tcW w:w="2410" w:type="dxa"/>
            <w:shd w:val="clear" w:color="auto" w:fill="auto"/>
            <w:vAlign w:val="center"/>
          </w:tcPr>
          <w:p w14:paraId="2B48845D">
            <w:pPr>
              <w:pStyle w:val="178"/>
            </w:pPr>
            <w:r>
              <w:rPr>
                <w:rFonts w:hint="eastAsia"/>
              </w:rPr>
              <w:t>市场价格波动、采购延误</w:t>
            </w:r>
          </w:p>
        </w:tc>
        <w:tc>
          <w:tcPr>
            <w:tcW w:w="2126" w:type="dxa"/>
            <w:shd w:val="clear" w:color="auto" w:fill="auto"/>
            <w:vAlign w:val="center"/>
          </w:tcPr>
          <w:p w14:paraId="180ABC34">
            <w:pPr>
              <w:pStyle w:val="178"/>
            </w:pPr>
            <w:r>
              <w:rPr>
                <w:rFonts w:hint="eastAsia"/>
              </w:rPr>
              <w:t>成本偏差</w:t>
            </w:r>
          </w:p>
        </w:tc>
        <w:tc>
          <w:tcPr>
            <w:tcW w:w="1276" w:type="dxa"/>
            <w:shd w:val="clear" w:color="auto" w:fill="auto"/>
            <w:vAlign w:val="center"/>
          </w:tcPr>
          <w:p w14:paraId="6EE2D740">
            <w:pPr>
              <w:pStyle w:val="178"/>
            </w:pPr>
            <w:r>
              <w:rPr>
                <w:rFonts w:hint="eastAsia"/>
              </w:rPr>
              <w:t>数据分析</w:t>
            </w:r>
          </w:p>
        </w:tc>
        <w:tc>
          <w:tcPr>
            <w:tcW w:w="1122" w:type="dxa"/>
            <w:shd w:val="clear" w:color="auto" w:fill="auto"/>
            <w:vAlign w:val="center"/>
          </w:tcPr>
          <w:p w14:paraId="0F68B394">
            <w:pPr>
              <w:pStyle w:val="178"/>
            </w:pPr>
            <w:r>
              <w:rPr>
                <w:rFonts w:hint="eastAsia"/>
              </w:rPr>
              <w:t>中</w:t>
            </w:r>
          </w:p>
        </w:tc>
      </w:tr>
      <w:tr w14:paraId="4DCAA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197A420E">
            <w:pPr>
              <w:pStyle w:val="178"/>
            </w:pPr>
            <w:r>
              <w:rPr>
                <w:rFonts w:hint="eastAsia"/>
              </w:rPr>
              <w:t>5</w:t>
            </w:r>
          </w:p>
        </w:tc>
        <w:tc>
          <w:tcPr>
            <w:tcW w:w="1559" w:type="dxa"/>
            <w:shd w:val="clear" w:color="auto" w:fill="auto"/>
            <w:vAlign w:val="center"/>
          </w:tcPr>
          <w:p w14:paraId="0244DEB1">
            <w:pPr>
              <w:pStyle w:val="178"/>
            </w:pPr>
            <w:r>
              <w:rPr>
                <w:rFonts w:hint="eastAsia"/>
              </w:rPr>
              <w:t>结算与支付风险</w:t>
            </w:r>
          </w:p>
        </w:tc>
        <w:tc>
          <w:tcPr>
            <w:tcW w:w="2410" w:type="dxa"/>
            <w:shd w:val="clear" w:color="auto" w:fill="auto"/>
            <w:vAlign w:val="center"/>
          </w:tcPr>
          <w:p w14:paraId="271FEA58">
            <w:pPr>
              <w:pStyle w:val="178"/>
            </w:pPr>
            <w:r>
              <w:rPr>
                <w:rFonts w:hint="eastAsia"/>
              </w:rPr>
              <w:t>结算数据错误、审核不到位</w:t>
            </w:r>
          </w:p>
        </w:tc>
        <w:tc>
          <w:tcPr>
            <w:tcW w:w="2126" w:type="dxa"/>
            <w:shd w:val="clear" w:color="auto" w:fill="auto"/>
            <w:vAlign w:val="center"/>
          </w:tcPr>
          <w:p w14:paraId="0E6DF4BC">
            <w:pPr>
              <w:pStyle w:val="178"/>
            </w:pPr>
            <w:r>
              <w:rPr>
                <w:rFonts w:hint="eastAsia"/>
              </w:rPr>
              <w:t>审计结果失真</w:t>
            </w:r>
          </w:p>
        </w:tc>
        <w:tc>
          <w:tcPr>
            <w:tcW w:w="1276" w:type="dxa"/>
            <w:shd w:val="clear" w:color="auto" w:fill="auto"/>
            <w:vAlign w:val="center"/>
          </w:tcPr>
          <w:p w14:paraId="2B5294B5">
            <w:pPr>
              <w:pStyle w:val="178"/>
            </w:pPr>
            <w:r>
              <w:rPr>
                <w:rFonts w:hint="eastAsia"/>
              </w:rPr>
              <w:t>定量分析+复核</w:t>
            </w:r>
          </w:p>
        </w:tc>
        <w:tc>
          <w:tcPr>
            <w:tcW w:w="1122" w:type="dxa"/>
            <w:shd w:val="clear" w:color="auto" w:fill="auto"/>
            <w:vAlign w:val="center"/>
          </w:tcPr>
          <w:p w14:paraId="1A1FB760">
            <w:pPr>
              <w:pStyle w:val="178"/>
            </w:pPr>
            <w:r>
              <w:rPr>
                <w:rFonts w:hint="eastAsia"/>
              </w:rPr>
              <w:t>高</w:t>
            </w:r>
          </w:p>
        </w:tc>
      </w:tr>
      <w:tr w14:paraId="199FE7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734D4C4A">
            <w:pPr>
              <w:pStyle w:val="178"/>
            </w:pPr>
            <w:r>
              <w:rPr>
                <w:rFonts w:hint="eastAsia"/>
              </w:rPr>
              <w:t>6</w:t>
            </w:r>
          </w:p>
        </w:tc>
        <w:tc>
          <w:tcPr>
            <w:tcW w:w="1559" w:type="dxa"/>
            <w:shd w:val="clear" w:color="auto" w:fill="auto"/>
            <w:vAlign w:val="center"/>
          </w:tcPr>
          <w:p w14:paraId="7774AEBC">
            <w:pPr>
              <w:pStyle w:val="178"/>
            </w:pPr>
            <w:r>
              <w:rPr>
                <w:rFonts w:hint="eastAsia"/>
              </w:rPr>
              <w:t>信息管理风险</w:t>
            </w:r>
          </w:p>
        </w:tc>
        <w:tc>
          <w:tcPr>
            <w:tcW w:w="2410" w:type="dxa"/>
            <w:shd w:val="clear" w:color="auto" w:fill="auto"/>
            <w:vAlign w:val="center"/>
          </w:tcPr>
          <w:p w14:paraId="52606C3D">
            <w:pPr>
              <w:pStyle w:val="178"/>
            </w:pPr>
            <w:r>
              <w:rPr>
                <w:rFonts w:hint="eastAsia"/>
              </w:rPr>
              <w:t>造价数据缺失或不准确</w:t>
            </w:r>
          </w:p>
        </w:tc>
        <w:tc>
          <w:tcPr>
            <w:tcW w:w="2126" w:type="dxa"/>
            <w:shd w:val="clear" w:color="auto" w:fill="auto"/>
            <w:vAlign w:val="center"/>
          </w:tcPr>
          <w:p w14:paraId="5825496F">
            <w:pPr>
              <w:pStyle w:val="178"/>
            </w:pPr>
            <w:r>
              <w:rPr>
                <w:rFonts w:hint="eastAsia"/>
              </w:rPr>
              <w:t>审计不完整、风险遗漏</w:t>
            </w:r>
          </w:p>
        </w:tc>
        <w:tc>
          <w:tcPr>
            <w:tcW w:w="1276" w:type="dxa"/>
            <w:shd w:val="clear" w:color="auto" w:fill="auto"/>
            <w:vAlign w:val="center"/>
          </w:tcPr>
          <w:p w14:paraId="297F0908">
            <w:pPr>
              <w:pStyle w:val="178"/>
            </w:pPr>
            <w:r>
              <w:rPr>
                <w:rFonts w:hint="eastAsia"/>
              </w:rPr>
              <w:t>文档分析</w:t>
            </w:r>
          </w:p>
        </w:tc>
        <w:tc>
          <w:tcPr>
            <w:tcW w:w="1122" w:type="dxa"/>
            <w:shd w:val="clear" w:color="auto" w:fill="auto"/>
            <w:vAlign w:val="center"/>
          </w:tcPr>
          <w:p w14:paraId="098A4C5B">
            <w:pPr>
              <w:pStyle w:val="178"/>
            </w:pPr>
            <w:r>
              <w:rPr>
                <w:rFonts w:hint="eastAsia"/>
              </w:rPr>
              <w:t>中</w:t>
            </w:r>
          </w:p>
        </w:tc>
      </w:tr>
    </w:tbl>
    <w:p w14:paraId="7894524D">
      <w:pPr>
        <w:pStyle w:val="105"/>
        <w:spacing w:before="120" w:after="120" w:line="360" w:lineRule="auto"/>
      </w:pPr>
      <w:r>
        <w:rPr>
          <w:rFonts w:hint="eastAsia"/>
        </w:rPr>
        <w:t>重点风险识别与动态跟踪</w:t>
      </w:r>
    </w:p>
    <w:p w14:paraId="53CA3C2B">
      <w:pPr>
        <w:pStyle w:val="165"/>
        <w:spacing w:line="360" w:lineRule="auto"/>
      </w:pPr>
      <w:r>
        <w:rPr>
          <w:rFonts w:hint="eastAsia"/>
        </w:rPr>
        <w:t>对于高风险类别和重大事项，应在审计全过程中动态跟踪，包括设计变更、施工异常及合同纠纷等。</w:t>
      </w:r>
    </w:p>
    <w:p w14:paraId="6D265645">
      <w:pPr>
        <w:pStyle w:val="165"/>
        <w:spacing w:line="360" w:lineRule="auto"/>
      </w:pPr>
      <w:r>
        <w:rPr>
          <w:rFonts w:hint="eastAsia"/>
        </w:rPr>
        <w:t>审计人员应建立风险数据库，记录风险来源、评估结果及处理措施，并定期更新。通过动态跟踪，可以及时调整审计策略，提高风险应对的精准性和有效性。</w:t>
      </w:r>
    </w:p>
    <w:p w14:paraId="135B5218">
      <w:pPr>
        <w:pStyle w:val="105"/>
        <w:spacing w:before="120" w:after="120" w:line="360" w:lineRule="auto"/>
      </w:pPr>
      <w:r>
        <w:rPr>
          <w:rFonts w:hint="eastAsia"/>
        </w:rPr>
        <w:t>评估报告与决策支持</w:t>
      </w:r>
    </w:p>
    <w:p w14:paraId="7D53F979">
      <w:pPr>
        <w:pStyle w:val="165"/>
        <w:spacing w:line="360" w:lineRule="auto"/>
      </w:pPr>
      <w:r>
        <w:rPr>
          <w:rFonts w:hint="eastAsia"/>
        </w:rPr>
        <w:t>风险评估完成后，应形成规范化的评估报告，包括风险识别过程、评估方法、量化结果及风险等级。</w:t>
      </w:r>
    </w:p>
    <w:p w14:paraId="54D23C2B">
      <w:pPr>
        <w:pStyle w:val="165"/>
        <w:spacing w:line="360" w:lineRule="auto"/>
      </w:pPr>
      <w:r>
        <w:rPr>
          <w:rFonts w:hint="eastAsia"/>
        </w:rPr>
        <w:t>报告应为项目管理层和投资方提供决策依据，并指导审计应对措施的实施。</w:t>
      </w:r>
    </w:p>
    <w:p w14:paraId="1E68BBB2">
      <w:pPr>
        <w:pStyle w:val="165"/>
        <w:spacing w:line="360" w:lineRule="auto"/>
      </w:pPr>
      <w:r>
        <w:rPr>
          <w:rFonts w:hint="eastAsia"/>
        </w:rPr>
        <w:t>评估报告应确保数据完整、分析合理、结论明确，并可用于后续审计复核和经验总结。</w:t>
      </w:r>
    </w:p>
    <w:p w14:paraId="47FC36DB">
      <w:pPr>
        <w:pStyle w:val="104"/>
        <w:spacing w:before="240" w:after="240" w:line="360" w:lineRule="auto"/>
      </w:pPr>
      <w:r>
        <w:rPr>
          <w:rFonts w:hint="eastAsia"/>
        </w:rPr>
        <w:t>风险应对措施</w:t>
      </w:r>
    </w:p>
    <w:p w14:paraId="5EFBCF3C">
      <w:pPr>
        <w:pStyle w:val="105"/>
        <w:spacing w:before="120" w:after="120" w:line="360" w:lineRule="auto"/>
      </w:pPr>
      <w:r>
        <w:rPr>
          <w:rFonts w:hint="eastAsia"/>
        </w:rPr>
        <w:t>设计变更风险应对</w:t>
      </w:r>
    </w:p>
    <w:p w14:paraId="66CBEEA2">
      <w:pPr>
        <w:pStyle w:val="165"/>
        <w:spacing w:line="360" w:lineRule="auto"/>
      </w:pPr>
      <w:r>
        <w:rPr>
          <w:rFonts w:hint="eastAsia"/>
        </w:rPr>
        <w:t>对设计变更导致的造价偏差，应建立设计变更审批和记录制度，确保每项变更均有明确理由、批准流程及成本影响分析。</w:t>
      </w:r>
    </w:p>
    <w:p w14:paraId="7D4A284E">
      <w:pPr>
        <w:pStyle w:val="165"/>
        <w:spacing w:line="360" w:lineRule="auto"/>
      </w:pPr>
      <w:r>
        <w:rPr>
          <w:rFonts w:hint="eastAsia"/>
        </w:rPr>
        <w:t>在审计过程中，应核对变更文件与实际施工情况，评估变更对造价的影响，并在审计报告中注明。对高风险项目，可采用敏感性分析和成本模拟方法，提前预测设计变更可能带来的造价波动。</w:t>
      </w:r>
    </w:p>
    <w:p w14:paraId="125A0AB6">
      <w:pPr>
        <w:pStyle w:val="105"/>
        <w:spacing w:before="120" w:after="120" w:line="360" w:lineRule="auto"/>
      </w:pPr>
      <w:r>
        <w:rPr>
          <w:rFonts w:hint="eastAsia"/>
        </w:rPr>
        <w:t>施工过程风险应对</w:t>
      </w:r>
    </w:p>
    <w:p w14:paraId="195ACE76">
      <w:pPr>
        <w:pStyle w:val="165"/>
        <w:spacing w:line="360" w:lineRule="auto"/>
      </w:pPr>
      <w:r>
        <w:rPr>
          <w:rFonts w:hint="eastAsia"/>
        </w:rPr>
        <w:t>针对施工过程中出现的工程质量问题、施工方法不当或材料浪费风险，应建立施工监控和巡检机制。</w:t>
      </w:r>
    </w:p>
    <w:p w14:paraId="14797726">
      <w:pPr>
        <w:pStyle w:val="165"/>
        <w:spacing w:line="360" w:lineRule="auto"/>
      </w:pPr>
      <w:r>
        <w:rPr>
          <w:rFonts w:hint="eastAsia"/>
        </w:rPr>
        <w:t>审计人员应结合现场检查、施工日志及监控数据，对重点环节进行重点核查。</w:t>
      </w:r>
    </w:p>
    <w:p w14:paraId="235998D3">
      <w:pPr>
        <w:pStyle w:val="165"/>
        <w:spacing w:line="360" w:lineRule="auto"/>
      </w:pPr>
      <w:r>
        <w:rPr>
          <w:rFonts w:hint="eastAsia"/>
        </w:rPr>
        <w:t>对于发现的异常，应立即记录并通知施工单位进行整改，并对整改过程进行复核，确保风险得到有效控制。</w:t>
      </w:r>
    </w:p>
    <w:p w14:paraId="5D49A143">
      <w:pPr>
        <w:pStyle w:val="105"/>
        <w:spacing w:before="120" w:after="120" w:line="360" w:lineRule="auto"/>
      </w:pPr>
      <w:r>
        <w:rPr>
          <w:rFonts w:hint="eastAsia"/>
        </w:rPr>
        <w:t>合同与法律风险应对</w:t>
      </w:r>
    </w:p>
    <w:p w14:paraId="748C7160">
      <w:pPr>
        <w:pStyle w:val="165"/>
        <w:spacing w:line="360" w:lineRule="auto"/>
      </w:pPr>
      <w:r>
        <w:rPr>
          <w:rFonts w:hint="eastAsia"/>
        </w:rPr>
        <w:t>合同条款不规范或索赔纠纷可能导致审计结论偏差，应在审计前对合同文本进行详细审查，识别潜在风险条款。</w:t>
      </w:r>
    </w:p>
    <w:p w14:paraId="53CB9E5C">
      <w:pPr>
        <w:pStyle w:val="165"/>
        <w:spacing w:line="360" w:lineRule="auto"/>
      </w:pPr>
      <w:r>
        <w:rPr>
          <w:rFonts w:hint="eastAsia"/>
        </w:rPr>
        <w:t>审计过程中，应结合合同约定和施工实际情况，对索赔、变更及违约情况进行重点关注。</w:t>
      </w:r>
    </w:p>
    <w:p w14:paraId="6CBC6E10">
      <w:pPr>
        <w:pStyle w:val="165"/>
        <w:spacing w:line="360" w:lineRule="auto"/>
      </w:pPr>
      <w:r>
        <w:rPr>
          <w:rFonts w:hint="eastAsia"/>
        </w:rPr>
        <w:t>对高风险合同条款，应提出风险提示和应对建议，并在审计报告中明确处理意见。</w:t>
      </w:r>
    </w:p>
    <w:p w14:paraId="481CF556">
      <w:pPr>
        <w:pStyle w:val="105"/>
        <w:spacing w:before="120" w:after="120" w:line="360" w:lineRule="auto"/>
      </w:pPr>
      <w:r>
        <w:rPr>
          <w:rFonts w:hint="eastAsia"/>
        </w:rPr>
        <w:t>材料价格及采购风险应对</w:t>
      </w:r>
    </w:p>
    <w:p w14:paraId="1D3BE47A">
      <w:pPr>
        <w:pStyle w:val="165"/>
        <w:spacing w:line="360" w:lineRule="auto"/>
      </w:pPr>
      <w:r>
        <w:rPr>
          <w:rFonts w:hint="eastAsia"/>
        </w:rPr>
        <w:t>针对材料价格波动及采购延误的风险，应建立材料价格监控机制，定期收集市场价格信息，并与合同及采购记录比对。</w:t>
      </w:r>
    </w:p>
    <w:p w14:paraId="19FCB41E">
      <w:pPr>
        <w:pStyle w:val="165"/>
        <w:spacing w:line="360" w:lineRule="auto"/>
      </w:pPr>
      <w:r>
        <w:rPr>
          <w:rFonts w:hint="eastAsia"/>
        </w:rPr>
        <w:t>审计人员可通过趋势分析和成本预测方法，评估材料价格变化对工程造价的潜在影响，并提出应对方案，如成本调整或风险储备。</w:t>
      </w:r>
    </w:p>
    <w:p w14:paraId="45B148E7">
      <w:pPr>
        <w:pStyle w:val="105"/>
        <w:spacing w:before="120" w:after="120" w:line="360" w:lineRule="auto"/>
      </w:pPr>
      <w:r>
        <w:rPr>
          <w:rFonts w:hint="eastAsia"/>
        </w:rPr>
        <w:t>结算与支付风险应对</w:t>
      </w:r>
    </w:p>
    <w:p w14:paraId="2658058F">
      <w:pPr>
        <w:pStyle w:val="165"/>
        <w:spacing w:line="360" w:lineRule="auto"/>
      </w:pPr>
      <w:r>
        <w:rPr>
          <w:rFonts w:hint="eastAsia"/>
        </w:rPr>
        <w:t>结算数据错误或支付审核不到位可能导致审计结果失真，应建立结算审核制度和双人复核机制。</w:t>
      </w:r>
    </w:p>
    <w:p w14:paraId="7CF40F17">
      <w:pPr>
        <w:pStyle w:val="165"/>
        <w:spacing w:line="360" w:lineRule="auto"/>
      </w:pPr>
      <w:r>
        <w:rPr>
          <w:rFonts w:hint="eastAsia"/>
        </w:rPr>
        <w:t>审计人员应对关键结算数据进行抽样验证，重点核查高价值合同、变更工程及支付流程。</w:t>
      </w:r>
    </w:p>
    <w:p w14:paraId="3D46AF0B">
      <w:pPr>
        <w:pStyle w:val="165"/>
        <w:spacing w:line="360" w:lineRule="auto"/>
      </w:pPr>
      <w:r>
        <w:rPr>
          <w:rFonts w:hint="eastAsia"/>
        </w:rPr>
        <w:t>对发现的问题，应要求及时更正，并形成复核记录和整改意见。</w:t>
      </w:r>
    </w:p>
    <w:p w14:paraId="721497E3">
      <w:pPr>
        <w:pStyle w:val="105"/>
        <w:spacing w:before="120" w:after="120" w:line="360" w:lineRule="auto"/>
      </w:pPr>
      <w:r>
        <w:rPr>
          <w:rFonts w:hint="eastAsia"/>
        </w:rPr>
        <w:t>信息管理风险应对</w:t>
      </w:r>
    </w:p>
    <w:p w14:paraId="719E5F59">
      <w:pPr>
        <w:pStyle w:val="165"/>
        <w:spacing w:line="360" w:lineRule="auto"/>
      </w:pPr>
      <w:r>
        <w:rPr>
          <w:rFonts w:hint="eastAsia"/>
        </w:rPr>
        <w:t>针对造价数据不完整、信息记录不准确的风险，应建立信息管理和数据审查制度。</w:t>
      </w:r>
    </w:p>
    <w:p w14:paraId="1B13D3C2">
      <w:pPr>
        <w:pStyle w:val="165"/>
        <w:spacing w:line="360" w:lineRule="auto"/>
      </w:pPr>
      <w:r>
        <w:rPr>
          <w:rFonts w:hint="eastAsia"/>
        </w:rPr>
        <w:t>审计人员应定期对工程造价数据库、施工日志及监控系统数据进行核对和校验，确保数据准确、完整，并对异常数据进行标注和分析。</w:t>
      </w:r>
    </w:p>
    <w:p w14:paraId="7E69A484">
      <w:pPr>
        <w:pStyle w:val="112"/>
        <w:spacing w:before="120" w:after="120" w:line="360" w:lineRule="auto"/>
      </w:pPr>
      <w:r>
        <w:rPr>
          <w:rFonts w:hint="eastAsia"/>
        </w:rPr>
        <w:t>风险类别与主要应对措施示例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3261"/>
        <w:gridCol w:w="2048"/>
        <w:gridCol w:w="2334"/>
      </w:tblGrid>
      <w:tr w14:paraId="16659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shd w:val="clear" w:color="auto" w:fill="auto"/>
          </w:tcPr>
          <w:p w14:paraId="4908ED2F">
            <w:pPr>
              <w:pStyle w:val="178"/>
              <w:spacing w:line="360" w:lineRule="auto"/>
            </w:pPr>
            <w:r>
              <w:rPr>
                <w:rFonts w:hint="eastAsia"/>
              </w:rPr>
              <w:t>风险类别</w:t>
            </w:r>
          </w:p>
        </w:tc>
        <w:tc>
          <w:tcPr>
            <w:tcW w:w="3261" w:type="dxa"/>
            <w:tcBorders>
              <w:top w:val="single" w:color="auto" w:sz="8" w:space="0"/>
              <w:bottom w:val="single" w:color="auto" w:sz="8" w:space="0"/>
            </w:tcBorders>
            <w:shd w:val="clear" w:color="auto" w:fill="auto"/>
          </w:tcPr>
          <w:p w14:paraId="767FFF09">
            <w:pPr>
              <w:pStyle w:val="178"/>
              <w:spacing w:line="360" w:lineRule="auto"/>
            </w:pPr>
            <w:r>
              <w:rPr>
                <w:rFonts w:hint="eastAsia"/>
              </w:rPr>
              <w:t>主要应对措施</w:t>
            </w:r>
          </w:p>
        </w:tc>
        <w:tc>
          <w:tcPr>
            <w:tcW w:w="2048" w:type="dxa"/>
            <w:tcBorders>
              <w:top w:val="single" w:color="auto" w:sz="8" w:space="0"/>
              <w:bottom w:val="single" w:color="auto" w:sz="8" w:space="0"/>
            </w:tcBorders>
            <w:shd w:val="clear" w:color="auto" w:fill="auto"/>
          </w:tcPr>
          <w:p w14:paraId="2767E9BE">
            <w:pPr>
              <w:pStyle w:val="178"/>
              <w:spacing w:line="360" w:lineRule="auto"/>
            </w:pPr>
            <w:r>
              <w:rPr>
                <w:rFonts w:hint="eastAsia"/>
              </w:rPr>
              <w:t>责任部门</w:t>
            </w:r>
          </w:p>
        </w:tc>
        <w:tc>
          <w:tcPr>
            <w:tcW w:w="2334" w:type="dxa"/>
            <w:tcBorders>
              <w:top w:val="single" w:color="auto" w:sz="8" w:space="0"/>
              <w:bottom w:val="single" w:color="auto" w:sz="8" w:space="0"/>
            </w:tcBorders>
            <w:shd w:val="clear" w:color="auto" w:fill="auto"/>
          </w:tcPr>
          <w:p w14:paraId="587EE009">
            <w:pPr>
              <w:pStyle w:val="178"/>
              <w:spacing w:line="360" w:lineRule="auto"/>
            </w:pPr>
            <w:r>
              <w:rPr>
                <w:rFonts w:hint="eastAsia"/>
              </w:rPr>
              <w:t>记录要求</w:t>
            </w:r>
          </w:p>
        </w:tc>
      </w:tr>
      <w:tr w14:paraId="77A71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shd w:val="clear" w:color="auto" w:fill="auto"/>
          </w:tcPr>
          <w:p w14:paraId="51EEC929">
            <w:pPr>
              <w:pStyle w:val="178"/>
              <w:spacing w:line="360" w:lineRule="auto"/>
            </w:pPr>
            <w:r>
              <w:rPr>
                <w:rFonts w:hint="eastAsia"/>
              </w:rPr>
              <w:t>设计变更风险</w:t>
            </w:r>
          </w:p>
        </w:tc>
        <w:tc>
          <w:tcPr>
            <w:tcW w:w="3261" w:type="dxa"/>
            <w:tcBorders>
              <w:top w:val="single" w:color="auto" w:sz="8" w:space="0"/>
            </w:tcBorders>
            <w:shd w:val="clear" w:color="auto" w:fill="auto"/>
          </w:tcPr>
          <w:p w14:paraId="50A81A70">
            <w:pPr>
              <w:pStyle w:val="178"/>
              <w:spacing w:line="360" w:lineRule="auto"/>
            </w:pPr>
            <w:r>
              <w:rPr>
                <w:rFonts w:hint="eastAsia"/>
              </w:rPr>
              <w:t>变更审批、成本影响分析、敏感性分析</w:t>
            </w:r>
          </w:p>
        </w:tc>
        <w:tc>
          <w:tcPr>
            <w:tcW w:w="2048" w:type="dxa"/>
            <w:tcBorders>
              <w:top w:val="single" w:color="auto" w:sz="8" w:space="0"/>
            </w:tcBorders>
            <w:shd w:val="clear" w:color="auto" w:fill="auto"/>
          </w:tcPr>
          <w:p w14:paraId="5C0B0DC8">
            <w:pPr>
              <w:pStyle w:val="178"/>
              <w:spacing w:line="360" w:lineRule="auto"/>
            </w:pPr>
            <w:r>
              <w:rPr>
                <w:rFonts w:hint="eastAsia"/>
              </w:rPr>
              <w:t>设计单位/审计单位</w:t>
            </w:r>
          </w:p>
        </w:tc>
        <w:tc>
          <w:tcPr>
            <w:tcW w:w="2334" w:type="dxa"/>
            <w:tcBorders>
              <w:top w:val="single" w:color="auto" w:sz="8" w:space="0"/>
            </w:tcBorders>
            <w:shd w:val="clear" w:color="auto" w:fill="auto"/>
          </w:tcPr>
          <w:p w14:paraId="2F1C9C5B">
            <w:pPr>
              <w:pStyle w:val="178"/>
              <w:spacing w:line="360" w:lineRule="auto"/>
            </w:pPr>
            <w:r>
              <w:rPr>
                <w:rFonts w:hint="eastAsia"/>
              </w:rPr>
              <w:t>变更记录、审计报告</w:t>
            </w:r>
          </w:p>
        </w:tc>
      </w:tr>
      <w:tr w14:paraId="57C45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14:paraId="60DEE7FC">
            <w:pPr>
              <w:pStyle w:val="178"/>
              <w:spacing w:line="360" w:lineRule="auto"/>
            </w:pPr>
            <w:r>
              <w:rPr>
                <w:rFonts w:hint="eastAsia"/>
              </w:rPr>
              <w:t>施工过程风险</w:t>
            </w:r>
          </w:p>
        </w:tc>
        <w:tc>
          <w:tcPr>
            <w:tcW w:w="3261" w:type="dxa"/>
            <w:shd w:val="clear" w:color="auto" w:fill="auto"/>
          </w:tcPr>
          <w:p w14:paraId="6276AADA">
            <w:pPr>
              <w:pStyle w:val="178"/>
              <w:spacing w:line="360" w:lineRule="auto"/>
            </w:pPr>
            <w:r>
              <w:rPr>
                <w:rFonts w:hint="eastAsia"/>
              </w:rPr>
              <w:t>现场巡检、施工日志核查、整改复核</w:t>
            </w:r>
          </w:p>
        </w:tc>
        <w:tc>
          <w:tcPr>
            <w:tcW w:w="2048" w:type="dxa"/>
            <w:shd w:val="clear" w:color="auto" w:fill="auto"/>
          </w:tcPr>
          <w:p w14:paraId="7D855425">
            <w:pPr>
              <w:pStyle w:val="178"/>
              <w:spacing w:line="360" w:lineRule="auto"/>
            </w:pPr>
            <w:r>
              <w:rPr>
                <w:rFonts w:hint="eastAsia"/>
              </w:rPr>
              <w:t>施工单位/审计单位</w:t>
            </w:r>
          </w:p>
        </w:tc>
        <w:tc>
          <w:tcPr>
            <w:tcW w:w="2334" w:type="dxa"/>
            <w:shd w:val="clear" w:color="auto" w:fill="auto"/>
          </w:tcPr>
          <w:p w14:paraId="7EF9FF4E">
            <w:pPr>
              <w:pStyle w:val="178"/>
              <w:spacing w:line="360" w:lineRule="auto"/>
            </w:pPr>
            <w:r>
              <w:rPr>
                <w:rFonts w:hint="eastAsia"/>
              </w:rPr>
              <w:t>巡检记录、整改记录</w:t>
            </w:r>
          </w:p>
        </w:tc>
      </w:tr>
      <w:tr w14:paraId="5B0BF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14:paraId="22DF5A35">
            <w:pPr>
              <w:pStyle w:val="178"/>
              <w:spacing w:line="360" w:lineRule="auto"/>
            </w:pPr>
            <w:r>
              <w:rPr>
                <w:rFonts w:hint="eastAsia"/>
              </w:rPr>
              <w:t>合同与法律风险</w:t>
            </w:r>
          </w:p>
        </w:tc>
        <w:tc>
          <w:tcPr>
            <w:tcW w:w="3261" w:type="dxa"/>
            <w:shd w:val="clear" w:color="auto" w:fill="auto"/>
          </w:tcPr>
          <w:p w14:paraId="6D946F61">
            <w:pPr>
              <w:pStyle w:val="178"/>
              <w:spacing w:line="360" w:lineRule="auto"/>
            </w:pPr>
            <w:r>
              <w:rPr>
                <w:rFonts w:hint="eastAsia"/>
              </w:rPr>
              <w:t>合同审查、条款风险提示、索赔处理</w:t>
            </w:r>
          </w:p>
        </w:tc>
        <w:tc>
          <w:tcPr>
            <w:tcW w:w="2048" w:type="dxa"/>
            <w:shd w:val="clear" w:color="auto" w:fill="auto"/>
          </w:tcPr>
          <w:p w14:paraId="7281CB0E">
            <w:pPr>
              <w:pStyle w:val="178"/>
              <w:spacing w:line="360" w:lineRule="auto"/>
            </w:pPr>
            <w:r>
              <w:rPr>
                <w:rFonts w:hint="eastAsia"/>
              </w:rPr>
              <w:t>审计单位/法务部门</w:t>
            </w:r>
          </w:p>
        </w:tc>
        <w:tc>
          <w:tcPr>
            <w:tcW w:w="2334" w:type="dxa"/>
            <w:shd w:val="clear" w:color="auto" w:fill="auto"/>
          </w:tcPr>
          <w:p w14:paraId="7857CACC">
            <w:pPr>
              <w:pStyle w:val="178"/>
              <w:spacing w:line="360" w:lineRule="auto"/>
            </w:pPr>
            <w:r>
              <w:rPr>
                <w:rFonts w:hint="eastAsia"/>
              </w:rPr>
              <w:t>审计报告、合同复核记录</w:t>
            </w:r>
          </w:p>
        </w:tc>
      </w:tr>
      <w:tr w14:paraId="439219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14:paraId="75326C99">
            <w:pPr>
              <w:pStyle w:val="178"/>
              <w:spacing w:line="360" w:lineRule="auto"/>
            </w:pPr>
            <w:r>
              <w:rPr>
                <w:rFonts w:hint="eastAsia"/>
              </w:rPr>
              <w:t>材料价格风险</w:t>
            </w:r>
          </w:p>
        </w:tc>
        <w:tc>
          <w:tcPr>
            <w:tcW w:w="3261" w:type="dxa"/>
            <w:shd w:val="clear" w:color="auto" w:fill="auto"/>
          </w:tcPr>
          <w:p w14:paraId="2A7D2A4F">
            <w:pPr>
              <w:pStyle w:val="178"/>
              <w:spacing w:line="360" w:lineRule="auto"/>
            </w:pPr>
            <w:r>
              <w:rPr>
                <w:rFonts w:hint="eastAsia"/>
              </w:rPr>
              <w:t>材料价格监控、成本预测、储备计划</w:t>
            </w:r>
          </w:p>
        </w:tc>
        <w:tc>
          <w:tcPr>
            <w:tcW w:w="2048" w:type="dxa"/>
            <w:shd w:val="clear" w:color="auto" w:fill="auto"/>
          </w:tcPr>
          <w:p w14:paraId="1ECCF4F0">
            <w:pPr>
              <w:pStyle w:val="178"/>
              <w:spacing w:line="360" w:lineRule="auto"/>
            </w:pPr>
            <w:r>
              <w:rPr>
                <w:rFonts w:hint="eastAsia"/>
              </w:rPr>
              <w:t>采购单位/审计单位</w:t>
            </w:r>
          </w:p>
        </w:tc>
        <w:tc>
          <w:tcPr>
            <w:tcW w:w="2334" w:type="dxa"/>
            <w:shd w:val="clear" w:color="auto" w:fill="auto"/>
          </w:tcPr>
          <w:p w14:paraId="37DD65AB">
            <w:pPr>
              <w:pStyle w:val="178"/>
              <w:spacing w:line="360" w:lineRule="auto"/>
            </w:pPr>
            <w:r>
              <w:rPr>
                <w:rFonts w:hint="eastAsia"/>
              </w:rPr>
              <w:t>材料价格记录、审计记录</w:t>
            </w:r>
          </w:p>
        </w:tc>
      </w:tr>
      <w:tr w14:paraId="608E4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91" w:type="dxa"/>
            <w:shd w:val="clear" w:color="auto" w:fill="auto"/>
          </w:tcPr>
          <w:p w14:paraId="56F1CEC8">
            <w:pPr>
              <w:pStyle w:val="178"/>
              <w:spacing w:line="360" w:lineRule="auto"/>
            </w:pPr>
            <w:r>
              <w:rPr>
                <w:rFonts w:hint="eastAsia"/>
              </w:rPr>
              <w:t>结算与支付风险</w:t>
            </w:r>
          </w:p>
        </w:tc>
        <w:tc>
          <w:tcPr>
            <w:tcW w:w="3261" w:type="dxa"/>
            <w:shd w:val="clear" w:color="auto" w:fill="auto"/>
          </w:tcPr>
          <w:p w14:paraId="1596C32C">
            <w:pPr>
              <w:pStyle w:val="178"/>
              <w:spacing w:line="360" w:lineRule="auto"/>
            </w:pPr>
            <w:r>
              <w:rPr>
                <w:rFonts w:hint="eastAsia"/>
              </w:rPr>
              <w:t>结算审核、双人复核、关键数据抽样验证</w:t>
            </w:r>
          </w:p>
        </w:tc>
        <w:tc>
          <w:tcPr>
            <w:tcW w:w="2048" w:type="dxa"/>
            <w:shd w:val="clear" w:color="auto" w:fill="auto"/>
          </w:tcPr>
          <w:p w14:paraId="53CA33C5">
            <w:pPr>
              <w:pStyle w:val="178"/>
              <w:spacing w:line="360" w:lineRule="auto"/>
            </w:pPr>
            <w:r>
              <w:rPr>
                <w:rFonts w:hint="eastAsia"/>
              </w:rPr>
              <w:t>财务部门/审计单位</w:t>
            </w:r>
          </w:p>
        </w:tc>
        <w:tc>
          <w:tcPr>
            <w:tcW w:w="2334" w:type="dxa"/>
            <w:shd w:val="clear" w:color="auto" w:fill="auto"/>
          </w:tcPr>
          <w:p w14:paraId="0F30DCAB">
            <w:pPr>
              <w:pStyle w:val="178"/>
              <w:spacing w:line="360" w:lineRule="auto"/>
            </w:pPr>
            <w:r>
              <w:rPr>
                <w:rFonts w:hint="eastAsia"/>
              </w:rPr>
              <w:t>结算复核记录</w:t>
            </w:r>
          </w:p>
        </w:tc>
      </w:tr>
      <w:tr w14:paraId="764F54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tcPr>
          <w:p w14:paraId="4D2A76BE">
            <w:pPr>
              <w:pStyle w:val="178"/>
              <w:spacing w:line="360" w:lineRule="auto"/>
            </w:pPr>
            <w:r>
              <w:rPr>
                <w:rFonts w:hint="eastAsia"/>
              </w:rPr>
              <w:t>信息管理风险</w:t>
            </w:r>
          </w:p>
        </w:tc>
        <w:tc>
          <w:tcPr>
            <w:tcW w:w="3261" w:type="dxa"/>
            <w:shd w:val="clear" w:color="auto" w:fill="auto"/>
          </w:tcPr>
          <w:p w14:paraId="711A4145">
            <w:pPr>
              <w:pStyle w:val="178"/>
              <w:spacing w:line="360" w:lineRule="auto"/>
            </w:pPr>
            <w:r>
              <w:rPr>
                <w:rFonts w:hint="eastAsia"/>
              </w:rPr>
              <w:t>数据核对、数据库校验、异常数据标注</w:t>
            </w:r>
          </w:p>
        </w:tc>
        <w:tc>
          <w:tcPr>
            <w:tcW w:w="2048" w:type="dxa"/>
            <w:shd w:val="clear" w:color="auto" w:fill="auto"/>
          </w:tcPr>
          <w:p w14:paraId="1746E3A3">
            <w:pPr>
              <w:pStyle w:val="178"/>
              <w:spacing w:line="360" w:lineRule="auto"/>
            </w:pPr>
            <w:r>
              <w:rPr>
                <w:rFonts w:hint="eastAsia"/>
              </w:rPr>
              <w:t>信息管理部门/审计单位</w:t>
            </w:r>
          </w:p>
        </w:tc>
        <w:tc>
          <w:tcPr>
            <w:tcW w:w="2334" w:type="dxa"/>
            <w:shd w:val="clear" w:color="auto" w:fill="auto"/>
          </w:tcPr>
          <w:p w14:paraId="1597A987">
            <w:pPr>
              <w:pStyle w:val="178"/>
              <w:spacing w:line="360" w:lineRule="auto"/>
            </w:pPr>
            <w:r>
              <w:rPr>
                <w:rFonts w:hint="eastAsia"/>
              </w:rPr>
              <w:t>数据记录、分析报告</w:t>
            </w:r>
          </w:p>
        </w:tc>
      </w:tr>
    </w:tbl>
    <w:p w14:paraId="6FB6CCA4">
      <w:pPr>
        <w:pStyle w:val="105"/>
        <w:spacing w:before="120" w:after="120" w:line="360" w:lineRule="auto"/>
      </w:pPr>
      <w:r>
        <w:rPr>
          <w:rFonts w:hint="eastAsia"/>
        </w:rPr>
        <w:t>动态监控与持续改进</w:t>
      </w:r>
    </w:p>
    <w:p w14:paraId="6D0D1994">
      <w:pPr>
        <w:pStyle w:val="165"/>
        <w:spacing w:line="360" w:lineRule="auto"/>
      </w:pPr>
      <w:r>
        <w:rPr>
          <w:rFonts w:hint="eastAsia"/>
        </w:rPr>
        <w:t>风险应对措施应建立动态监控机制，随项目进展不断更新和优化。</w:t>
      </w:r>
    </w:p>
    <w:p w14:paraId="435C3273">
      <w:pPr>
        <w:pStyle w:val="165"/>
        <w:spacing w:line="360" w:lineRule="auto"/>
      </w:pPr>
      <w:r>
        <w:rPr>
          <w:rFonts w:hint="eastAsia"/>
        </w:rPr>
        <w:t>审计人员应定期回顾风险识别和应对效果，针对发现的新问题调整操作流程和管理措施。通过持续改进，提高审计风险控制能力，保障审计结论的可靠性和工程造价管理的科学性。</w:t>
      </w:r>
    </w:p>
    <w:p w14:paraId="7C9868B8">
      <w:pPr>
        <w:pStyle w:val="104"/>
        <w:spacing w:before="240" w:after="240" w:line="360" w:lineRule="auto"/>
      </w:pPr>
      <w:r>
        <w:rPr>
          <w:rFonts w:hint="eastAsia"/>
        </w:rPr>
        <w:t>质量控制</w:t>
      </w:r>
    </w:p>
    <w:p w14:paraId="3745C65C">
      <w:pPr>
        <w:pStyle w:val="105"/>
        <w:spacing w:before="120" w:after="120" w:line="360" w:lineRule="auto"/>
      </w:pPr>
      <w:r>
        <w:rPr>
          <w:rFonts w:hint="eastAsia"/>
        </w:rPr>
        <w:t>审计计划与任务分解</w:t>
      </w:r>
    </w:p>
    <w:p w14:paraId="169DF802">
      <w:pPr>
        <w:pStyle w:val="165"/>
        <w:spacing w:line="360" w:lineRule="auto"/>
      </w:pPr>
      <w:r>
        <w:rPr>
          <w:rFonts w:hint="eastAsia"/>
        </w:rPr>
        <w:t>在审计开始前，应根据项目规模、复杂程度及风险等级制定详细的审计计划。计划应明确审计目标、范围、重点环节、时间安排及各环节责任人。</w:t>
      </w:r>
    </w:p>
    <w:p w14:paraId="0AD78A4C">
      <w:pPr>
        <w:pStyle w:val="165"/>
        <w:spacing w:line="360" w:lineRule="auto"/>
      </w:pPr>
      <w:r>
        <w:rPr>
          <w:rFonts w:hint="eastAsia"/>
        </w:rPr>
        <w:t>对于高风险项目，应设置重点检查点，对关键数据和环节进行专项审计。</w:t>
      </w:r>
    </w:p>
    <w:p w14:paraId="1FBC99A6">
      <w:pPr>
        <w:pStyle w:val="105"/>
        <w:spacing w:before="120" w:after="120" w:line="360" w:lineRule="auto"/>
      </w:pPr>
      <w:r>
        <w:rPr>
          <w:rFonts w:hint="eastAsia"/>
        </w:rPr>
        <w:t>过程监控</w:t>
      </w:r>
    </w:p>
    <w:p w14:paraId="452953D0">
      <w:pPr>
        <w:pStyle w:val="165"/>
        <w:spacing w:line="360" w:lineRule="auto"/>
      </w:pPr>
      <w:r>
        <w:rPr>
          <w:rFonts w:hint="eastAsia"/>
        </w:rPr>
        <w:t>审计人员应在整个审计过程中持续监控关键环节，包括预算审核、合同审查、施工进度、材料采购及结算支付等。</w:t>
      </w:r>
    </w:p>
    <w:p w14:paraId="14503B25">
      <w:pPr>
        <w:pStyle w:val="165"/>
        <w:spacing w:line="360" w:lineRule="auto"/>
      </w:pPr>
      <w:r>
        <w:rPr>
          <w:rFonts w:hint="eastAsia"/>
        </w:rPr>
        <w:t>监控内容包括数据完整性、操作合规性、异常处理情况及风险应对效果。</w:t>
      </w:r>
    </w:p>
    <w:p w14:paraId="215F470E">
      <w:pPr>
        <w:pStyle w:val="165"/>
        <w:spacing w:line="360" w:lineRule="auto"/>
      </w:pPr>
      <w:r>
        <w:rPr>
          <w:rFonts w:hint="eastAsia"/>
        </w:rPr>
        <w:t>对发现的异常，应立即采取记录和处理措施，确保审计过程符合规范要求。</w:t>
      </w:r>
    </w:p>
    <w:p w14:paraId="26FE55BC">
      <w:pPr>
        <w:pStyle w:val="105"/>
        <w:spacing w:before="120" w:after="120" w:line="360" w:lineRule="auto"/>
      </w:pPr>
      <w:r>
        <w:rPr>
          <w:rFonts w:hint="eastAsia"/>
        </w:rPr>
        <w:t>质量控制措施</w:t>
      </w:r>
    </w:p>
    <w:p w14:paraId="7AAD2772">
      <w:pPr>
        <w:pStyle w:val="165"/>
        <w:spacing w:line="360" w:lineRule="auto"/>
      </w:pPr>
      <w:r>
        <w:rPr>
          <w:rFonts w:hint="eastAsia"/>
        </w:rPr>
        <w:t>审计过程应建立双人复核、分级审批和抽样验证机制。对于重大事项和高价值合同，应进行多级复核，并在审计报告中明确审计结论及风险说明。</w:t>
      </w:r>
    </w:p>
    <w:p w14:paraId="062BD96E">
      <w:pPr>
        <w:pStyle w:val="165"/>
        <w:spacing w:line="360" w:lineRule="auto"/>
      </w:pPr>
      <w:r>
        <w:rPr>
          <w:rFonts w:hint="eastAsia"/>
        </w:rPr>
        <w:t>质量控制还包括审计证据的收集、审核、归档和数据校验，确保数据真实、准确、可靠。</w:t>
      </w:r>
    </w:p>
    <w:p w14:paraId="65B92C5C">
      <w:pPr>
        <w:pStyle w:val="105"/>
        <w:spacing w:before="120" w:after="120" w:line="360" w:lineRule="auto"/>
      </w:pPr>
      <w:r>
        <w:rPr>
          <w:rFonts w:hint="eastAsia"/>
        </w:rPr>
        <w:t>审计复核与改进</w:t>
      </w:r>
    </w:p>
    <w:p w14:paraId="77EC6A3B">
      <w:pPr>
        <w:pStyle w:val="165"/>
        <w:spacing w:line="360" w:lineRule="auto"/>
      </w:pPr>
      <w:r>
        <w:rPr>
          <w:rFonts w:hint="eastAsia"/>
        </w:rPr>
        <w:t>审计完成后，应组织复核组对审计工作和风险应对措施进行检查，发现问题及时整改。</w:t>
      </w:r>
    </w:p>
    <w:p w14:paraId="265E07FF">
      <w:pPr>
        <w:pStyle w:val="165"/>
        <w:spacing w:line="360" w:lineRule="auto"/>
      </w:pPr>
      <w:r>
        <w:rPr>
          <w:rFonts w:hint="eastAsia"/>
        </w:rPr>
        <w:t>复核结果应形成书面报告，并提出改进建议，为后续审计工作提供经验支持，实现审计质量的持续提升。</w:t>
      </w:r>
    </w:p>
    <w:p w14:paraId="2EF05250">
      <w:pPr>
        <w:pStyle w:val="104"/>
        <w:spacing w:before="240" w:after="240" w:line="360" w:lineRule="auto"/>
      </w:pPr>
      <w:r>
        <w:rPr>
          <w:rFonts w:hint="eastAsia"/>
        </w:rPr>
        <w:t>数据记录与信息管理</w:t>
      </w:r>
    </w:p>
    <w:p w14:paraId="642CFEF8">
      <w:pPr>
        <w:pStyle w:val="105"/>
        <w:spacing w:before="120" w:after="120" w:line="360" w:lineRule="auto"/>
      </w:pPr>
      <w:r>
        <w:rPr>
          <w:rFonts w:hint="eastAsia"/>
        </w:rPr>
        <w:t>数据记录要求</w:t>
      </w:r>
    </w:p>
    <w:p w14:paraId="79D9E688">
      <w:pPr>
        <w:pStyle w:val="165"/>
        <w:spacing w:line="360" w:lineRule="auto"/>
      </w:pPr>
      <w:r>
        <w:rPr>
          <w:rFonts w:hint="eastAsia"/>
        </w:rPr>
        <w:t>审计过程中，应对所有识别的风险、评估结果、处理措施、监控数据及审计结论进行详细记录。</w:t>
      </w:r>
    </w:p>
    <w:p w14:paraId="2D3E4A89">
      <w:pPr>
        <w:pStyle w:val="165"/>
        <w:spacing w:line="360" w:lineRule="auto"/>
      </w:pPr>
      <w:r>
        <w:rPr>
          <w:rFonts w:hint="eastAsia"/>
        </w:rPr>
        <w:t>记录内容应包括时间、责任人、操作过程、数据来源及处理结果，确保完整可追溯。</w:t>
      </w:r>
    </w:p>
    <w:p w14:paraId="1ED65BA7">
      <w:pPr>
        <w:pStyle w:val="105"/>
        <w:spacing w:before="120" w:after="120" w:line="360" w:lineRule="auto"/>
      </w:pPr>
      <w:r>
        <w:rPr>
          <w:rFonts w:hint="eastAsia"/>
        </w:rPr>
        <w:t>信息管理系统</w:t>
      </w:r>
    </w:p>
    <w:p w14:paraId="5B8AAA5E">
      <w:pPr>
        <w:pStyle w:val="165"/>
        <w:spacing w:line="360" w:lineRule="auto"/>
      </w:pPr>
      <w:r>
        <w:rPr>
          <w:rFonts w:hint="eastAsia"/>
        </w:rPr>
        <w:t>审计单位应建立信息管理系统，对数据进行电子化管理，包括预算数据、合同文件、施工记录及监控数据等。</w:t>
      </w:r>
    </w:p>
    <w:p w14:paraId="2086E6E4">
      <w:pPr>
        <w:pStyle w:val="165"/>
        <w:spacing w:line="360" w:lineRule="auto"/>
      </w:pPr>
      <w:r>
        <w:rPr>
          <w:rFonts w:hint="eastAsia"/>
        </w:rPr>
        <w:t>信息系统应具备权限管理、数据备份、数据校验和日志记录功能，保证数据安全、完整和可查询。</w:t>
      </w:r>
    </w:p>
    <w:p w14:paraId="30F60285">
      <w:pPr>
        <w:pStyle w:val="105"/>
        <w:spacing w:before="120" w:after="120" w:line="360" w:lineRule="auto"/>
      </w:pPr>
      <w:r>
        <w:rPr>
          <w:rFonts w:hint="eastAsia"/>
        </w:rPr>
        <w:t>数据分析与应用</w:t>
      </w:r>
    </w:p>
    <w:p w14:paraId="31595CF5">
      <w:pPr>
        <w:pStyle w:val="165"/>
        <w:spacing w:line="360" w:lineRule="auto"/>
      </w:pPr>
      <w:r>
        <w:rPr>
          <w:rFonts w:hint="eastAsia"/>
        </w:rPr>
        <w:t>通过对审计数据的分析，可以发现潜在风险点、评估应对措施效果、优化审计策略。</w:t>
      </w:r>
    </w:p>
    <w:p w14:paraId="68CB71F8">
      <w:pPr>
        <w:pStyle w:val="165"/>
        <w:spacing w:line="360" w:lineRule="auto"/>
      </w:pPr>
      <w:r>
        <w:rPr>
          <w:rFonts w:hint="eastAsia"/>
        </w:rPr>
        <w:t>数据分析结果应在审计报告中明确体现，为投资决策和项目管理提供依据。</w:t>
      </w:r>
    </w:p>
    <w:p w14:paraId="3523EDE6">
      <w:pPr>
        <w:pStyle w:val="105"/>
        <w:spacing w:before="120" w:after="120" w:line="360" w:lineRule="auto"/>
      </w:pPr>
      <w:r>
        <w:rPr>
          <w:rFonts w:hint="eastAsia"/>
        </w:rPr>
        <w:t>保密与安全管理</w:t>
      </w:r>
    </w:p>
    <w:p w14:paraId="2292C045">
      <w:pPr>
        <w:pStyle w:val="165"/>
        <w:spacing w:line="360" w:lineRule="auto"/>
      </w:pPr>
      <w:r>
        <w:rPr>
          <w:rFonts w:hint="eastAsia"/>
        </w:rPr>
        <w:t>审计数据涉及企业商业信息、合同条款及财务信息，必须严格遵守保密制度和安全管理要求。</w:t>
      </w:r>
    </w:p>
    <w:p w14:paraId="37775003">
      <w:pPr>
        <w:pStyle w:val="165"/>
        <w:spacing w:line="360" w:lineRule="auto"/>
      </w:pPr>
      <w:r>
        <w:rPr>
          <w:rFonts w:hint="eastAsia"/>
        </w:rPr>
        <w:t>未经授权不得外泄或篡改数据。信息系统应定期进行安全检查和风险评估，确保数据安全和系统稳定。</w:t>
      </w:r>
    </w:p>
    <w:bookmarkEnd w:id="23"/>
    <w:p w14:paraId="1EB480D9">
      <w:pPr>
        <w:pStyle w:val="165"/>
        <w:spacing w:line="360" w:lineRule="auto"/>
        <w:sectPr>
          <w:pgSz w:w="11906" w:h="16838"/>
          <w:pgMar w:top="1928" w:right="1134" w:bottom="1134" w:left="1134" w:header="1418" w:footer="1134" w:gutter="284"/>
          <w:pgNumType w:start="1"/>
          <w:cols w:space="425" w:num="1"/>
          <w:formProt w:val="0"/>
          <w:docGrid w:linePitch="312" w:charSpace="0"/>
        </w:sectPr>
      </w:pPr>
      <w:bookmarkStart w:id="45" w:name="BookMark6"/>
    </w:p>
    <w:p w14:paraId="06711367">
      <w:pPr>
        <w:pStyle w:val="63"/>
        <w:spacing w:after="120" w:line="360" w:lineRule="auto"/>
      </w:pPr>
      <w:r>
        <w:rPr>
          <w:rFonts w:hint="eastAsia"/>
          <w:spacing w:val="105"/>
        </w:rPr>
        <w:t>参考文</w:t>
      </w:r>
      <w:r>
        <w:rPr>
          <w:rFonts w:hint="eastAsia"/>
        </w:rPr>
        <w:t>献</w:t>
      </w:r>
    </w:p>
    <w:p w14:paraId="0927CFFA">
      <w:pPr>
        <w:pStyle w:val="56"/>
        <w:spacing w:line="360" w:lineRule="auto"/>
        <w:ind w:firstLine="420"/>
      </w:pPr>
      <w:r>
        <w:rPr>
          <w:rFonts w:hint="eastAsia"/>
        </w:rPr>
        <w:t>[</w:t>
      </w:r>
      <w:r>
        <w:t>1] GB/T 50875</w:t>
      </w:r>
      <w:r>
        <w:rPr>
          <w:rFonts w:hint="eastAsia"/>
        </w:rPr>
        <w:t>—</w:t>
      </w:r>
      <w:r>
        <w:t xml:space="preserve">2013  </w:t>
      </w:r>
      <w:r>
        <w:rPr>
          <w:rFonts w:hint="eastAsia"/>
        </w:rPr>
        <w:t>工程造价术语标准(附条文说明)</w:t>
      </w:r>
    </w:p>
    <w:p w14:paraId="62F8DE5B">
      <w:pPr>
        <w:pStyle w:val="56"/>
        <w:spacing w:line="360" w:lineRule="auto"/>
        <w:ind w:firstLine="420"/>
      </w:pPr>
      <w:r>
        <w:rPr>
          <w:rFonts w:hint="eastAsia"/>
        </w:rPr>
        <w:t>[</w:t>
      </w:r>
      <w:r>
        <w:t>2] DB21/T 3757</w:t>
      </w:r>
      <w:r>
        <w:rPr>
          <w:rFonts w:hint="eastAsia"/>
        </w:rPr>
        <w:t>—</w:t>
      </w:r>
      <w:r>
        <w:t xml:space="preserve">2023  </w:t>
      </w:r>
      <w:r>
        <w:rPr>
          <w:rFonts w:hint="eastAsia"/>
        </w:rPr>
        <w:t xml:space="preserve">应用系统工程 </w:t>
      </w:r>
      <w:r>
        <w:t xml:space="preserve"> </w:t>
      </w:r>
      <w:r>
        <w:rPr>
          <w:rFonts w:hint="eastAsia"/>
        </w:rPr>
        <w:t>工程造价咨询规范</w:t>
      </w:r>
    </w:p>
    <w:p w14:paraId="1230A563">
      <w:pPr>
        <w:pStyle w:val="56"/>
        <w:spacing w:line="360" w:lineRule="auto"/>
        <w:ind w:firstLine="420"/>
      </w:pPr>
      <w:r>
        <w:t>[3] DB37/T 5130</w:t>
      </w:r>
      <w:r>
        <w:rPr>
          <w:rFonts w:hint="eastAsia"/>
        </w:rPr>
        <w:t>—</w:t>
      </w:r>
      <w:r>
        <w:t xml:space="preserve">2018  </w:t>
      </w:r>
      <w:r>
        <w:rPr>
          <w:rFonts w:hint="eastAsia"/>
        </w:rPr>
        <w:t>建设工程造价咨询服务规范</w:t>
      </w:r>
    </w:p>
    <w:bookmarkEnd w:id="45"/>
    <w:p w14:paraId="6D7CE2F3">
      <w:pPr>
        <w:pStyle w:val="56"/>
        <w:ind w:firstLine="0" w:firstLineChars="0"/>
        <w:jc w:val="center"/>
      </w:pPr>
      <w:bookmarkStart w:id="46" w:name="BookMark8"/>
      <w:r>
        <w:rPr>
          <w:rFonts w:hint="eastAsia"/>
        </w:rPr>
        <w:drawing>
          <wp:inline distT="0" distB="0" distL="0" distR="0">
            <wp:extent cx="1485900" cy="317500"/>
            <wp:effectExtent l="0" t="0" r="0" b="6350"/>
            <wp:docPr id="562462954" name="图片 1"/>
            <wp:cNvGraphicFramePr/>
            <a:graphic xmlns:a="http://schemas.openxmlformats.org/drawingml/2006/main">
              <a:graphicData uri="http://schemas.openxmlformats.org/drawingml/2006/picture">
                <pic:pic xmlns:pic="http://schemas.openxmlformats.org/drawingml/2006/picture">
                  <pic:nvPicPr>
                    <pic:cNvPr id="562462954"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bookmarkStart w:id="47" w:name="_GoBack"/>
      <w:bookmarkEnd w:id="47"/>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0090—2025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18"/>
      <w:jc w:val="right"/>
    </w:pPr>
    <w:r>
      <w:pict>
        <v:shape id="PowerPlusWaterMarkObject59875285" o:spid="_x0000_s1030" o:spt="136" type="#_x0000_t136" style="position:absolute;left:0pt;height:59.9pt;width:599.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0090—2025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qQUAkGwkBi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2C7"/>
    <w:rsid w:val="000D0A9C"/>
    <w:rsid w:val="000D1182"/>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1416"/>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D7C17"/>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5BB"/>
    <w:rsid w:val="00432DAA"/>
    <w:rsid w:val="00434305"/>
    <w:rsid w:val="00435258"/>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16B6"/>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3D6"/>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5FD"/>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765"/>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86134D"/>
    <w:rsid w:val="3FA87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0FE11B78">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6E5B0EC0">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716A2870">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790EA1"/>
    <w:rsid w:val="008640FC"/>
    <w:rsid w:val="008A4D07"/>
    <w:rsid w:val="009B6447"/>
    <w:rsid w:val="00B6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7"/>
    <customShpInfo spid="_x0000_s1030"/>
    <customShpInfo spid="_x0000_s102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3996</Words>
  <Characters>4250</Characters>
  <Lines>43</Lines>
  <Paragraphs>12</Paragraphs>
  <TotalTime>160</TotalTime>
  <ScaleCrop>false</ScaleCrop>
  <LinksUpToDate>false</LinksUpToDate>
  <CharactersWithSpaces>4308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2025-09-28T03:28:17Z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eyJoZGlkIjoiYjU3OWNmZWNhOTU1OGIzZjViZTdhZWJmNzZlMzNmYTYiLCJ1c2VySWQiOiIxNDE1OTEzOTEwIn0=</vt:lpwstr>
  </property>
  <property fmtid="{D5CDD505-2E9C-101B-9397-08002B2CF9AE}" pid="15" name="KSOProductBuildVer">
    <vt:lpwstr>2052-12.1.0.22529</vt:lpwstr>
  </property>
  <property fmtid="{D5CDD505-2E9C-101B-9397-08002B2CF9AE}" pid="16" name="ICV">
    <vt:lpwstr>C344A136DFFC48C1BE11C6A3E189C724_12</vt:lpwstr>
  </property>
</Properties>
</file>