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3.10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13.100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D 09"/>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D 09</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87"/>
            </w:textInput>
          </w:ffData>
        </w:fldChar>
      </w:r>
      <w:bookmarkStart w:id="6" w:name="NSTD_CODE_F"/>
      <w:r>
        <w:instrText xml:space="preserve"> FORMTEXT </w:instrText>
      </w:r>
      <w:r>
        <w:fldChar w:fldCharType="separate"/>
      </w:r>
      <w:r>
        <w:t>0087</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煤矿机电设备智能运维安全操作指引"/>
            </w:textInput>
          </w:ffData>
        </w:fldChar>
      </w:r>
      <w:bookmarkStart w:id="9" w:name="CSTD_NAME"/>
      <w:r>
        <w:instrText xml:space="preserve"> FORMTEXT </w:instrText>
      </w:r>
      <w:r>
        <w:fldChar w:fldCharType="separate"/>
      </w:r>
      <w:r>
        <w:t>煤矿机电设备智能运维安全操作指引</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safe intelligent operation and maintenance of electromechanical equipment in coal min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safe intelligent operation and maintenance of electromechanical equipment in coal mines</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A094D52">
      <w:pPr>
        <w:pStyle w:val="91"/>
        <w:spacing w:after="360"/>
      </w:pPr>
      <w:bookmarkStart w:id="21" w:name="BookMark1"/>
      <w:r>
        <w:rPr>
          <w:rFonts w:hint="eastAsia"/>
          <w:spacing w:val="320"/>
        </w:rPr>
        <w:t>目</w:t>
      </w:r>
      <w:r>
        <w:rPr>
          <w:rFonts w:hint="eastAsia"/>
        </w:rPr>
        <w:t>次</w:t>
      </w:r>
    </w:p>
    <w:p w14:paraId="59AE84CB">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"_Toc209866272" </w:instrText>
      </w:r>
      <w:r>
        <w:fldChar w:fldCharType="separate"/>
      </w:r>
      <w:r>
        <w:rPr>
          <w:rStyle w:val="32"/>
        </w:rPr>
        <w:t>前言</w:t>
      </w:r>
      <w:r>
        <w:tab/>
      </w:r>
      <w:r>
        <w:fldChar w:fldCharType="begin"/>
      </w:r>
      <w:r>
        <w:instrText xml:space="preserve"> PAGEREF _Toc209866272 \h </w:instrText>
      </w:r>
      <w:r>
        <w:fldChar w:fldCharType="separate"/>
      </w:r>
      <w:r>
        <w:t>III</w:t>
      </w:r>
      <w:r>
        <w:fldChar w:fldCharType="end"/>
      </w:r>
      <w:r>
        <w:fldChar w:fldCharType="end"/>
      </w:r>
    </w:p>
    <w:p w14:paraId="172935EB">
      <w:pPr>
        <w:pStyle w:val="19"/>
        <w:tabs>
          <w:tab w:val="right" w:leader="dot" w:pos="9344"/>
        </w:tabs>
        <w:rPr>
          <w:rFonts w:asciiTheme="minorHAnsi" w:hAnsiTheme="minorHAnsi" w:eastAsiaTheme="minorEastAsia" w:cstheme="minorBidi"/>
          <w:szCs w:val="22"/>
        </w:rPr>
      </w:pPr>
      <w:r>
        <w:fldChar w:fldCharType="begin"/>
      </w:r>
      <w:r>
        <w:instrText xml:space="preserve"> HYPERLINK \l "_Toc209866273" </w:instrText>
      </w:r>
      <w:r>
        <w:fldChar w:fldCharType="separate"/>
      </w:r>
      <w:r>
        <w:rPr>
          <w:rStyle w:val="32"/>
        </w:rPr>
        <w:t>引言</w:t>
      </w:r>
      <w:r>
        <w:tab/>
      </w:r>
      <w:r>
        <w:fldChar w:fldCharType="begin"/>
      </w:r>
      <w:r>
        <w:instrText xml:space="preserve"> PAGEREF _Toc209866273 \h </w:instrText>
      </w:r>
      <w:r>
        <w:fldChar w:fldCharType="separate"/>
      </w:r>
      <w:r>
        <w:t>V</w:t>
      </w:r>
      <w:r>
        <w:fldChar w:fldCharType="end"/>
      </w:r>
      <w:r>
        <w:fldChar w:fldCharType="end"/>
      </w:r>
    </w:p>
    <w:p w14:paraId="23062781">
      <w:pPr>
        <w:pStyle w:val="19"/>
        <w:tabs>
          <w:tab w:val="right" w:leader="dot" w:pos="9344"/>
        </w:tabs>
        <w:rPr>
          <w:rFonts w:asciiTheme="minorHAnsi" w:hAnsiTheme="minorHAnsi" w:eastAsiaTheme="minorEastAsia" w:cstheme="minorBidi"/>
          <w:szCs w:val="22"/>
        </w:rPr>
      </w:pPr>
      <w:r>
        <w:fldChar w:fldCharType="begin"/>
      </w:r>
      <w:r>
        <w:instrText xml:space="preserve"> HYPERLINK \l "_Toc209866274" </w:instrText>
      </w:r>
      <w:r>
        <w:fldChar w:fldCharType="separate"/>
      </w:r>
      <w:r>
        <w:rPr>
          <w:rStyle w:val="32"/>
        </w:rPr>
        <w:t>1  范围</w:t>
      </w:r>
      <w:r>
        <w:tab/>
      </w:r>
      <w:r>
        <w:fldChar w:fldCharType="begin"/>
      </w:r>
      <w:r>
        <w:instrText xml:space="preserve"> PAGEREF _Toc209866274 \h </w:instrText>
      </w:r>
      <w:r>
        <w:fldChar w:fldCharType="separate"/>
      </w:r>
      <w:r>
        <w:t>1</w:t>
      </w:r>
      <w:r>
        <w:fldChar w:fldCharType="end"/>
      </w:r>
      <w:r>
        <w:fldChar w:fldCharType="end"/>
      </w:r>
    </w:p>
    <w:p w14:paraId="3E263D01">
      <w:pPr>
        <w:pStyle w:val="19"/>
        <w:tabs>
          <w:tab w:val="right" w:leader="dot" w:pos="9344"/>
        </w:tabs>
        <w:rPr>
          <w:rFonts w:asciiTheme="minorHAnsi" w:hAnsiTheme="minorHAnsi" w:eastAsiaTheme="minorEastAsia" w:cstheme="minorBidi"/>
          <w:szCs w:val="22"/>
        </w:rPr>
      </w:pPr>
      <w:r>
        <w:fldChar w:fldCharType="begin"/>
      </w:r>
      <w:r>
        <w:instrText xml:space="preserve"> HYPERLINK \l "_Toc209866275" </w:instrText>
      </w:r>
      <w:r>
        <w:fldChar w:fldCharType="separate"/>
      </w:r>
      <w:r>
        <w:rPr>
          <w:rStyle w:val="32"/>
        </w:rPr>
        <w:t>2  规范性引用文件</w:t>
      </w:r>
      <w:r>
        <w:tab/>
      </w:r>
      <w:r>
        <w:fldChar w:fldCharType="begin"/>
      </w:r>
      <w:r>
        <w:instrText xml:space="preserve"> PAGEREF _Toc209866275 \h </w:instrText>
      </w:r>
      <w:r>
        <w:fldChar w:fldCharType="separate"/>
      </w:r>
      <w:r>
        <w:t>1</w:t>
      </w:r>
      <w:r>
        <w:fldChar w:fldCharType="end"/>
      </w:r>
      <w:r>
        <w:fldChar w:fldCharType="end"/>
      </w:r>
    </w:p>
    <w:p w14:paraId="5BFF3198">
      <w:pPr>
        <w:pStyle w:val="19"/>
        <w:tabs>
          <w:tab w:val="right" w:leader="dot" w:pos="9344"/>
        </w:tabs>
        <w:rPr>
          <w:rFonts w:asciiTheme="minorHAnsi" w:hAnsiTheme="minorHAnsi" w:eastAsiaTheme="minorEastAsia" w:cstheme="minorBidi"/>
          <w:szCs w:val="22"/>
        </w:rPr>
      </w:pPr>
      <w:r>
        <w:fldChar w:fldCharType="begin"/>
      </w:r>
      <w:r>
        <w:instrText xml:space="preserve"> HYPERLINK \l "_Toc209866276" </w:instrText>
      </w:r>
      <w:r>
        <w:fldChar w:fldCharType="separate"/>
      </w:r>
      <w:r>
        <w:rPr>
          <w:rStyle w:val="32"/>
        </w:rPr>
        <w:t>3  术语和定义</w:t>
      </w:r>
      <w:r>
        <w:tab/>
      </w:r>
      <w:r>
        <w:fldChar w:fldCharType="begin"/>
      </w:r>
      <w:r>
        <w:instrText xml:space="preserve"> PAGEREF _Toc209866276 \h </w:instrText>
      </w:r>
      <w:r>
        <w:fldChar w:fldCharType="separate"/>
      </w:r>
      <w:r>
        <w:t>1</w:t>
      </w:r>
      <w:r>
        <w:fldChar w:fldCharType="end"/>
      </w:r>
      <w:r>
        <w:fldChar w:fldCharType="end"/>
      </w:r>
    </w:p>
    <w:p w14:paraId="681E7313">
      <w:pPr>
        <w:pStyle w:val="19"/>
        <w:tabs>
          <w:tab w:val="right" w:leader="dot" w:pos="9344"/>
        </w:tabs>
        <w:rPr>
          <w:rFonts w:asciiTheme="minorHAnsi" w:hAnsiTheme="minorHAnsi" w:eastAsiaTheme="minorEastAsia" w:cstheme="minorBidi"/>
          <w:szCs w:val="22"/>
        </w:rPr>
      </w:pPr>
      <w:r>
        <w:fldChar w:fldCharType="begin"/>
      </w:r>
      <w:r>
        <w:instrText xml:space="preserve"> HYPERLINK \l "_Toc209866277" </w:instrText>
      </w:r>
      <w:r>
        <w:fldChar w:fldCharType="separate"/>
      </w:r>
      <w:r>
        <w:rPr>
          <w:rStyle w:val="32"/>
        </w:rPr>
        <w:t>4  总体原则</w:t>
      </w:r>
      <w:r>
        <w:tab/>
      </w:r>
      <w:r>
        <w:fldChar w:fldCharType="begin"/>
      </w:r>
      <w:r>
        <w:instrText xml:space="preserve"> PAGEREF _Toc209866277 \h </w:instrText>
      </w:r>
      <w:r>
        <w:fldChar w:fldCharType="separate"/>
      </w:r>
      <w:r>
        <w:t>2</w:t>
      </w:r>
      <w:r>
        <w:fldChar w:fldCharType="end"/>
      </w:r>
      <w:r>
        <w:fldChar w:fldCharType="end"/>
      </w:r>
    </w:p>
    <w:p w14:paraId="73319E74">
      <w:pPr>
        <w:pStyle w:val="19"/>
        <w:tabs>
          <w:tab w:val="right" w:leader="dot" w:pos="9344"/>
        </w:tabs>
        <w:rPr>
          <w:rFonts w:asciiTheme="minorHAnsi" w:hAnsiTheme="minorHAnsi" w:eastAsiaTheme="minorEastAsia" w:cstheme="minorBidi"/>
          <w:szCs w:val="22"/>
        </w:rPr>
      </w:pPr>
      <w:r>
        <w:fldChar w:fldCharType="begin"/>
      </w:r>
      <w:r>
        <w:instrText xml:space="preserve"> HYPERLINK \l "_Toc209866278" </w:instrText>
      </w:r>
      <w:r>
        <w:fldChar w:fldCharType="separate"/>
      </w:r>
      <w:r>
        <w:rPr>
          <w:rStyle w:val="32"/>
        </w:rPr>
        <w:t>5  操作项目与要求</w:t>
      </w:r>
      <w:r>
        <w:tab/>
      </w:r>
      <w:r>
        <w:fldChar w:fldCharType="begin"/>
      </w:r>
      <w:r>
        <w:instrText xml:space="preserve"> PAGEREF _Toc209866278 \h </w:instrText>
      </w:r>
      <w:r>
        <w:fldChar w:fldCharType="separate"/>
      </w:r>
      <w:r>
        <w:t>3</w:t>
      </w:r>
      <w:r>
        <w:fldChar w:fldCharType="end"/>
      </w:r>
      <w:r>
        <w:fldChar w:fldCharType="end"/>
      </w:r>
    </w:p>
    <w:p w14:paraId="5198C053">
      <w:pPr>
        <w:pStyle w:val="19"/>
        <w:tabs>
          <w:tab w:val="right" w:leader="dot" w:pos="9344"/>
        </w:tabs>
        <w:rPr>
          <w:rFonts w:asciiTheme="minorHAnsi" w:hAnsiTheme="minorHAnsi" w:eastAsiaTheme="minorEastAsia" w:cstheme="minorBidi"/>
          <w:szCs w:val="22"/>
        </w:rPr>
      </w:pPr>
      <w:r>
        <w:fldChar w:fldCharType="begin"/>
      </w:r>
      <w:r>
        <w:instrText xml:space="preserve"> HYPERLINK \l "_Toc209866279" </w:instrText>
      </w:r>
      <w:r>
        <w:fldChar w:fldCharType="separate"/>
      </w:r>
      <w:r>
        <w:rPr>
          <w:rStyle w:val="32"/>
        </w:rPr>
        <w:t>6  安全管理与注意事项</w:t>
      </w:r>
      <w:r>
        <w:tab/>
      </w:r>
      <w:r>
        <w:fldChar w:fldCharType="begin"/>
      </w:r>
      <w:r>
        <w:instrText xml:space="preserve"> PAGEREF _Toc209866279 \h </w:instrText>
      </w:r>
      <w:r>
        <w:fldChar w:fldCharType="separate"/>
      </w:r>
      <w:r>
        <w:t>5</w:t>
      </w:r>
      <w:r>
        <w:fldChar w:fldCharType="end"/>
      </w:r>
      <w:r>
        <w:fldChar w:fldCharType="end"/>
      </w:r>
    </w:p>
    <w:p w14:paraId="257B6EBB">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866272"/>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本文件起草单位：沈阳煤炭科学研究所有限公司。</w:t>
      </w:r>
    </w:p>
    <w:p w14:paraId="42BC1C2C">
      <w:pPr>
        <w:pStyle w:val="56"/>
        <w:spacing w:line="360" w:lineRule="auto"/>
        <w:ind w:firstLine="420"/>
      </w:pPr>
      <w:r>
        <w:rPr>
          <w:rFonts w:hint="eastAsia"/>
        </w:rPr>
        <w:t>本文件主要起草人：李延富。</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5" w:name="_GoBack"/>
      <w:bookmarkEnd w:id="55"/>
    </w:p>
    <w:bookmarkEnd w:id="23"/>
    <w:p w14:paraId="4104DD8B">
      <w:pPr>
        <w:pStyle w:val="89"/>
        <w:spacing w:after="360"/>
      </w:pPr>
      <w:bookmarkStart w:id="24" w:name="_Toc209866273"/>
      <w:bookmarkStart w:id="25" w:name="BookMark3"/>
      <w:r>
        <w:rPr>
          <w:spacing w:val="320"/>
        </w:rPr>
        <w:t>引</w:t>
      </w:r>
      <w:r>
        <w:t>言</w:t>
      </w:r>
      <w:bookmarkEnd w:id="24"/>
    </w:p>
    <w:p w14:paraId="54D9535D">
      <w:pPr>
        <w:pStyle w:val="56"/>
        <w:spacing w:line="360" w:lineRule="auto"/>
        <w:ind w:firstLine="420"/>
      </w:pPr>
      <w:r>
        <w:rPr>
          <w:rFonts w:hint="eastAsia"/>
        </w:rPr>
        <w:t>随着煤矿智能化和信息化水平的不断提升，机电设备的智能运维已成为煤矿安全生产的重要保障。智能运维系统通过实时监测设备状态、预测设备故障、优化维修策略，不仅提高了生产效率，也大幅降低了事故风险。然而，智能运维过程中涉及复杂的电气、机械和信息技术系统，操作不当可能导致设备损坏或安全事故。</w:t>
      </w:r>
    </w:p>
    <w:p w14:paraId="6F983200">
      <w:pPr>
        <w:pStyle w:val="56"/>
        <w:spacing w:line="360" w:lineRule="auto"/>
        <w:ind w:firstLine="420"/>
      </w:pPr>
      <w:r>
        <w:rPr>
          <w:rFonts w:hint="eastAsia"/>
        </w:rPr>
        <w:t>当前，煤矿机电设备智能运维在国内外已有一定的技术应用，但由于设备类型复杂、运行环境严苛、操作人员技能水平参差不齐，缺乏统一的操作规范和风险控制指南，导致安全管理存在薄弱环节。因此，制定本文件，通过明确操作程序、风险防控措施和应急处理方法，指导操作人员科学、安全地进行智能运维工作，对于提升煤矿设备安全管理水平、降低生产风险具有重要意义。</w:t>
      </w:r>
    </w:p>
    <w:p w14:paraId="42EAE8EF">
      <w:pPr>
        <w:pStyle w:val="56"/>
        <w:spacing w:line="360" w:lineRule="auto"/>
        <w:ind w:firstLine="420"/>
      </w:pPr>
      <w:r>
        <w:rPr>
          <w:rFonts w:hint="eastAsia"/>
        </w:rPr>
        <w:t>本文件适用于煤矿机电设备的智能运维操作，包括电机、变压器、提升机、通风机等关键设备，以及状态监测、远程控制和智能调度系统的运行维护。通过统一的操作要求和安全指导，可有效规范运维行为，提升智能运维系统在煤矿生产中的应用效果，保障人员和设备安全。</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煤矿机电设备智能运维安全操作指引</w:t>
          </w:r>
        </w:p>
      </w:sdtContent>
    </w:sdt>
    <w:bookmarkEnd w:id="27"/>
    <w:p w14:paraId="153BF6ED">
      <w:pPr>
        <w:pStyle w:val="104"/>
        <w:spacing w:before="240" w:after="240" w:line="360" w:lineRule="auto"/>
      </w:pPr>
      <w:bookmarkStart w:id="28" w:name="_Toc17233333"/>
      <w:bookmarkStart w:id="29" w:name="_Toc24884218"/>
      <w:bookmarkStart w:id="30" w:name="_Toc17233325"/>
      <w:bookmarkStart w:id="31" w:name="_Toc24884211"/>
      <w:bookmarkStart w:id="32" w:name="_Toc26718930"/>
      <w:bookmarkStart w:id="33" w:name="_Toc26986530"/>
      <w:bookmarkStart w:id="34" w:name="_Toc26986771"/>
      <w:bookmarkStart w:id="35" w:name="_Toc97192964"/>
      <w:bookmarkStart w:id="36" w:name="_Toc209866274"/>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48668D47">
      <w:pPr>
        <w:pStyle w:val="56"/>
        <w:spacing w:line="360" w:lineRule="auto"/>
        <w:ind w:firstLine="420"/>
      </w:pPr>
      <w:bookmarkStart w:id="38" w:name="_Toc17233326"/>
      <w:bookmarkStart w:id="39" w:name="_Toc17233334"/>
      <w:bookmarkStart w:id="40" w:name="_Toc24884219"/>
      <w:bookmarkStart w:id="41" w:name="_Toc24884212"/>
      <w:bookmarkStart w:id="42" w:name="_Toc26648466"/>
      <w:r>
        <w:rPr>
          <w:rFonts w:hint="eastAsia"/>
        </w:rPr>
        <w:t>本文件规定了煤矿机电设备智能运维的安全操作项目与要求以及安全管理与注意事项，包括运维人员在设备监控、数据采集、故障诊断、预测性维护及自动化控制过程中的操作规范、管理措施和安全要求。</w:t>
      </w:r>
    </w:p>
    <w:p w14:paraId="387C9C2B">
      <w:pPr>
        <w:pStyle w:val="56"/>
        <w:spacing w:line="360" w:lineRule="auto"/>
        <w:ind w:firstLine="420"/>
      </w:pPr>
      <w:r>
        <w:rPr>
          <w:rFonts w:hint="eastAsia"/>
        </w:rPr>
        <w:t>本文件适用于矿用提升机、刮板输送机、采煤机、皮带运输机、通风设备及相关辅助机电系统的智能运维操作，也可作为其他煤矿机电设备智能运维作业的参考依据。</w:t>
      </w:r>
    </w:p>
    <w:p w14:paraId="1F7FEEB2">
      <w:pPr>
        <w:pStyle w:val="104"/>
        <w:spacing w:before="240" w:after="240" w:line="360" w:lineRule="auto"/>
      </w:pPr>
      <w:bookmarkStart w:id="43" w:name="_Toc26718931"/>
      <w:bookmarkStart w:id="44" w:name="_Toc26986772"/>
      <w:bookmarkStart w:id="45" w:name="_Toc97192965"/>
      <w:bookmarkStart w:id="46" w:name="_Toc209866275"/>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3DB9151">
      <w:pPr>
        <w:pStyle w:val="56"/>
        <w:spacing w:line="360" w:lineRule="auto"/>
        <w:ind w:firstLine="420"/>
      </w:pPr>
      <w:r>
        <w:t>GB 51145</w:t>
      </w:r>
      <w:r>
        <w:rPr>
          <w:rFonts w:hint="eastAsia"/>
        </w:rPr>
        <w:t>—</w:t>
      </w:r>
      <w:r>
        <w:t xml:space="preserve">2015 </w:t>
      </w:r>
      <w:r>
        <w:rPr>
          <w:rFonts w:hint="eastAsia"/>
        </w:rPr>
        <w:t>煤矿电气设备安装工程施工与验收规范</w:t>
      </w:r>
    </w:p>
    <w:p w14:paraId="2BB67E38">
      <w:pPr>
        <w:pStyle w:val="56"/>
        <w:spacing w:line="360" w:lineRule="auto"/>
        <w:ind w:firstLine="420"/>
      </w:pPr>
      <w:r>
        <w:rPr>
          <w:rFonts w:hint="eastAsia"/>
        </w:rPr>
        <w:t>GB/T 1.1—2020 标准化工作导则  第1部分:标准化文件的结构和起草规则</w:t>
      </w:r>
    </w:p>
    <w:p w14:paraId="22AF14B9">
      <w:pPr>
        <w:pStyle w:val="56"/>
        <w:spacing w:line="360" w:lineRule="auto"/>
        <w:ind w:firstLine="420"/>
      </w:pPr>
      <w:r>
        <w:t>GB/T 12173</w:t>
      </w:r>
      <w:r>
        <w:rPr>
          <w:rFonts w:hint="eastAsia"/>
        </w:rPr>
        <w:t>—</w:t>
      </w:r>
      <w:r>
        <w:t xml:space="preserve">2008 </w:t>
      </w:r>
      <w:r>
        <w:rPr>
          <w:rFonts w:hint="eastAsia"/>
        </w:rPr>
        <w:t>矿用一般型电气设备</w:t>
      </w:r>
    </w:p>
    <w:p w14:paraId="1C42B534">
      <w:pPr>
        <w:pStyle w:val="56"/>
        <w:spacing w:line="360" w:lineRule="auto"/>
        <w:ind w:firstLine="420"/>
      </w:pPr>
      <w:r>
        <w:t>GB/T 15663.8</w:t>
      </w:r>
      <w:r>
        <w:rPr>
          <w:rFonts w:hint="eastAsia"/>
        </w:rPr>
        <w:t>—</w:t>
      </w:r>
      <w:r>
        <w:t xml:space="preserve">2008 </w:t>
      </w:r>
      <w:r>
        <w:rPr>
          <w:rFonts w:hint="eastAsia"/>
        </w:rPr>
        <w:t>煤矿科技术语  第8部分：煤矿安全</w:t>
      </w:r>
    </w:p>
    <w:p w14:paraId="7B359D4B">
      <w:pPr>
        <w:pStyle w:val="56"/>
        <w:spacing w:line="360" w:lineRule="auto"/>
        <w:ind w:firstLine="420"/>
      </w:pPr>
      <w:r>
        <w:t>GB/T 50532</w:t>
      </w:r>
      <w:r>
        <w:rPr>
          <w:rFonts w:hint="eastAsia"/>
        </w:rPr>
        <w:t>—</w:t>
      </w:r>
      <w:r>
        <w:t xml:space="preserve">2021 </w:t>
      </w:r>
      <w:r>
        <w:rPr>
          <w:rFonts w:hint="eastAsia"/>
        </w:rPr>
        <w:t>煤炭工业矿区机电设备修理设施设计标准</w:t>
      </w:r>
    </w:p>
    <w:p w14:paraId="6962992E">
      <w:pPr>
        <w:pStyle w:val="104"/>
        <w:spacing w:before="240" w:after="240" w:line="360" w:lineRule="auto"/>
      </w:pPr>
      <w:bookmarkStart w:id="48" w:name="_Toc97192966"/>
      <w:bookmarkStart w:id="49" w:name="_Toc20986627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051757D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智能运维 intelligent operation and maintenance</w:t>
      </w:r>
    </w:p>
    <w:p w14:paraId="6B91A620">
      <w:pPr>
        <w:pStyle w:val="56"/>
        <w:spacing w:line="360" w:lineRule="auto"/>
        <w:ind w:firstLine="420"/>
      </w:pPr>
      <w:r>
        <w:rPr>
          <w:rFonts w:hint="eastAsia"/>
        </w:rPr>
        <w:t>指利用传感器、监测系统、数据分析、远程控制及自动化技术，对煤矿机电设备进行日常维护、故障诊断、预测性维修和安全管理的全过程。</w:t>
      </w:r>
    </w:p>
    <w:p w14:paraId="676A5CE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机电设备 electromechanical equipment</w:t>
      </w:r>
    </w:p>
    <w:p w14:paraId="767B09BE">
      <w:pPr>
        <w:pStyle w:val="56"/>
        <w:spacing w:line="360" w:lineRule="auto"/>
        <w:ind w:firstLine="420"/>
      </w:pPr>
      <w:r>
        <w:rPr>
          <w:rFonts w:hint="eastAsia"/>
        </w:rPr>
        <w:t>指煤矿生产过程中使用的各类机械和电气设备，包括矿用提升机、刮板输送机、采煤机、皮带运输机、通风设备及其辅助系统。</w:t>
      </w:r>
    </w:p>
    <w:p w14:paraId="33A950D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安全联锁装置 safety interlock device</w:t>
      </w:r>
    </w:p>
    <w:p w14:paraId="018EF511">
      <w:pPr>
        <w:pStyle w:val="56"/>
        <w:spacing w:line="360" w:lineRule="auto"/>
        <w:ind w:firstLine="420"/>
      </w:pPr>
      <w:r>
        <w:rPr>
          <w:rFonts w:hint="eastAsia"/>
        </w:rPr>
        <w:t>通过机械或电子控制手段，对设备操作行为进行限制和干预，以防止设备超载、超程、误操作或异常运行造成事故的装置。</w:t>
      </w:r>
    </w:p>
    <w:p w14:paraId="4212196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故障诊断 fault diagnosis</w:t>
      </w:r>
    </w:p>
    <w:p w14:paraId="4B645755">
      <w:pPr>
        <w:pStyle w:val="56"/>
        <w:spacing w:line="360" w:lineRule="auto"/>
        <w:ind w:firstLine="420"/>
      </w:pPr>
      <w:r>
        <w:rPr>
          <w:rFonts w:hint="eastAsia"/>
        </w:rPr>
        <w:t>对机电设备运行过程中发生的异常状态或潜在问题进行分析和判断，确定故障类型、位置及原因的过程。</w:t>
      </w:r>
    </w:p>
    <w:p w14:paraId="7116D65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预测性维护 predictive maintenance</w:t>
      </w:r>
    </w:p>
    <w:p w14:paraId="142A4B63">
      <w:pPr>
        <w:pStyle w:val="56"/>
        <w:spacing w:line="360" w:lineRule="auto"/>
        <w:ind w:firstLine="420"/>
      </w:pPr>
      <w:r>
        <w:rPr>
          <w:rFonts w:hint="eastAsia"/>
        </w:rPr>
        <w:t>基于设备运行数据和历史故障信息，预测可能发生的故障或性能下降趋势，并提前采取维护措施，以延长设备寿命和保障安全运行。</w:t>
      </w:r>
    </w:p>
    <w:p w14:paraId="0C98794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监测平台 monitoring platform</w:t>
      </w:r>
    </w:p>
    <w:p w14:paraId="50716897">
      <w:pPr>
        <w:pStyle w:val="56"/>
        <w:spacing w:line="360" w:lineRule="auto"/>
        <w:ind w:firstLine="420"/>
      </w:pPr>
      <w:r>
        <w:rPr>
          <w:rFonts w:hint="eastAsia"/>
        </w:rPr>
        <w:t>用于实时收集、传输、分析和显示机电设备运行状态数据的系统，包括传感器网络、数据采集模块、远程控制终端及管理软件。</w:t>
      </w:r>
    </w:p>
    <w:p w14:paraId="388BBAB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应急处理 emergency handling</w:t>
      </w:r>
    </w:p>
    <w:p w14:paraId="63870D97">
      <w:pPr>
        <w:pStyle w:val="56"/>
        <w:spacing w:line="360" w:lineRule="auto"/>
        <w:ind w:firstLine="420"/>
      </w:pPr>
      <w:r>
        <w:rPr>
          <w:rFonts w:hint="eastAsia"/>
        </w:rPr>
        <w:t>在设备发生异常或突发事件时，按照预先制定的操作流程和应急预案，采取控制、停机、排险等措施，保障人员和设备安全。</w:t>
      </w:r>
    </w:p>
    <w:p w14:paraId="4D27078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数据采集 data acquisition</w:t>
      </w:r>
    </w:p>
    <w:p w14:paraId="12062132">
      <w:pPr>
        <w:pStyle w:val="56"/>
        <w:spacing w:line="360" w:lineRule="auto"/>
        <w:ind w:firstLine="420"/>
      </w:pPr>
      <w:r>
        <w:rPr>
          <w:rFonts w:hint="eastAsia"/>
        </w:rPr>
        <w:t>通过传感器及监测系统，对机电设备的运行参数、状态信息及环境条件进行实时收集的过程，为运维决策和故障分析提供数据支持。</w:t>
      </w:r>
    </w:p>
    <w:p w14:paraId="2B594AE9">
      <w:pPr>
        <w:pStyle w:val="104"/>
        <w:spacing w:before="240" w:after="240" w:line="360" w:lineRule="auto"/>
      </w:pPr>
      <w:bookmarkStart w:id="51" w:name="_Toc209866277"/>
      <w:r>
        <w:rPr>
          <w:rFonts w:hint="eastAsia"/>
        </w:rPr>
        <w:t>总体原则</w:t>
      </w:r>
      <w:bookmarkEnd w:id="51"/>
    </w:p>
    <w:p w14:paraId="0E6D2D05">
      <w:pPr>
        <w:pStyle w:val="105"/>
        <w:spacing w:before="120" w:after="120" w:line="360" w:lineRule="auto"/>
      </w:pPr>
      <w:r>
        <w:rPr>
          <w:rFonts w:hint="eastAsia"/>
        </w:rPr>
        <w:t>科学性原则</w:t>
      </w:r>
    </w:p>
    <w:p w14:paraId="0D64DCA1">
      <w:pPr>
        <w:pStyle w:val="56"/>
        <w:spacing w:line="360" w:lineRule="auto"/>
        <w:ind w:firstLine="420"/>
      </w:pPr>
      <w:r>
        <w:rPr>
          <w:rFonts w:hint="eastAsia"/>
        </w:rPr>
        <w:t>运维操作应基于煤矿机电设备运行特性、智能控制技术及安全管理理论，结合设备说明书和行业标准，制定合理的操作方法和流程。各项操作应覆盖设备关键功能及安全保护环节，确保运维操作能够有效预防故障和事故。</w:t>
      </w:r>
    </w:p>
    <w:p w14:paraId="0FB77EEE">
      <w:pPr>
        <w:pStyle w:val="105"/>
        <w:spacing w:before="120" w:after="120" w:line="360" w:lineRule="auto"/>
      </w:pPr>
      <w:r>
        <w:rPr>
          <w:rFonts w:hint="eastAsia"/>
        </w:rPr>
        <w:t>系统性原则</w:t>
      </w:r>
    </w:p>
    <w:p w14:paraId="0D8D1D59">
      <w:pPr>
        <w:pStyle w:val="56"/>
        <w:spacing w:line="360" w:lineRule="auto"/>
        <w:ind w:firstLine="420"/>
      </w:pPr>
      <w:r>
        <w:rPr>
          <w:rFonts w:hint="eastAsia"/>
        </w:rPr>
        <w:t>智能运维应将设备、监测平台、数据采集系统、控制终端及操作人员行为作为整体进行管理和检验。操作流程应系统化，避免单一环节失控而影响整体安全，同时保证数据、信息和操作的完整性与可追溯性。</w:t>
      </w:r>
    </w:p>
    <w:p w14:paraId="45098DEF">
      <w:pPr>
        <w:pStyle w:val="105"/>
        <w:spacing w:before="120" w:after="120" w:line="360" w:lineRule="auto"/>
      </w:pPr>
      <w:r>
        <w:rPr>
          <w:rFonts w:hint="eastAsia"/>
        </w:rPr>
        <w:t>安全性原则</w:t>
      </w:r>
    </w:p>
    <w:p w14:paraId="1A96DD86">
      <w:pPr>
        <w:pStyle w:val="56"/>
        <w:spacing w:line="360" w:lineRule="auto"/>
        <w:ind w:firstLine="420"/>
      </w:pPr>
      <w:r>
        <w:rPr>
          <w:rFonts w:hint="eastAsia"/>
        </w:rPr>
        <w:t>在智能运维过程中，操作人员必须严格遵守安全操作规程，佩戴必要的防护装备，并在操作前进行风险评估。对可能发生的异常状态或设备故障，应制定详细应急预案，确保人员和设备在运维过程中的安全。</w:t>
      </w:r>
    </w:p>
    <w:p w14:paraId="77A9E450">
      <w:pPr>
        <w:pStyle w:val="105"/>
        <w:spacing w:before="120" w:after="120" w:line="360" w:lineRule="auto"/>
      </w:pPr>
      <w:r>
        <w:rPr>
          <w:rFonts w:hint="eastAsia"/>
        </w:rPr>
        <w:t>规范性原则</w:t>
      </w:r>
    </w:p>
    <w:p w14:paraId="4BA8CD4B">
      <w:pPr>
        <w:pStyle w:val="56"/>
        <w:spacing w:line="360" w:lineRule="auto"/>
        <w:ind w:firstLine="420"/>
      </w:pPr>
      <w:r>
        <w:rPr>
          <w:rFonts w:hint="eastAsia"/>
        </w:rPr>
        <w:t>运维操作应严格按照本文件及相关国家和行业标准执行。操作流程、操作方法及管理要求应统一规范，确保不同运维人员、不同矿井或设备在操作中具有一致性，提升操作可控性和安全性。</w:t>
      </w:r>
    </w:p>
    <w:p w14:paraId="010DE2CE">
      <w:pPr>
        <w:pStyle w:val="105"/>
        <w:spacing w:before="120" w:after="120" w:line="360" w:lineRule="auto"/>
      </w:pPr>
      <w:r>
        <w:rPr>
          <w:rFonts w:hint="eastAsia"/>
        </w:rPr>
        <w:t>可靠性原则</w:t>
      </w:r>
    </w:p>
    <w:p w14:paraId="0CC2AAF7">
      <w:pPr>
        <w:pStyle w:val="56"/>
        <w:spacing w:line="360" w:lineRule="auto"/>
        <w:ind w:firstLine="420"/>
      </w:pPr>
      <w:r>
        <w:rPr>
          <w:rFonts w:hint="eastAsia"/>
        </w:rPr>
        <w:t>智能运维操作应保证设备在连续运行和长期使用中保持稳定可靠。操作过程中应定期检查设备状态，验证监测平台和安全联锁功能的准确性，确保设备在实际运行中能够实现预期防护和安全保障效果。</w:t>
      </w:r>
    </w:p>
    <w:p w14:paraId="72A18127">
      <w:pPr>
        <w:pStyle w:val="105"/>
        <w:spacing w:before="120" w:after="120" w:line="360" w:lineRule="auto"/>
      </w:pPr>
      <w:r>
        <w:rPr>
          <w:rFonts w:hint="eastAsia"/>
        </w:rPr>
        <w:t>持续改进原则</w:t>
      </w:r>
    </w:p>
    <w:p w14:paraId="311204EC">
      <w:pPr>
        <w:pStyle w:val="56"/>
        <w:spacing w:line="360" w:lineRule="auto"/>
        <w:ind w:firstLine="420"/>
      </w:pPr>
      <w:r>
        <w:rPr>
          <w:rFonts w:hint="eastAsia"/>
        </w:rPr>
        <w:t>运维过程中应记录操作数据、故障情况及处理经验，为设备管理和操作优化提供依据。通过不断改进操作方法、优化流程和更新管理措施，提升智能运维操作的安全性和效率，促进煤矿机电设备管理水平的持续提高。</w:t>
      </w:r>
    </w:p>
    <w:p w14:paraId="6F2A1F3F">
      <w:pPr>
        <w:pStyle w:val="104"/>
        <w:spacing w:before="240" w:after="240" w:line="360" w:lineRule="auto"/>
      </w:pPr>
      <w:bookmarkStart w:id="52" w:name="_Toc209866278"/>
      <w:r>
        <w:rPr>
          <w:rFonts w:hint="eastAsia"/>
        </w:rPr>
        <w:t>操作项目与要求</w:t>
      </w:r>
      <w:bookmarkEnd w:id="52"/>
    </w:p>
    <w:p w14:paraId="6C92C13B">
      <w:pPr>
        <w:pStyle w:val="105"/>
        <w:spacing w:before="120" w:after="120" w:line="360" w:lineRule="auto"/>
      </w:pPr>
      <w:r>
        <w:rPr>
          <w:rFonts w:hint="eastAsia"/>
        </w:rPr>
        <w:t>日常巡检</w:t>
      </w:r>
    </w:p>
    <w:p w14:paraId="4BE4CE61">
      <w:pPr>
        <w:pStyle w:val="165"/>
        <w:spacing w:line="360" w:lineRule="auto"/>
      </w:pPr>
      <w:r>
        <w:rPr>
          <w:rFonts w:hint="eastAsia"/>
        </w:rPr>
        <w:t>运维人员应按照巡检计划，对机电设备及智能控制系统进行日常检查。</w:t>
      </w:r>
    </w:p>
    <w:p w14:paraId="03F15D90">
      <w:pPr>
        <w:pStyle w:val="165"/>
        <w:spacing w:line="360" w:lineRule="auto"/>
      </w:pPr>
      <w:r>
        <w:rPr>
          <w:rFonts w:hint="eastAsia"/>
        </w:rPr>
        <w:t>巡检内容包括动力系统、电气系统、传动机构、液压系统、限位和联锁装置、报警系统及紧急停机装置的状态，以及监测平台和数据采集设备的运行情况。</w:t>
      </w:r>
    </w:p>
    <w:p w14:paraId="550BDDB5">
      <w:pPr>
        <w:pStyle w:val="165"/>
        <w:spacing w:line="360" w:lineRule="auto"/>
      </w:pPr>
      <w:r>
        <w:rPr>
          <w:rFonts w:hint="eastAsia"/>
        </w:rPr>
        <w:t>巡检过程中如发现异常，应立即记录并按照故障处理流程进行处理。巡检结果应形成书面记录，便于后续追溯和分析。</w:t>
      </w:r>
    </w:p>
    <w:p w14:paraId="5449452E">
      <w:pPr>
        <w:pStyle w:val="105"/>
        <w:spacing w:before="120" w:after="120" w:line="360" w:lineRule="auto"/>
      </w:pPr>
      <w:r>
        <w:rPr>
          <w:rFonts w:hint="eastAsia"/>
        </w:rPr>
        <w:t>设备状态监控</w:t>
      </w:r>
    </w:p>
    <w:p w14:paraId="378E3A03">
      <w:pPr>
        <w:pStyle w:val="165"/>
        <w:spacing w:line="360" w:lineRule="auto"/>
      </w:pPr>
      <w:r>
        <w:rPr>
          <w:rFonts w:hint="eastAsia"/>
        </w:rPr>
        <w:t>运维人员应通过监测平台对设备运行状态进行实时监控，包括负载、速度、振动、温度、电流、电压及环境参数等关键指标。</w:t>
      </w:r>
    </w:p>
    <w:p w14:paraId="3259855C">
      <w:pPr>
        <w:pStyle w:val="165"/>
        <w:spacing w:line="360" w:lineRule="auto"/>
      </w:pPr>
      <w:r>
        <w:rPr>
          <w:rFonts w:hint="eastAsia"/>
        </w:rPr>
        <w:t>监控数据应及时分析，发现异常信号或偏离设定阈值时，应采取必要措施或上报管理部门，确保设备运行在安全范围内。煤矿机电设备智能运维关键监测指标及要求见表1。</w:t>
      </w:r>
    </w:p>
    <w:p w14:paraId="456E01EF">
      <w:pPr>
        <w:pStyle w:val="112"/>
        <w:spacing w:before="120" w:after="120" w:line="360" w:lineRule="auto"/>
      </w:pPr>
      <w:r>
        <w:rPr>
          <w:rFonts w:hint="eastAsia"/>
        </w:rPr>
        <w:t>煤矿机电设备智能运维关键监测指标及要求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2127"/>
        <w:gridCol w:w="1275"/>
        <w:gridCol w:w="2268"/>
        <w:gridCol w:w="2540"/>
      </w:tblGrid>
      <w:tr w14:paraId="1AA66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124" w:type="dxa"/>
            <w:tcBorders>
              <w:top w:val="single" w:color="auto" w:sz="8" w:space="0"/>
              <w:bottom w:val="single" w:color="auto" w:sz="8" w:space="0"/>
            </w:tcBorders>
            <w:shd w:val="clear" w:color="auto" w:fill="auto"/>
            <w:vAlign w:val="center"/>
          </w:tcPr>
          <w:p w14:paraId="39FE9133">
            <w:pPr>
              <w:pStyle w:val="178"/>
            </w:pPr>
            <w:r>
              <w:rPr>
                <w:rFonts w:hint="eastAsia"/>
              </w:rPr>
              <w:t>序号</w:t>
            </w:r>
          </w:p>
        </w:tc>
        <w:tc>
          <w:tcPr>
            <w:tcW w:w="2127" w:type="dxa"/>
            <w:tcBorders>
              <w:top w:val="single" w:color="auto" w:sz="8" w:space="0"/>
              <w:bottom w:val="single" w:color="auto" w:sz="8" w:space="0"/>
            </w:tcBorders>
            <w:shd w:val="clear" w:color="auto" w:fill="auto"/>
            <w:vAlign w:val="center"/>
          </w:tcPr>
          <w:p w14:paraId="761531F5">
            <w:pPr>
              <w:pStyle w:val="178"/>
            </w:pPr>
            <w:r>
              <w:rPr>
                <w:rFonts w:hint="eastAsia"/>
              </w:rPr>
              <w:t>监测指标</w:t>
            </w:r>
          </w:p>
        </w:tc>
        <w:tc>
          <w:tcPr>
            <w:tcW w:w="1275" w:type="dxa"/>
            <w:tcBorders>
              <w:top w:val="single" w:color="auto" w:sz="8" w:space="0"/>
              <w:bottom w:val="single" w:color="auto" w:sz="8" w:space="0"/>
            </w:tcBorders>
            <w:shd w:val="clear" w:color="auto" w:fill="auto"/>
            <w:vAlign w:val="center"/>
          </w:tcPr>
          <w:p w14:paraId="262A7B71">
            <w:pPr>
              <w:pStyle w:val="178"/>
            </w:pPr>
            <w:r>
              <w:rPr>
                <w:rFonts w:hint="eastAsia"/>
              </w:rPr>
              <w:t>单位</w:t>
            </w:r>
          </w:p>
        </w:tc>
        <w:tc>
          <w:tcPr>
            <w:tcW w:w="2268" w:type="dxa"/>
            <w:tcBorders>
              <w:top w:val="single" w:color="auto" w:sz="8" w:space="0"/>
              <w:bottom w:val="single" w:color="auto" w:sz="8" w:space="0"/>
            </w:tcBorders>
            <w:shd w:val="clear" w:color="auto" w:fill="auto"/>
            <w:vAlign w:val="center"/>
          </w:tcPr>
          <w:p w14:paraId="46CE6635">
            <w:pPr>
              <w:pStyle w:val="178"/>
            </w:pPr>
            <w:r>
              <w:rPr>
                <w:rFonts w:hint="eastAsia"/>
              </w:rPr>
              <w:t>允许范围/阈值</w:t>
            </w:r>
          </w:p>
        </w:tc>
        <w:tc>
          <w:tcPr>
            <w:tcW w:w="2540" w:type="dxa"/>
            <w:tcBorders>
              <w:top w:val="single" w:color="auto" w:sz="8" w:space="0"/>
              <w:bottom w:val="single" w:color="auto" w:sz="8" w:space="0"/>
            </w:tcBorders>
            <w:shd w:val="clear" w:color="auto" w:fill="auto"/>
            <w:vAlign w:val="center"/>
          </w:tcPr>
          <w:p w14:paraId="7733D605">
            <w:pPr>
              <w:pStyle w:val="178"/>
            </w:pPr>
            <w:r>
              <w:rPr>
                <w:rFonts w:hint="eastAsia"/>
              </w:rPr>
              <w:t>检测方法</w:t>
            </w:r>
          </w:p>
        </w:tc>
      </w:tr>
      <w:tr w14:paraId="4812F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bottom w:val="single" w:color="auto" w:sz="2" w:space="0"/>
            </w:tcBorders>
            <w:shd w:val="clear" w:color="auto" w:fill="auto"/>
            <w:vAlign w:val="center"/>
          </w:tcPr>
          <w:p w14:paraId="7C71C346">
            <w:pPr>
              <w:pStyle w:val="178"/>
            </w:pPr>
            <w:r>
              <w:rPr>
                <w:rFonts w:hint="eastAsia"/>
              </w:rPr>
              <w:t>1</w:t>
            </w:r>
          </w:p>
        </w:tc>
        <w:tc>
          <w:tcPr>
            <w:tcW w:w="2127" w:type="dxa"/>
            <w:tcBorders>
              <w:top w:val="single" w:color="auto" w:sz="8" w:space="0"/>
              <w:bottom w:val="single" w:color="auto" w:sz="2" w:space="0"/>
            </w:tcBorders>
            <w:shd w:val="clear" w:color="auto" w:fill="auto"/>
            <w:vAlign w:val="center"/>
          </w:tcPr>
          <w:p w14:paraId="335D40A1">
            <w:pPr>
              <w:pStyle w:val="178"/>
            </w:pPr>
            <w:r>
              <w:rPr>
                <w:rFonts w:hint="eastAsia"/>
              </w:rPr>
              <w:t>电机负载</w:t>
            </w:r>
          </w:p>
        </w:tc>
        <w:tc>
          <w:tcPr>
            <w:tcW w:w="1275" w:type="dxa"/>
            <w:tcBorders>
              <w:top w:val="single" w:color="auto" w:sz="8" w:space="0"/>
              <w:bottom w:val="single" w:color="auto" w:sz="2" w:space="0"/>
            </w:tcBorders>
            <w:shd w:val="clear" w:color="auto" w:fill="auto"/>
            <w:vAlign w:val="center"/>
          </w:tcPr>
          <w:p w14:paraId="1B851F0E">
            <w:pPr>
              <w:pStyle w:val="178"/>
            </w:pPr>
            <w:r>
              <w:rPr>
                <w:rFonts w:hint="eastAsia"/>
              </w:rPr>
              <w:t>%</w:t>
            </w:r>
          </w:p>
        </w:tc>
        <w:tc>
          <w:tcPr>
            <w:tcW w:w="2268" w:type="dxa"/>
            <w:tcBorders>
              <w:top w:val="single" w:color="auto" w:sz="8" w:space="0"/>
              <w:bottom w:val="single" w:color="auto" w:sz="2" w:space="0"/>
            </w:tcBorders>
            <w:shd w:val="clear" w:color="auto" w:fill="auto"/>
            <w:vAlign w:val="center"/>
          </w:tcPr>
          <w:p w14:paraId="5D052943">
            <w:pPr>
              <w:pStyle w:val="178"/>
            </w:pPr>
            <w:r>
              <w:rPr>
                <w:rFonts w:hint="eastAsia"/>
              </w:rPr>
              <w:t>≤100</w:t>
            </w:r>
          </w:p>
        </w:tc>
        <w:tc>
          <w:tcPr>
            <w:tcW w:w="2540" w:type="dxa"/>
            <w:tcBorders>
              <w:top w:val="single" w:color="auto" w:sz="8" w:space="0"/>
              <w:bottom w:val="single" w:color="auto" w:sz="2" w:space="0"/>
            </w:tcBorders>
            <w:shd w:val="clear" w:color="auto" w:fill="auto"/>
            <w:vAlign w:val="center"/>
          </w:tcPr>
          <w:p w14:paraId="2A0CCCA1">
            <w:pPr>
              <w:pStyle w:val="178"/>
            </w:pPr>
            <w:r>
              <w:rPr>
                <w:rFonts w:hint="eastAsia"/>
              </w:rPr>
              <w:t>实时监控平台</w:t>
            </w:r>
          </w:p>
        </w:tc>
      </w:tr>
      <w:tr w14:paraId="7CBA3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2" w:space="0"/>
              <w:bottom w:val="single" w:color="auto" w:sz="4" w:space="0"/>
            </w:tcBorders>
            <w:shd w:val="clear" w:color="auto" w:fill="auto"/>
            <w:vAlign w:val="center"/>
          </w:tcPr>
          <w:p w14:paraId="20C6B1A8">
            <w:pPr>
              <w:pStyle w:val="178"/>
            </w:pPr>
            <w:r>
              <w:rPr>
                <w:rFonts w:hint="eastAsia"/>
              </w:rPr>
              <w:t>2</w:t>
            </w:r>
          </w:p>
        </w:tc>
        <w:tc>
          <w:tcPr>
            <w:tcW w:w="2127" w:type="dxa"/>
            <w:tcBorders>
              <w:top w:val="single" w:color="auto" w:sz="2" w:space="0"/>
              <w:bottom w:val="single" w:color="auto" w:sz="4" w:space="0"/>
            </w:tcBorders>
            <w:shd w:val="clear" w:color="auto" w:fill="auto"/>
            <w:vAlign w:val="center"/>
          </w:tcPr>
          <w:p w14:paraId="019A38C0">
            <w:pPr>
              <w:pStyle w:val="178"/>
            </w:pPr>
            <w:r>
              <w:rPr>
                <w:rFonts w:hint="eastAsia"/>
              </w:rPr>
              <w:t>运行速度</w:t>
            </w:r>
          </w:p>
        </w:tc>
        <w:tc>
          <w:tcPr>
            <w:tcW w:w="1275" w:type="dxa"/>
            <w:tcBorders>
              <w:top w:val="single" w:color="auto" w:sz="2" w:space="0"/>
              <w:bottom w:val="single" w:color="auto" w:sz="4" w:space="0"/>
            </w:tcBorders>
            <w:shd w:val="clear" w:color="auto" w:fill="auto"/>
            <w:vAlign w:val="center"/>
          </w:tcPr>
          <w:p w14:paraId="147FD281">
            <w:pPr>
              <w:pStyle w:val="178"/>
            </w:pPr>
            <w:r>
              <w:rPr>
                <w:rFonts w:hint="eastAsia"/>
              </w:rPr>
              <w:t>m/s</w:t>
            </w:r>
          </w:p>
        </w:tc>
        <w:tc>
          <w:tcPr>
            <w:tcW w:w="2268" w:type="dxa"/>
            <w:tcBorders>
              <w:top w:val="single" w:color="auto" w:sz="2" w:space="0"/>
              <w:bottom w:val="single" w:color="auto" w:sz="4" w:space="0"/>
            </w:tcBorders>
            <w:shd w:val="clear" w:color="auto" w:fill="auto"/>
            <w:vAlign w:val="center"/>
          </w:tcPr>
          <w:p w14:paraId="06BB4D8C">
            <w:pPr>
              <w:pStyle w:val="178"/>
            </w:pPr>
            <w:r>
              <w:rPr>
                <w:rFonts w:hint="eastAsia"/>
              </w:rPr>
              <w:t>按设备设计值 ±10%</w:t>
            </w:r>
          </w:p>
        </w:tc>
        <w:tc>
          <w:tcPr>
            <w:tcW w:w="2540" w:type="dxa"/>
            <w:tcBorders>
              <w:top w:val="single" w:color="auto" w:sz="2" w:space="0"/>
              <w:bottom w:val="single" w:color="auto" w:sz="4" w:space="0"/>
            </w:tcBorders>
            <w:shd w:val="clear" w:color="auto" w:fill="auto"/>
            <w:vAlign w:val="center"/>
          </w:tcPr>
          <w:p w14:paraId="5A9AB90E">
            <w:pPr>
              <w:pStyle w:val="178"/>
            </w:pPr>
            <w:r>
              <w:rPr>
                <w:rFonts w:hint="eastAsia"/>
              </w:rPr>
              <w:t>传感器测量、系统记录</w:t>
            </w:r>
          </w:p>
        </w:tc>
      </w:tr>
      <w:tr w14:paraId="3CB38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4" w:space="0"/>
            </w:tcBorders>
            <w:shd w:val="clear" w:color="auto" w:fill="auto"/>
            <w:vAlign w:val="center"/>
          </w:tcPr>
          <w:p w14:paraId="0E034094">
            <w:pPr>
              <w:pStyle w:val="178"/>
            </w:pPr>
            <w:r>
              <w:rPr>
                <w:rFonts w:hint="eastAsia"/>
              </w:rPr>
              <w:t>3</w:t>
            </w:r>
          </w:p>
        </w:tc>
        <w:tc>
          <w:tcPr>
            <w:tcW w:w="2127" w:type="dxa"/>
            <w:tcBorders>
              <w:top w:val="single" w:color="auto" w:sz="4" w:space="0"/>
            </w:tcBorders>
            <w:shd w:val="clear" w:color="auto" w:fill="auto"/>
            <w:vAlign w:val="center"/>
          </w:tcPr>
          <w:p w14:paraId="2DD13852">
            <w:pPr>
              <w:pStyle w:val="178"/>
            </w:pPr>
            <w:r>
              <w:rPr>
                <w:rFonts w:hint="eastAsia"/>
              </w:rPr>
              <w:t>振动幅度</w:t>
            </w:r>
          </w:p>
        </w:tc>
        <w:tc>
          <w:tcPr>
            <w:tcW w:w="1275" w:type="dxa"/>
            <w:tcBorders>
              <w:top w:val="single" w:color="auto" w:sz="4" w:space="0"/>
            </w:tcBorders>
            <w:shd w:val="clear" w:color="auto" w:fill="auto"/>
            <w:vAlign w:val="center"/>
          </w:tcPr>
          <w:p w14:paraId="4E6A715D">
            <w:pPr>
              <w:pStyle w:val="178"/>
            </w:pPr>
            <w:r>
              <w:rPr>
                <w:rFonts w:hint="eastAsia"/>
              </w:rPr>
              <w:t>mm/s</w:t>
            </w:r>
          </w:p>
        </w:tc>
        <w:tc>
          <w:tcPr>
            <w:tcW w:w="2268" w:type="dxa"/>
            <w:tcBorders>
              <w:top w:val="single" w:color="auto" w:sz="4" w:space="0"/>
            </w:tcBorders>
            <w:shd w:val="clear" w:color="auto" w:fill="auto"/>
            <w:vAlign w:val="center"/>
          </w:tcPr>
          <w:p w14:paraId="648BD2E0">
            <w:pPr>
              <w:pStyle w:val="178"/>
            </w:pPr>
            <w:r>
              <w:rPr>
                <w:rFonts w:hint="eastAsia"/>
              </w:rPr>
              <w:t>≤设备说明书限值</w:t>
            </w:r>
          </w:p>
        </w:tc>
        <w:tc>
          <w:tcPr>
            <w:tcW w:w="2540" w:type="dxa"/>
            <w:tcBorders>
              <w:top w:val="single" w:color="auto" w:sz="4" w:space="0"/>
            </w:tcBorders>
            <w:shd w:val="clear" w:color="auto" w:fill="auto"/>
            <w:vAlign w:val="center"/>
          </w:tcPr>
          <w:p w14:paraId="6325D043">
            <w:pPr>
              <w:pStyle w:val="178"/>
            </w:pPr>
            <w:r>
              <w:rPr>
                <w:rFonts w:hint="eastAsia"/>
              </w:rPr>
              <w:t>振动传感器</w:t>
            </w:r>
          </w:p>
        </w:tc>
      </w:tr>
      <w:tr w14:paraId="628EE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4D8DC296">
            <w:pPr>
              <w:pStyle w:val="178"/>
            </w:pPr>
            <w:r>
              <w:rPr>
                <w:rFonts w:hint="eastAsia"/>
              </w:rPr>
              <w:t>4</w:t>
            </w:r>
          </w:p>
        </w:tc>
        <w:tc>
          <w:tcPr>
            <w:tcW w:w="2127" w:type="dxa"/>
            <w:shd w:val="clear" w:color="auto" w:fill="auto"/>
            <w:vAlign w:val="center"/>
          </w:tcPr>
          <w:p w14:paraId="526ED6DF">
            <w:pPr>
              <w:pStyle w:val="178"/>
            </w:pPr>
            <w:r>
              <w:rPr>
                <w:rFonts w:hint="eastAsia"/>
              </w:rPr>
              <w:t>温度</w:t>
            </w:r>
          </w:p>
        </w:tc>
        <w:tc>
          <w:tcPr>
            <w:tcW w:w="1275" w:type="dxa"/>
            <w:shd w:val="clear" w:color="auto" w:fill="auto"/>
            <w:vAlign w:val="center"/>
          </w:tcPr>
          <w:p w14:paraId="013615D0">
            <w:pPr>
              <w:pStyle w:val="178"/>
            </w:pPr>
            <w:r>
              <w:rPr>
                <w:rFonts w:hint="eastAsia"/>
              </w:rPr>
              <w:t>℃</w:t>
            </w:r>
          </w:p>
        </w:tc>
        <w:tc>
          <w:tcPr>
            <w:tcW w:w="2268" w:type="dxa"/>
            <w:shd w:val="clear" w:color="auto" w:fill="auto"/>
            <w:vAlign w:val="center"/>
          </w:tcPr>
          <w:p w14:paraId="12EF7627">
            <w:pPr>
              <w:pStyle w:val="178"/>
            </w:pPr>
            <w:r>
              <w:rPr>
                <w:rFonts w:hint="eastAsia"/>
              </w:rPr>
              <w:t>≤设备设计温度</w:t>
            </w:r>
          </w:p>
        </w:tc>
        <w:tc>
          <w:tcPr>
            <w:tcW w:w="2540" w:type="dxa"/>
            <w:shd w:val="clear" w:color="auto" w:fill="auto"/>
            <w:vAlign w:val="center"/>
          </w:tcPr>
          <w:p w14:paraId="07946261">
            <w:pPr>
              <w:pStyle w:val="178"/>
            </w:pPr>
            <w:r>
              <w:rPr>
                <w:rFonts w:hint="eastAsia"/>
              </w:rPr>
              <w:t>热电偶/红外测温</w:t>
            </w:r>
          </w:p>
        </w:tc>
      </w:tr>
      <w:tr w14:paraId="5DE70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1F806D2E">
            <w:pPr>
              <w:pStyle w:val="178"/>
            </w:pPr>
            <w:r>
              <w:rPr>
                <w:rFonts w:hint="eastAsia"/>
              </w:rPr>
              <w:t>5</w:t>
            </w:r>
          </w:p>
        </w:tc>
        <w:tc>
          <w:tcPr>
            <w:tcW w:w="2127" w:type="dxa"/>
            <w:shd w:val="clear" w:color="auto" w:fill="auto"/>
            <w:vAlign w:val="center"/>
          </w:tcPr>
          <w:p w14:paraId="1CE94E56">
            <w:pPr>
              <w:pStyle w:val="178"/>
            </w:pPr>
            <w:r>
              <w:rPr>
                <w:rFonts w:hint="eastAsia"/>
              </w:rPr>
              <w:t>电流</w:t>
            </w:r>
          </w:p>
        </w:tc>
        <w:tc>
          <w:tcPr>
            <w:tcW w:w="1275" w:type="dxa"/>
            <w:shd w:val="clear" w:color="auto" w:fill="auto"/>
            <w:vAlign w:val="center"/>
          </w:tcPr>
          <w:p w14:paraId="3D6EFDCD">
            <w:pPr>
              <w:pStyle w:val="178"/>
            </w:pPr>
            <w:r>
              <w:rPr>
                <w:rFonts w:hint="eastAsia"/>
              </w:rPr>
              <w:t>A</w:t>
            </w:r>
          </w:p>
        </w:tc>
        <w:tc>
          <w:tcPr>
            <w:tcW w:w="2268" w:type="dxa"/>
            <w:shd w:val="clear" w:color="auto" w:fill="auto"/>
            <w:vAlign w:val="center"/>
          </w:tcPr>
          <w:p w14:paraId="660B8307">
            <w:pPr>
              <w:pStyle w:val="178"/>
            </w:pPr>
            <w:r>
              <w:rPr>
                <w:rFonts w:hint="eastAsia"/>
              </w:rPr>
              <w:t>≤额定电流</w:t>
            </w:r>
          </w:p>
        </w:tc>
        <w:tc>
          <w:tcPr>
            <w:tcW w:w="2540" w:type="dxa"/>
            <w:shd w:val="clear" w:color="auto" w:fill="auto"/>
            <w:vAlign w:val="center"/>
          </w:tcPr>
          <w:p w14:paraId="62AE9069">
            <w:pPr>
              <w:pStyle w:val="178"/>
            </w:pPr>
            <w:r>
              <w:rPr>
                <w:rFonts w:hint="eastAsia"/>
              </w:rPr>
              <w:t>电流传感器、系统监控</w:t>
            </w:r>
          </w:p>
        </w:tc>
      </w:tr>
      <w:tr w14:paraId="277F4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0361690D">
            <w:pPr>
              <w:pStyle w:val="178"/>
            </w:pPr>
            <w:r>
              <w:rPr>
                <w:rFonts w:hint="eastAsia"/>
              </w:rPr>
              <w:t>6</w:t>
            </w:r>
          </w:p>
        </w:tc>
        <w:tc>
          <w:tcPr>
            <w:tcW w:w="2127" w:type="dxa"/>
            <w:shd w:val="clear" w:color="auto" w:fill="auto"/>
            <w:vAlign w:val="center"/>
          </w:tcPr>
          <w:p w14:paraId="4B07D204">
            <w:pPr>
              <w:pStyle w:val="178"/>
            </w:pPr>
            <w:r>
              <w:rPr>
                <w:rFonts w:hint="eastAsia"/>
              </w:rPr>
              <w:t>电压</w:t>
            </w:r>
          </w:p>
        </w:tc>
        <w:tc>
          <w:tcPr>
            <w:tcW w:w="1275" w:type="dxa"/>
            <w:shd w:val="clear" w:color="auto" w:fill="auto"/>
            <w:vAlign w:val="center"/>
          </w:tcPr>
          <w:p w14:paraId="0610C96F">
            <w:pPr>
              <w:pStyle w:val="178"/>
            </w:pPr>
            <w:r>
              <w:rPr>
                <w:rFonts w:hint="eastAsia"/>
              </w:rPr>
              <w:t>V</w:t>
            </w:r>
          </w:p>
        </w:tc>
        <w:tc>
          <w:tcPr>
            <w:tcW w:w="2268" w:type="dxa"/>
            <w:shd w:val="clear" w:color="auto" w:fill="auto"/>
            <w:vAlign w:val="center"/>
          </w:tcPr>
          <w:p w14:paraId="4D0C62F7">
            <w:pPr>
              <w:pStyle w:val="178"/>
            </w:pPr>
            <w:r>
              <w:rPr>
                <w:rFonts w:hint="eastAsia"/>
              </w:rPr>
              <w:t>额定电压 ±5%</w:t>
            </w:r>
          </w:p>
        </w:tc>
        <w:tc>
          <w:tcPr>
            <w:tcW w:w="2540" w:type="dxa"/>
            <w:shd w:val="clear" w:color="auto" w:fill="auto"/>
            <w:vAlign w:val="center"/>
          </w:tcPr>
          <w:p w14:paraId="6F3D8E0C">
            <w:pPr>
              <w:pStyle w:val="178"/>
            </w:pPr>
            <w:r>
              <w:rPr>
                <w:rFonts w:hint="eastAsia"/>
              </w:rPr>
              <w:t>电压传感器、监控系统</w:t>
            </w:r>
          </w:p>
        </w:tc>
      </w:tr>
      <w:tr w14:paraId="240C3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58D04FDB">
            <w:pPr>
              <w:pStyle w:val="178"/>
            </w:pPr>
            <w:r>
              <w:rPr>
                <w:rFonts w:hint="eastAsia"/>
              </w:rPr>
              <w:t>7</w:t>
            </w:r>
          </w:p>
        </w:tc>
        <w:tc>
          <w:tcPr>
            <w:tcW w:w="2127" w:type="dxa"/>
            <w:shd w:val="clear" w:color="auto" w:fill="auto"/>
            <w:vAlign w:val="center"/>
          </w:tcPr>
          <w:p w14:paraId="4A945E06">
            <w:pPr>
              <w:pStyle w:val="178"/>
            </w:pPr>
            <w:r>
              <w:rPr>
                <w:rFonts w:hint="eastAsia"/>
              </w:rPr>
              <w:t>环境参数</w:t>
            </w:r>
          </w:p>
        </w:tc>
        <w:tc>
          <w:tcPr>
            <w:tcW w:w="1275" w:type="dxa"/>
            <w:shd w:val="clear" w:color="auto" w:fill="auto"/>
            <w:vAlign w:val="center"/>
          </w:tcPr>
          <w:p w14:paraId="38E7E160">
            <w:pPr>
              <w:pStyle w:val="178"/>
            </w:pPr>
            <w:r>
              <w:rPr>
                <w:rFonts w:hint="eastAsia"/>
              </w:rPr>
              <w:t>ppm/%/℃</w:t>
            </w:r>
          </w:p>
        </w:tc>
        <w:tc>
          <w:tcPr>
            <w:tcW w:w="2268" w:type="dxa"/>
            <w:shd w:val="clear" w:color="auto" w:fill="auto"/>
            <w:vAlign w:val="center"/>
          </w:tcPr>
          <w:p w14:paraId="32BDE782">
            <w:pPr>
              <w:pStyle w:val="178"/>
            </w:pPr>
            <w:r>
              <w:rPr>
                <w:rFonts w:hint="eastAsia"/>
              </w:rPr>
              <w:t>按安全规范</w:t>
            </w:r>
          </w:p>
        </w:tc>
        <w:tc>
          <w:tcPr>
            <w:tcW w:w="2540" w:type="dxa"/>
            <w:shd w:val="clear" w:color="auto" w:fill="auto"/>
            <w:vAlign w:val="center"/>
          </w:tcPr>
          <w:p w14:paraId="3A673294">
            <w:pPr>
              <w:pStyle w:val="178"/>
            </w:pPr>
            <w:r>
              <w:rPr>
                <w:rFonts w:hint="eastAsia"/>
              </w:rPr>
              <w:t>通风、温湿度、瓦斯检测</w:t>
            </w:r>
          </w:p>
        </w:tc>
      </w:tr>
    </w:tbl>
    <w:p w14:paraId="1222BAAF">
      <w:pPr>
        <w:pStyle w:val="105"/>
        <w:spacing w:before="120" w:after="120" w:line="360" w:lineRule="auto"/>
      </w:pPr>
      <w:r>
        <w:rPr>
          <w:rFonts w:hint="eastAsia"/>
        </w:rPr>
        <w:t>故障诊断</w:t>
      </w:r>
    </w:p>
    <w:p w14:paraId="0000E57F">
      <w:pPr>
        <w:pStyle w:val="165"/>
        <w:spacing w:line="360" w:lineRule="auto"/>
      </w:pPr>
      <w:r>
        <w:rPr>
          <w:rFonts w:hint="eastAsia"/>
        </w:rPr>
        <w:t>当设备出现异常或报警时，运维人员应按照标准化故障诊断流程，快速判断故障类型、位置和原因。</w:t>
      </w:r>
    </w:p>
    <w:p w14:paraId="5889FBE5">
      <w:pPr>
        <w:pStyle w:val="165"/>
        <w:spacing w:line="360" w:lineRule="auto"/>
      </w:pPr>
      <w:r>
        <w:rPr>
          <w:rFonts w:hint="eastAsia"/>
        </w:rPr>
        <w:t>诊断应结合传感器数据、历史运行记录及设备说明书，必要时使用辅助分析工具或智能诊断系统。</w:t>
      </w:r>
    </w:p>
    <w:p w14:paraId="5960877A">
      <w:pPr>
        <w:pStyle w:val="165"/>
        <w:spacing w:line="360" w:lineRule="auto"/>
      </w:pPr>
      <w:r>
        <w:rPr>
          <w:rFonts w:hint="eastAsia"/>
        </w:rPr>
        <w:t>故障处理完成后，应形成记录，包括故障类型、处理措施、处理结果和操作人员签名。</w:t>
      </w:r>
    </w:p>
    <w:p w14:paraId="42096FD1">
      <w:pPr>
        <w:pStyle w:val="105"/>
        <w:spacing w:before="120" w:after="120" w:line="360" w:lineRule="auto"/>
      </w:pPr>
      <w:r>
        <w:rPr>
          <w:rFonts w:hint="eastAsia"/>
        </w:rPr>
        <w:t>预测性维护</w:t>
      </w:r>
    </w:p>
    <w:p w14:paraId="4A7F7BE6">
      <w:pPr>
        <w:pStyle w:val="165"/>
        <w:spacing w:line="360" w:lineRule="auto"/>
      </w:pPr>
      <w:r>
        <w:rPr>
          <w:rFonts w:hint="eastAsia"/>
        </w:rPr>
        <w:t>运维人员应依据监测数据和设备运行规律，进行预测性维护计划。</w:t>
      </w:r>
    </w:p>
    <w:p w14:paraId="61283697">
      <w:pPr>
        <w:pStyle w:val="165"/>
        <w:spacing w:line="360" w:lineRule="auto"/>
      </w:pPr>
      <w:r>
        <w:rPr>
          <w:rFonts w:hint="eastAsia"/>
        </w:rPr>
        <w:t>应通过分析关键部件的性能趋势、磨损状况和历史故障信息，提前制定维护、更换或调整方案，以防止潜在故障发生，提高设备寿命和运行可靠性。</w:t>
      </w:r>
    </w:p>
    <w:p w14:paraId="7F138D99">
      <w:pPr>
        <w:pStyle w:val="165"/>
        <w:spacing w:line="360" w:lineRule="auto"/>
      </w:pPr>
      <w:r>
        <w:rPr>
          <w:rFonts w:hint="eastAsia"/>
        </w:rPr>
        <w:t>维护计划应以书面形式下发，并执行跟踪检查。</w:t>
      </w:r>
    </w:p>
    <w:p w14:paraId="336BAF1E">
      <w:pPr>
        <w:pStyle w:val="105"/>
        <w:spacing w:before="120" w:after="120" w:line="360" w:lineRule="auto"/>
      </w:pPr>
      <w:r>
        <w:rPr>
          <w:rFonts w:hint="eastAsia"/>
        </w:rPr>
        <w:t>应急处理</w:t>
      </w:r>
    </w:p>
    <w:p w14:paraId="67533260">
      <w:pPr>
        <w:pStyle w:val="165"/>
        <w:spacing w:line="360" w:lineRule="auto"/>
      </w:pPr>
      <w:r>
        <w:rPr>
          <w:rFonts w:hint="eastAsia"/>
        </w:rPr>
        <w:t>在设备出现重大异常或突发事件时，运维人员应立即启动应急处理流程，包括切断动力、触发安全联锁、停机操作以及现场人员撤离等措施。</w:t>
      </w:r>
    </w:p>
    <w:p w14:paraId="4529DD93">
      <w:pPr>
        <w:pStyle w:val="165"/>
        <w:spacing w:line="360" w:lineRule="auto"/>
      </w:pPr>
      <w:r>
        <w:rPr>
          <w:rFonts w:hint="eastAsia"/>
        </w:rPr>
        <w:t>应急操作应遵循预先制定的应急预案，并确保所有操作记录完整，便于事故分析和改进操作流程。</w:t>
      </w:r>
    </w:p>
    <w:p w14:paraId="3FCFFFEF">
      <w:pPr>
        <w:pStyle w:val="105"/>
        <w:spacing w:before="120" w:after="120" w:line="360" w:lineRule="auto"/>
      </w:pPr>
      <w:r>
        <w:rPr>
          <w:rFonts w:hint="eastAsia"/>
        </w:rPr>
        <w:t>操作记录与报告</w:t>
      </w:r>
    </w:p>
    <w:p w14:paraId="276AE2F0">
      <w:pPr>
        <w:pStyle w:val="165"/>
        <w:spacing w:line="360" w:lineRule="auto"/>
      </w:pPr>
      <w:r>
        <w:rPr>
          <w:rFonts w:hint="eastAsia"/>
        </w:rPr>
        <w:t>所有运维操作应形成完整、规范的操作记录，包括巡检内容、监控数据、故障诊断结果、维护措施及应急处理情况。</w:t>
      </w:r>
    </w:p>
    <w:p w14:paraId="44CC9BA3">
      <w:pPr>
        <w:pStyle w:val="165"/>
        <w:spacing w:line="360" w:lineRule="auto"/>
      </w:pPr>
      <w:r>
        <w:rPr>
          <w:rFonts w:hint="eastAsia"/>
        </w:rPr>
        <w:t>操作记录应及时汇总，形成运维报告，用于设备管理、生产安全评估及智能运维优化。运维操作记录示例见表2。</w:t>
      </w:r>
    </w:p>
    <w:p w14:paraId="5A32A393">
      <w:pPr>
        <w:pStyle w:val="112"/>
        <w:spacing w:before="120" w:after="120" w:line="360" w:lineRule="auto"/>
      </w:pPr>
      <w:r>
        <w:rPr>
          <w:rFonts w:hint="eastAsia"/>
        </w:rPr>
        <w:t>运维操作记录示例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2"/>
        <w:gridCol w:w="1333"/>
        <w:gridCol w:w="1153"/>
        <w:gridCol w:w="1701"/>
        <w:gridCol w:w="1147"/>
        <w:gridCol w:w="1334"/>
        <w:gridCol w:w="1334"/>
      </w:tblGrid>
      <w:tr w14:paraId="36A7D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32" w:type="dxa"/>
            <w:tcBorders>
              <w:top w:val="single" w:color="auto" w:sz="8" w:space="0"/>
              <w:bottom w:val="single" w:color="auto" w:sz="8" w:space="0"/>
            </w:tcBorders>
            <w:shd w:val="clear" w:color="auto" w:fill="auto"/>
          </w:tcPr>
          <w:p w14:paraId="3DFFA41E">
            <w:pPr>
              <w:pStyle w:val="178"/>
            </w:pPr>
            <w:r>
              <w:rPr>
                <w:rFonts w:hint="eastAsia"/>
              </w:rPr>
              <w:t>日期</w:t>
            </w:r>
          </w:p>
        </w:tc>
        <w:tc>
          <w:tcPr>
            <w:tcW w:w="1333" w:type="dxa"/>
            <w:tcBorders>
              <w:top w:val="single" w:color="auto" w:sz="8" w:space="0"/>
              <w:bottom w:val="single" w:color="auto" w:sz="8" w:space="0"/>
            </w:tcBorders>
            <w:shd w:val="clear" w:color="auto" w:fill="auto"/>
          </w:tcPr>
          <w:p w14:paraId="1347F9EE">
            <w:pPr>
              <w:pStyle w:val="178"/>
            </w:pPr>
            <w:r>
              <w:rPr>
                <w:rFonts w:hint="eastAsia"/>
              </w:rPr>
              <w:t>设备名称</w:t>
            </w:r>
          </w:p>
        </w:tc>
        <w:tc>
          <w:tcPr>
            <w:tcW w:w="1153" w:type="dxa"/>
            <w:tcBorders>
              <w:top w:val="single" w:color="auto" w:sz="8" w:space="0"/>
              <w:bottom w:val="single" w:color="auto" w:sz="8" w:space="0"/>
            </w:tcBorders>
            <w:shd w:val="clear" w:color="auto" w:fill="auto"/>
          </w:tcPr>
          <w:p w14:paraId="4B4BC992">
            <w:pPr>
              <w:pStyle w:val="178"/>
            </w:pPr>
            <w:r>
              <w:rPr>
                <w:rFonts w:hint="eastAsia"/>
              </w:rPr>
              <w:t>操作人员</w:t>
            </w:r>
          </w:p>
        </w:tc>
        <w:tc>
          <w:tcPr>
            <w:tcW w:w="1701" w:type="dxa"/>
            <w:tcBorders>
              <w:top w:val="single" w:color="auto" w:sz="8" w:space="0"/>
              <w:bottom w:val="single" w:color="auto" w:sz="8" w:space="0"/>
            </w:tcBorders>
            <w:shd w:val="clear" w:color="auto" w:fill="auto"/>
          </w:tcPr>
          <w:p w14:paraId="3580C307">
            <w:pPr>
              <w:pStyle w:val="178"/>
            </w:pPr>
            <w:r>
              <w:rPr>
                <w:rFonts w:hint="eastAsia"/>
              </w:rPr>
              <w:t>巡检/监控内容</w:t>
            </w:r>
          </w:p>
        </w:tc>
        <w:tc>
          <w:tcPr>
            <w:tcW w:w="1147" w:type="dxa"/>
            <w:tcBorders>
              <w:top w:val="single" w:color="auto" w:sz="8" w:space="0"/>
              <w:bottom w:val="single" w:color="auto" w:sz="8" w:space="0"/>
            </w:tcBorders>
            <w:shd w:val="clear" w:color="auto" w:fill="auto"/>
          </w:tcPr>
          <w:p w14:paraId="27C6A6FB">
            <w:pPr>
              <w:pStyle w:val="178"/>
            </w:pPr>
            <w:r>
              <w:rPr>
                <w:rFonts w:hint="eastAsia"/>
              </w:rPr>
              <w:t>异常情况</w:t>
            </w:r>
          </w:p>
        </w:tc>
        <w:tc>
          <w:tcPr>
            <w:tcW w:w="1334" w:type="dxa"/>
            <w:tcBorders>
              <w:top w:val="single" w:color="auto" w:sz="8" w:space="0"/>
              <w:bottom w:val="single" w:color="auto" w:sz="8" w:space="0"/>
            </w:tcBorders>
            <w:shd w:val="clear" w:color="auto" w:fill="auto"/>
          </w:tcPr>
          <w:p w14:paraId="0B00B0F2">
            <w:pPr>
              <w:pStyle w:val="178"/>
            </w:pPr>
            <w:r>
              <w:rPr>
                <w:rFonts w:hint="eastAsia"/>
              </w:rPr>
              <w:t>故障处理</w:t>
            </w:r>
          </w:p>
        </w:tc>
        <w:tc>
          <w:tcPr>
            <w:tcW w:w="1334" w:type="dxa"/>
            <w:tcBorders>
              <w:top w:val="single" w:color="auto" w:sz="8" w:space="0"/>
              <w:bottom w:val="single" w:color="auto" w:sz="8" w:space="0"/>
            </w:tcBorders>
            <w:shd w:val="clear" w:color="auto" w:fill="auto"/>
          </w:tcPr>
          <w:p w14:paraId="3490EB83">
            <w:pPr>
              <w:pStyle w:val="178"/>
            </w:pPr>
            <w:r>
              <w:rPr>
                <w:rFonts w:hint="eastAsia"/>
              </w:rPr>
              <w:t>备注</w:t>
            </w:r>
          </w:p>
        </w:tc>
      </w:tr>
      <w:tr w14:paraId="56C79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2" w:type="dxa"/>
            <w:tcBorders>
              <w:top w:val="single" w:color="auto" w:sz="8" w:space="0"/>
            </w:tcBorders>
            <w:shd w:val="clear" w:color="auto" w:fill="auto"/>
          </w:tcPr>
          <w:p w14:paraId="5F2BCE60">
            <w:pPr>
              <w:pStyle w:val="178"/>
            </w:pPr>
            <w:r>
              <w:rPr>
                <w:rFonts w:hint="eastAsia"/>
              </w:rPr>
              <w:t>2025-09-27</w:t>
            </w:r>
          </w:p>
        </w:tc>
        <w:tc>
          <w:tcPr>
            <w:tcW w:w="1333" w:type="dxa"/>
            <w:tcBorders>
              <w:top w:val="single" w:color="auto" w:sz="8" w:space="0"/>
            </w:tcBorders>
            <w:shd w:val="clear" w:color="auto" w:fill="auto"/>
          </w:tcPr>
          <w:p w14:paraId="2E991BB5">
            <w:pPr>
              <w:pStyle w:val="178"/>
            </w:pPr>
            <w:r>
              <w:rPr>
                <w:rFonts w:hint="eastAsia"/>
              </w:rPr>
              <w:t>采煤机A</w:t>
            </w:r>
          </w:p>
        </w:tc>
        <w:tc>
          <w:tcPr>
            <w:tcW w:w="1153" w:type="dxa"/>
            <w:tcBorders>
              <w:top w:val="single" w:color="auto" w:sz="8" w:space="0"/>
            </w:tcBorders>
            <w:shd w:val="clear" w:color="auto" w:fill="auto"/>
          </w:tcPr>
          <w:p w14:paraId="42C8B8A2">
            <w:pPr>
              <w:pStyle w:val="178"/>
            </w:pPr>
            <w:r>
              <w:rPr>
                <w:rFonts w:hint="eastAsia"/>
              </w:rPr>
              <w:t>张三</w:t>
            </w:r>
          </w:p>
        </w:tc>
        <w:tc>
          <w:tcPr>
            <w:tcW w:w="1701" w:type="dxa"/>
            <w:tcBorders>
              <w:top w:val="single" w:color="auto" w:sz="8" w:space="0"/>
            </w:tcBorders>
            <w:shd w:val="clear" w:color="auto" w:fill="auto"/>
          </w:tcPr>
          <w:p w14:paraId="295FFC70">
            <w:pPr>
              <w:pStyle w:val="178"/>
            </w:pPr>
            <w:r>
              <w:rPr>
                <w:rFonts w:hint="eastAsia"/>
              </w:rPr>
              <w:t>负载、电流、振动</w:t>
            </w:r>
          </w:p>
        </w:tc>
        <w:tc>
          <w:tcPr>
            <w:tcW w:w="1147" w:type="dxa"/>
            <w:tcBorders>
              <w:top w:val="single" w:color="auto" w:sz="8" w:space="0"/>
            </w:tcBorders>
            <w:shd w:val="clear" w:color="auto" w:fill="auto"/>
          </w:tcPr>
          <w:p w14:paraId="62642981">
            <w:pPr>
              <w:pStyle w:val="178"/>
            </w:pPr>
            <w:r>
              <w:rPr>
                <w:rFonts w:hint="eastAsia"/>
              </w:rPr>
              <w:t>无</w:t>
            </w:r>
          </w:p>
        </w:tc>
        <w:tc>
          <w:tcPr>
            <w:tcW w:w="1334" w:type="dxa"/>
            <w:tcBorders>
              <w:top w:val="single" w:color="auto" w:sz="8" w:space="0"/>
            </w:tcBorders>
            <w:shd w:val="clear" w:color="auto" w:fill="auto"/>
          </w:tcPr>
          <w:p w14:paraId="37992B61">
            <w:pPr>
              <w:pStyle w:val="178"/>
            </w:pPr>
            <w:r>
              <w:rPr>
                <w:rFonts w:hint="eastAsia"/>
              </w:rPr>
              <w:t>—</w:t>
            </w:r>
          </w:p>
        </w:tc>
        <w:tc>
          <w:tcPr>
            <w:tcW w:w="1334" w:type="dxa"/>
            <w:tcBorders>
              <w:top w:val="single" w:color="auto" w:sz="8" w:space="0"/>
            </w:tcBorders>
            <w:shd w:val="clear" w:color="auto" w:fill="auto"/>
          </w:tcPr>
          <w:p w14:paraId="0A220933">
            <w:pPr>
              <w:pStyle w:val="178"/>
            </w:pPr>
            <w:r>
              <w:rPr>
                <w:rFonts w:hint="eastAsia"/>
              </w:rPr>
              <w:t>—</w:t>
            </w:r>
          </w:p>
        </w:tc>
      </w:tr>
      <w:tr w14:paraId="47A6A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2" w:type="dxa"/>
            <w:shd w:val="clear" w:color="auto" w:fill="auto"/>
          </w:tcPr>
          <w:p w14:paraId="431E3E31">
            <w:pPr>
              <w:pStyle w:val="178"/>
            </w:pPr>
            <w:r>
              <w:rPr>
                <w:rFonts w:hint="eastAsia"/>
              </w:rPr>
              <w:t>2025-09-27</w:t>
            </w:r>
          </w:p>
        </w:tc>
        <w:tc>
          <w:tcPr>
            <w:tcW w:w="1333" w:type="dxa"/>
            <w:shd w:val="clear" w:color="auto" w:fill="auto"/>
          </w:tcPr>
          <w:p w14:paraId="7A44A940">
            <w:pPr>
              <w:pStyle w:val="178"/>
            </w:pPr>
            <w:r>
              <w:rPr>
                <w:rFonts w:hint="eastAsia"/>
              </w:rPr>
              <w:t>提升机B</w:t>
            </w:r>
          </w:p>
        </w:tc>
        <w:tc>
          <w:tcPr>
            <w:tcW w:w="1153" w:type="dxa"/>
            <w:shd w:val="clear" w:color="auto" w:fill="auto"/>
          </w:tcPr>
          <w:p w14:paraId="371DF915">
            <w:pPr>
              <w:pStyle w:val="178"/>
            </w:pPr>
            <w:r>
              <w:rPr>
                <w:rFonts w:hint="eastAsia"/>
              </w:rPr>
              <w:t>李四</w:t>
            </w:r>
          </w:p>
        </w:tc>
        <w:tc>
          <w:tcPr>
            <w:tcW w:w="1701" w:type="dxa"/>
            <w:shd w:val="clear" w:color="auto" w:fill="auto"/>
          </w:tcPr>
          <w:p w14:paraId="13E965C9">
            <w:pPr>
              <w:pStyle w:val="178"/>
            </w:pPr>
            <w:r>
              <w:rPr>
                <w:rFonts w:hint="eastAsia"/>
              </w:rPr>
              <w:t>温度、速度</w:t>
            </w:r>
          </w:p>
        </w:tc>
        <w:tc>
          <w:tcPr>
            <w:tcW w:w="1147" w:type="dxa"/>
            <w:shd w:val="clear" w:color="auto" w:fill="auto"/>
          </w:tcPr>
          <w:p w14:paraId="7BF28A9C">
            <w:pPr>
              <w:pStyle w:val="178"/>
            </w:pPr>
            <w:r>
              <w:rPr>
                <w:rFonts w:hint="eastAsia"/>
              </w:rPr>
              <w:t>超温报警</w:t>
            </w:r>
          </w:p>
        </w:tc>
        <w:tc>
          <w:tcPr>
            <w:tcW w:w="1334" w:type="dxa"/>
            <w:shd w:val="clear" w:color="auto" w:fill="auto"/>
          </w:tcPr>
          <w:p w14:paraId="22BC8486">
            <w:pPr>
              <w:pStyle w:val="178"/>
            </w:pPr>
            <w:r>
              <w:rPr>
                <w:rFonts w:hint="eastAsia"/>
              </w:rPr>
              <w:t>停机检查</w:t>
            </w:r>
          </w:p>
        </w:tc>
        <w:tc>
          <w:tcPr>
            <w:tcW w:w="1334" w:type="dxa"/>
            <w:shd w:val="clear" w:color="auto" w:fill="auto"/>
          </w:tcPr>
          <w:p w14:paraId="3534DA47">
            <w:pPr>
              <w:pStyle w:val="178"/>
            </w:pPr>
            <w:r>
              <w:rPr>
                <w:rFonts w:hint="eastAsia"/>
              </w:rPr>
              <w:t>已处理</w:t>
            </w:r>
          </w:p>
        </w:tc>
      </w:tr>
    </w:tbl>
    <w:p w14:paraId="0516DC04">
      <w:pPr>
        <w:pStyle w:val="56"/>
        <w:spacing w:before="120" w:beforeLines="50" w:after="120" w:afterLines="50"/>
        <w:ind w:firstLine="0" w:firstLineChars="0"/>
        <w:jc w:val="center"/>
        <w:rPr>
          <w:rFonts w:ascii="黑体" w:hAnsi="黑体" w:eastAsia="黑体"/>
        </w:rPr>
      </w:pPr>
      <w:bookmarkStart w:id="53" w:name="_Toc209866279"/>
      <w:r>
        <w:rPr>
          <w:rFonts w:hint="eastAsia" w:ascii="黑体" w:hAnsi="黑体" w:eastAsia="黑体"/>
        </w:rPr>
        <w:t>表2  运维操作记录示例</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2"/>
        <w:gridCol w:w="1333"/>
        <w:gridCol w:w="1153"/>
        <w:gridCol w:w="1701"/>
        <w:gridCol w:w="1147"/>
        <w:gridCol w:w="1334"/>
        <w:gridCol w:w="1334"/>
      </w:tblGrid>
      <w:tr w14:paraId="34965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32" w:type="dxa"/>
            <w:tcBorders>
              <w:top w:val="single" w:color="auto" w:sz="8" w:space="0"/>
              <w:bottom w:val="single" w:color="auto" w:sz="8" w:space="0"/>
            </w:tcBorders>
            <w:shd w:val="clear" w:color="auto" w:fill="auto"/>
          </w:tcPr>
          <w:p w14:paraId="5903278B">
            <w:pPr>
              <w:pStyle w:val="178"/>
            </w:pPr>
            <w:r>
              <w:rPr>
                <w:rFonts w:hint="eastAsia"/>
              </w:rPr>
              <w:t>日期</w:t>
            </w:r>
          </w:p>
        </w:tc>
        <w:tc>
          <w:tcPr>
            <w:tcW w:w="1333" w:type="dxa"/>
            <w:tcBorders>
              <w:top w:val="single" w:color="auto" w:sz="8" w:space="0"/>
              <w:bottom w:val="single" w:color="auto" w:sz="8" w:space="0"/>
            </w:tcBorders>
            <w:shd w:val="clear" w:color="auto" w:fill="auto"/>
          </w:tcPr>
          <w:p w14:paraId="6910F222">
            <w:pPr>
              <w:pStyle w:val="178"/>
            </w:pPr>
            <w:r>
              <w:rPr>
                <w:rFonts w:hint="eastAsia"/>
              </w:rPr>
              <w:t>设备名称</w:t>
            </w:r>
          </w:p>
        </w:tc>
        <w:tc>
          <w:tcPr>
            <w:tcW w:w="1153" w:type="dxa"/>
            <w:tcBorders>
              <w:top w:val="single" w:color="auto" w:sz="8" w:space="0"/>
              <w:bottom w:val="single" w:color="auto" w:sz="8" w:space="0"/>
            </w:tcBorders>
            <w:shd w:val="clear" w:color="auto" w:fill="auto"/>
          </w:tcPr>
          <w:p w14:paraId="4A25FF1B">
            <w:pPr>
              <w:pStyle w:val="178"/>
            </w:pPr>
            <w:r>
              <w:rPr>
                <w:rFonts w:hint="eastAsia"/>
              </w:rPr>
              <w:t>操作人员</w:t>
            </w:r>
          </w:p>
        </w:tc>
        <w:tc>
          <w:tcPr>
            <w:tcW w:w="1701" w:type="dxa"/>
            <w:tcBorders>
              <w:top w:val="single" w:color="auto" w:sz="8" w:space="0"/>
              <w:bottom w:val="single" w:color="auto" w:sz="8" w:space="0"/>
            </w:tcBorders>
            <w:shd w:val="clear" w:color="auto" w:fill="auto"/>
          </w:tcPr>
          <w:p w14:paraId="2EB89935">
            <w:pPr>
              <w:pStyle w:val="178"/>
            </w:pPr>
            <w:r>
              <w:rPr>
                <w:rFonts w:hint="eastAsia"/>
              </w:rPr>
              <w:t>巡检/监控内容</w:t>
            </w:r>
          </w:p>
        </w:tc>
        <w:tc>
          <w:tcPr>
            <w:tcW w:w="1147" w:type="dxa"/>
            <w:tcBorders>
              <w:top w:val="single" w:color="auto" w:sz="8" w:space="0"/>
              <w:bottom w:val="single" w:color="auto" w:sz="8" w:space="0"/>
            </w:tcBorders>
            <w:shd w:val="clear" w:color="auto" w:fill="auto"/>
          </w:tcPr>
          <w:p w14:paraId="7ADA5D64">
            <w:pPr>
              <w:pStyle w:val="178"/>
            </w:pPr>
            <w:r>
              <w:rPr>
                <w:rFonts w:hint="eastAsia"/>
              </w:rPr>
              <w:t>异常情况</w:t>
            </w:r>
          </w:p>
        </w:tc>
        <w:tc>
          <w:tcPr>
            <w:tcW w:w="1334" w:type="dxa"/>
            <w:tcBorders>
              <w:top w:val="single" w:color="auto" w:sz="8" w:space="0"/>
              <w:bottom w:val="single" w:color="auto" w:sz="8" w:space="0"/>
            </w:tcBorders>
            <w:shd w:val="clear" w:color="auto" w:fill="auto"/>
          </w:tcPr>
          <w:p w14:paraId="263DCF0C">
            <w:pPr>
              <w:pStyle w:val="178"/>
            </w:pPr>
            <w:r>
              <w:rPr>
                <w:rFonts w:hint="eastAsia"/>
              </w:rPr>
              <w:t>故障处理</w:t>
            </w:r>
          </w:p>
        </w:tc>
        <w:tc>
          <w:tcPr>
            <w:tcW w:w="1334" w:type="dxa"/>
            <w:tcBorders>
              <w:top w:val="single" w:color="auto" w:sz="8" w:space="0"/>
              <w:bottom w:val="single" w:color="auto" w:sz="8" w:space="0"/>
            </w:tcBorders>
            <w:shd w:val="clear" w:color="auto" w:fill="auto"/>
          </w:tcPr>
          <w:p w14:paraId="2C3CD3CE">
            <w:pPr>
              <w:pStyle w:val="178"/>
            </w:pPr>
            <w:r>
              <w:rPr>
                <w:rFonts w:hint="eastAsia"/>
              </w:rPr>
              <w:t>备注</w:t>
            </w:r>
          </w:p>
        </w:tc>
      </w:tr>
      <w:tr w14:paraId="34484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2" w:type="dxa"/>
            <w:shd w:val="clear" w:color="auto" w:fill="auto"/>
          </w:tcPr>
          <w:p w14:paraId="1C9EA0FE">
            <w:pPr>
              <w:pStyle w:val="178"/>
            </w:pPr>
            <w:r>
              <w:rPr>
                <w:rFonts w:hint="eastAsia"/>
              </w:rPr>
              <w:t>2025-09-27</w:t>
            </w:r>
          </w:p>
        </w:tc>
        <w:tc>
          <w:tcPr>
            <w:tcW w:w="1333" w:type="dxa"/>
            <w:shd w:val="clear" w:color="auto" w:fill="auto"/>
          </w:tcPr>
          <w:p w14:paraId="0C92FE94">
            <w:pPr>
              <w:pStyle w:val="178"/>
            </w:pPr>
            <w:r>
              <w:rPr>
                <w:rFonts w:hint="eastAsia"/>
              </w:rPr>
              <w:t>输送机C</w:t>
            </w:r>
          </w:p>
        </w:tc>
        <w:tc>
          <w:tcPr>
            <w:tcW w:w="1153" w:type="dxa"/>
            <w:shd w:val="clear" w:color="auto" w:fill="auto"/>
          </w:tcPr>
          <w:p w14:paraId="7E3D201F">
            <w:pPr>
              <w:pStyle w:val="178"/>
            </w:pPr>
            <w:r>
              <w:rPr>
                <w:rFonts w:hint="eastAsia"/>
              </w:rPr>
              <w:t>王五</w:t>
            </w:r>
          </w:p>
        </w:tc>
        <w:tc>
          <w:tcPr>
            <w:tcW w:w="1701" w:type="dxa"/>
            <w:shd w:val="clear" w:color="auto" w:fill="auto"/>
          </w:tcPr>
          <w:p w14:paraId="0A06337C">
            <w:pPr>
              <w:pStyle w:val="178"/>
            </w:pPr>
            <w:r>
              <w:rPr>
                <w:rFonts w:hint="eastAsia"/>
              </w:rPr>
              <w:t>电流、电压</w:t>
            </w:r>
          </w:p>
        </w:tc>
        <w:tc>
          <w:tcPr>
            <w:tcW w:w="1147" w:type="dxa"/>
            <w:shd w:val="clear" w:color="auto" w:fill="auto"/>
          </w:tcPr>
          <w:p w14:paraId="2AF1D704">
            <w:pPr>
              <w:pStyle w:val="178"/>
            </w:pPr>
            <w:r>
              <w:rPr>
                <w:rFonts w:hint="eastAsia"/>
              </w:rPr>
              <w:t>无</w:t>
            </w:r>
          </w:p>
        </w:tc>
        <w:tc>
          <w:tcPr>
            <w:tcW w:w="1334" w:type="dxa"/>
            <w:shd w:val="clear" w:color="auto" w:fill="auto"/>
          </w:tcPr>
          <w:p w14:paraId="1AD28C6C">
            <w:pPr>
              <w:pStyle w:val="178"/>
            </w:pPr>
            <w:r>
              <w:rPr>
                <w:rFonts w:hint="eastAsia"/>
              </w:rPr>
              <w:t>—</w:t>
            </w:r>
          </w:p>
        </w:tc>
        <w:tc>
          <w:tcPr>
            <w:tcW w:w="1334" w:type="dxa"/>
            <w:shd w:val="clear" w:color="auto" w:fill="auto"/>
          </w:tcPr>
          <w:p w14:paraId="1A61C827">
            <w:pPr>
              <w:pStyle w:val="178"/>
            </w:pPr>
            <w:r>
              <w:rPr>
                <w:rFonts w:hint="eastAsia"/>
              </w:rPr>
              <w:t>—</w:t>
            </w:r>
          </w:p>
        </w:tc>
      </w:tr>
    </w:tbl>
    <w:p w14:paraId="5C92C107">
      <w:pPr>
        <w:pStyle w:val="104"/>
        <w:spacing w:before="240" w:after="240" w:line="360" w:lineRule="auto"/>
      </w:pPr>
      <w:r>
        <w:rPr>
          <w:rFonts w:hint="eastAsia"/>
        </w:rPr>
        <w:t>安全管理与注意事项</w:t>
      </w:r>
      <w:bookmarkEnd w:id="53"/>
    </w:p>
    <w:p w14:paraId="076CC7FB">
      <w:pPr>
        <w:pStyle w:val="105"/>
        <w:spacing w:before="120" w:after="120" w:line="360" w:lineRule="auto"/>
      </w:pPr>
      <w:r>
        <w:rPr>
          <w:rFonts w:hint="eastAsia"/>
        </w:rPr>
        <w:t>人员操作安全管理</w:t>
      </w:r>
    </w:p>
    <w:p w14:paraId="0D4C3617">
      <w:pPr>
        <w:pStyle w:val="165"/>
        <w:spacing w:line="360" w:lineRule="auto"/>
      </w:pPr>
      <w:r>
        <w:rPr>
          <w:rFonts w:hint="eastAsia"/>
        </w:rPr>
        <w:t>智能运维操作人员必须经过系统培训和考核，掌握煤矿机电设备的结构、功能、智能控制系统操作流程及安全管理要求。</w:t>
      </w:r>
    </w:p>
    <w:p w14:paraId="7340AD0A">
      <w:pPr>
        <w:pStyle w:val="165"/>
        <w:spacing w:line="360" w:lineRule="auto"/>
      </w:pPr>
      <w:r>
        <w:rPr>
          <w:rFonts w:hint="eastAsia"/>
        </w:rPr>
        <w:t>培训内容应包括理论知识、设备操作演示、智能监控系统使用、故障诊断方法、应急处理和安全防护知识。培训合格后方可上岗，并需定期复训以确保技能和知识更新。</w:t>
      </w:r>
    </w:p>
    <w:p w14:paraId="7227B8A8">
      <w:pPr>
        <w:pStyle w:val="165"/>
        <w:spacing w:line="360" w:lineRule="auto"/>
      </w:pPr>
      <w:r>
        <w:rPr>
          <w:rFonts w:hint="eastAsia"/>
        </w:rPr>
        <w:t>运维操作过程中，人员必须穿戴规定的安全防护装备，包括安全帽、防护鞋、绝缘手套、防护服和必要的呼吸防护装置。</w:t>
      </w:r>
    </w:p>
    <w:p w14:paraId="5DCB4661">
      <w:pPr>
        <w:pStyle w:val="165"/>
        <w:spacing w:line="360" w:lineRule="auto"/>
      </w:pPr>
      <w:r>
        <w:rPr>
          <w:rFonts w:hint="eastAsia"/>
        </w:rPr>
        <w:t>操作人员应熟悉岗位职责和设备状态，严格遵守操作规程，不得擅自修改设备参数或绕过安全联锁装置。</w:t>
      </w:r>
    </w:p>
    <w:p w14:paraId="66618059">
      <w:pPr>
        <w:pStyle w:val="165"/>
        <w:spacing w:line="360" w:lineRule="auto"/>
      </w:pPr>
      <w:r>
        <w:rPr>
          <w:rFonts w:hint="eastAsia"/>
        </w:rPr>
        <w:t>对新入职人员、外来技术人员或实习人员，应安排专职人员监督指导操作，确保操作安全。</w:t>
      </w:r>
    </w:p>
    <w:p w14:paraId="36A4640F">
      <w:pPr>
        <w:pStyle w:val="105"/>
        <w:spacing w:before="120" w:after="120" w:line="360" w:lineRule="auto"/>
      </w:pPr>
      <w:r>
        <w:rPr>
          <w:rFonts w:hint="eastAsia"/>
        </w:rPr>
        <w:t>设备安全管理</w:t>
      </w:r>
    </w:p>
    <w:p w14:paraId="58353FBB">
      <w:pPr>
        <w:pStyle w:val="165"/>
        <w:spacing w:line="360" w:lineRule="auto"/>
      </w:pPr>
      <w:r>
        <w:rPr>
          <w:rFonts w:hint="eastAsia"/>
        </w:rPr>
        <w:t>设备安全管理是智能运维的核心环节。运维单位应建立设备台账，记录设备型号、出厂日期、安装位置、关键部件信息、维护记录和历史故障数据。</w:t>
      </w:r>
    </w:p>
    <w:p w14:paraId="3348F47C">
      <w:pPr>
        <w:pStyle w:val="165"/>
        <w:spacing w:line="360" w:lineRule="auto"/>
      </w:pPr>
      <w:r>
        <w:rPr>
          <w:rFonts w:hint="eastAsia"/>
        </w:rPr>
        <w:t>设备运行前，应进行全面检查，包括动力系统、电气系统、传动机构、液压系统、限位和联锁装置、报警系统及紧急停机装置。</w:t>
      </w:r>
    </w:p>
    <w:p w14:paraId="5B9F6F29">
      <w:pPr>
        <w:pStyle w:val="165"/>
        <w:spacing w:line="360" w:lineRule="auto"/>
      </w:pPr>
      <w:r>
        <w:rPr>
          <w:rFonts w:hint="eastAsia"/>
        </w:rPr>
        <w:t>发现异常部件应立即停机处理，并按规定程序进行维修或更换，同时在设备台账中详细记录处理情况。</w:t>
      </w:r>
    </w:p>
    <w:p w14:paraId="094AB1B2">
      <w:pPr>
        <w:pStyle w:val="165"/>
        <w:spacing w:line="360" w:lineRule="auto"/>
      </w:pPr>
      <w:r>
        <w:rPr>
          <w:rFonts w:hint="eastAsia"/>
        </w:rPr>
        <w:t>设备维护和检修应依据周期性计划和实际运行情况进行，重点关注关键部件的磨损、润滑状况、传动松动、线路绝缘状态以及传感器灵敏度。</w:t>
      </w:r>
    </w:p>
    <w:p w14:paraId="3AC7553E">
      <w:pPr>
        <w:pStyle w:val="165"/>
        <w:spacing w:line="360" w:lineRule="auto"/>
      </w:pPr>
      <w:r>
        <w:rPr>
          <w:rFonts w:hint="eastAsia"/>
        </w:rPr>
        <w:t>智能运维系统软件应保持更新，修复系统漏洞，并定期备份数据，确保设备在控制系统、监控平台和自动化装置协同下稳定可靠运行。</w:t>
      </w:r>
    </w:p>
    <w:p w14:paraId="766A5655">
      <w:pPr>
        <w:pStyle w:val="105"/>
        <w:spacing w:before="120" w:after="120" w:line="360" w:lineRule="auto"/>
      </w:pPr>
      <w:r>
        <w:rPr>
          <w:rFonts w:hint="eastAsia"/>
        </w:rPr>
        <w:t>监测与报警安全</w:t>
      </w:r>
    </w:p>
    <w:p w14:paraId="5C323859">
      <w:pPr>
        <w:pStyle w:val="165"/>
        <w:spacing w:line="360" w:lineRule="auto"/>
      </w:pPr>
      <w:r>
        <w:rPr>
          <w:rFonts w:hint="eastAsia"/>
        </w:rPr>
        <w:t>智能运维依赖监测平台、传感器网络和数据采集系统的稳定运行，必须保证数据传输及时、准确和完整。</w:t>
      </w:r>
    </w:p>
    <w:p w14:paraId="58501041">
      <w:pPr>
        <w:pStyle w:val="165"/>
        <w:spacing w:line="360" w:lineRule="auto"/>
      </w:pPr>
      <w:r>
        <w:rPr>
          <w:rFonts w:hint="eastAsia"/>
        </w:rPr>
        <w:t>监测设备应定期校验，包括信号灵敏度、测量精度及采集稳定性。</w:t>
      </w:r>
    </w:p>
    <w:p w14:paraId="687F032C">
      <w:pPr>
        <w:pStyle w:val="165"/>
        <w:spacing w:line="360" w:lineRule="auto"/>
      </w:pPr>
      <w:r>
        <w:rPr>
          <w:rFonts w:hint="eastAsia"/>
        </w:rPr>
        <w:t>关键参数如负载、电流、电压、温度、振动、速度及环境参数，应设定合理阈值，超过阈值时系统应立即报警，并触发安全联锁动作。</w:t>
      </w:r>
    </w:p>
    <w:p w14:paraId="3769D3BE">
      <w:pPr>
        <w:pStyle w:val="165"/>
        <w:spacing w:line="360" w:lineRule="auto"/>
      </w:pPr>
      <w:r>
        <w:rPr>
          <w:rFonts w:hint="eastAsia"/>
        </w:rPr>
        <w:t>运维人员接到报警信息后，应立即确认异常原因，通过远程监控和现场巡检结合的方法进行分析，判断是否需要停机或采取其他防护措施。</w:t>
      </w:r>
    </w:p>
    <w:p w14:paraId="6448BD6C">
      <w:pPr>
        <w:pStyle w:val="165"/>
        <w:spacing w:line="360" w:lineRule="auto"/>
      </w:pPr>
      <w:r>
        <w:rPr>
          <w:rFonts w:hint="eastAsia"/>
        </w:rPr>
        <w:t>监控平台应提供多级报警功能，包括声音、光信号及信息推送至操作终端，确保在各种工况下异常信息能够第一时间传递给操作人员。</w:t>
      </w:r>
    </w:p>
    <w:p w14:paraId="3B51A9A3">
      <w:pPr>
        <w:pStyle w:val="105"/>
        <w:spacing w:before="120" w:after="120" w:line="360" w:lineRule="auto"/>
      </w:pPr>
      <w:r>
        <w:rPr>
          <w:rFonts w:hint="eastAsia"/>
        </w:rPr>
        <w:t>环境安全管理</w:t>
      </w:r>
    </w:p>
    <w:p w14:paraId="45E51A7B">
      <w:pPr>
        <w:pStyle w:val="165"/>
        <w:spacing w:line="360" w:lineRule="auto"/>
      </w:pPr>
      <w:r>
        <w:rPr>
          <w:rFonts w:hint="eastAsia"/>
        </w:rPr>
        <w:t>智能运维操作及设备运行应综合考虑矿井环境安全，包括通风、照明、防尘、防水及温湿度控制。作业区域应保持整洁、通道畅通，避免杂物阻碍操作或影响设备安全。</w:t>
      </w:r>
    </w:p>
    <w:p w14:paraId="47799722">
      <w:pPr>
        <w:pStyle w:val="165"/>
        <w:spacing w:line="360" w:lineRule="auto"/>
      </w:pPr>
      <w:r>
        <w:rPr>
          <w:rFonts w:hint="eastAsia"/>
        </w:rPr>
        <w:t>高风险区域应设置警示标识和隔离防护设施，禁止非运维人员进入。</w:t>
      </w:r>
    </w:p>
    <w:p w14:paraId="46E5B87E">
      <w:pPr>
        <w:pStyle w:val="165"/>
        <w:spacing w:line="360" w:lineRule="auto"/>
      </w:pPr>
      <w:r>
        <w:rPr>
          <w:rFonts w:hint="eastAsia"/>
        </w:rPr>
        <w:t>对于水淹、粉尘超标、高温、高湿或有害气体环境，应采取相应防护措施，如局部通风、除尘设备、防护屏障或安全隔离，以确保人员和设备安全。</w:t>
      </w:r>
    </w:p>
    <w:p w14:paraId="3649A3B8">
      <w:pPr>
        <w:pStyle w:val="105"/>
        <w:spacing w:before="120" w:after="120" w:line="360" w:lineRule="auto"/>
      </w:pPr>
      <w:r>
        <w:rPr>
          <w:rFonts w:hint="eastAsia"/>
        </w:rPr>
        <w:t>应急管理与处理</w:t>
      </w:r>
    </w:p>
    <w:p w14:paraId="39112140">
      <w:pPr>
        <w:pStyle w:val="165"/>
        <w:spacing w:line="360" w:lineRule="auto"/>
      </w:pPr>
      <w:r>
        <w:rPr>
          <w:rFonts w:hint="eastAsia"/>
        </w:rPr>
        <w:t>运维单位应建立完善的应急管理体系，包括设备故障、控制系统失效、电气事故、火灾、瓦斯泄漏及突发环境异常等情况。</w:t>
      </w:r>
    </w:p>
    <w:p w14:paraId="421A899C">
      <w:pPr>
        <w:pStyle w:val="165"/>
        <w:spacing w:line="360" w:lineRule="auto"/>
      </w:pPr>
      <w:r>
        <w:rPr>
          <w:rFonts w:hint="eastAsia"/>
        </w:rPr>
        <w:t>应急预案应明确应急组织架构、岗位职责、操作流程、通信渠道及事件处理步骤，并定期进行应急演练。演练应模拟多种工况和突发事件，提升操作人员应急反应能力和现场处置能力。</w:t>
      </w:r>
    </w:p>
    <w:p w14:paraId="0A705254">
      <w:pPr>
        <w:pStyle w:val="165"/>
        <w:spacing w:line="360" w:lineRule="auto"/>
      </w:pPr>
      <w:r>
        <w:rPr>
          <w:rFonts w:hint="eastAsia"/>
        </w:rPr>
        <w:t>应急处理过程中应严格按照操作规程执行，包括切断动力、停机操作、触发安全联锁、疏散人员、环境隔离及事故记录。应急事件处理完成后，应对事件原因、处理效果和经验教训进行总结，形成改进措施，完善操作规范和安全管理流程。</w:t>
      </w:r>
    </w:p>
    <w:p w14:paraId="02AA952A">
      <w:pPr>
        <w:pStyle w:val="105"/>
        <w:spacing w:before="120" w:after="120" w:line="360" w:lineRule="auto"/>
      </w:pPr>
      <w:r>
        <w:rPr>
          <w:rFonts w:hint="eastAsia"/>
        </w:rPr>
        <w:t>操作记录与数据管理</w:t>
      </w:r>
    </w:p>
    <w:p w14:paraId="2EAE4F18">
      <w:pPr>
        <w:pStyle w:val="165"/>
        <w:spacing w:line="360" w:lineRule="auto"/>
      </w:pPr>
      <w:r>
        <w:rPr>
          <w:rFonts w:hint="eastAsia"/>
        </w:rPr>
        <w:t>所有智能运维操作必须形成完整、规范的操作记录，包括巡检日志、监控数据、故障诊断结果、维护保养记录及应急处理情况。</w:t>
      </w:r>
    </w:p>
    <w:p w14:paraId="65290E93">
      <w:pPr>
        <w:pStyle w:val="165"/>
        <w:spacing w:line="360" w:lineRule="auto"/>
      </w:pPr>
      <w:r>
        <w:rPr>
          <w:rFonts w:hint="eastAsia"/>
        </w:rPr>
        <w:t>操作记录应及时汇总，形成运维报告，用于设备管理、生产安全评估和智能运维优化。记录应保证数据真实性、完整性和可追溯性，为分析潜在风险、优化维护计划和改进操作方法提供依据。</w:t>
      </w:r>
    </w:p>
    <w:p w14:paraId="53D3A186">
      <w:pPr>
        <w:pStyle w:val="105"/>
        <w:spacing w:before="120" w:after="120" w:line="360" w:lineRule="auto"/>
      </w:pPr>
      <w:r>
        <w:rPr>
          <w:rFonts w:hint="eastAsia"/>
        </w:rPr>
        <w:t>安全风险评估与持续改进</w:t>
      </w:r>
    </w:p>
    <w:p w14:paraId="20512369">
      <w:pPr>
        <w:pStyle w:val="165"/>
        <w:spacing w:line="360" w:lineRule="auto"/>
      </w:pPr>
      <w:r>
        <w:rPr>
          <w:rFonts w:hint="eastAsia"/>
        </w:rPr>
        <w:t>运维单位应建立动态安全风险评估机制，综合考虑设备运行状态、操作行为、环境条件及历史故障数据，评估潜在风险等级。并根据风险评估结果，调整操作计划、巡检频次、维护措施和应急预案。</w:t>
      </w:r>
    </w:p>
    <w:p w14:paraId="78E87435">
      <w:pPr>
        <w:pStyle w:val="165"/>
        <w:spacing w:line="360" w:lineRule="auto"/>
      </w:pPr>
      <w:r>
        <w:rPr>
          <w:rFonts w:hint="eastAsia"/>
        </w:rPr>
        <w:t>应持续改进操作规程、培训内容、技术手段及管理措施，提升智能运维操作的安全性和效率，降低事故发生率，确保煤矿生产长期安全稳定。</w:t>
      </w:r>
    </w:p>
    <w:p w14:paraId="24D524C5">
      <w:pPr>
        <w:pStyle w:val="105"/>
        <w:spacing w:before="120" w:after="120" w:line="360" w:lineRule="auto"/>
      </w:pPr>
      <w:r>
        <w:rPr>
          <w:rFonts w:hint="eastAsia"/>
        </w:rPr>
        <w:t>人员培训与考核</w:t>
      </w:r>
    </w:p>
    <w:p w14:paraId="70D0DE16">
      <w:pPr>
        <w:pStyle w:val="165"/>
        <w:spacing w:line="360" w:lineRule="auto"/>
      </w:pPr>
      <w:r>
        <w:rPr>
          <w:rFonts w:hint="eastAsia"/>
        </w:rPr>
        <w:t>运维单位应建立智能运维操作人员培训与考核制度，培训内容应涵盖设备结构、控制系统、监测平台使用、故障诊断、预测性维护、应急处理及安全管理知识。</w:t>
      </w:r>
    </w:p>
    <w:p w14:paraId="799D57EF">
      <w:pPr>
        <w:pStyle w:val="165"/>
        <w:spacing w:line="360" w:lineRule="auto"/>
      </w:pPr>
      <w:r>
        <w:rPr>
          <w:rFonts w:hint="eastAsia"/>
        </w:rPr>
        <w:t>考核合格后方可独立操作，考核结果应记录在案，并与人员岗位职责挂钩。培训和考核应定期进行更新，以适应设备技术升级和新型风险管理需求。</w:t>
      </w:r>
    </w:p>
    <w:bookmarkEnd w:id="26"/>
    <w:p w14:paraId="1A34EEB9">
      <w:pPr>
        <w:pStyle w:val="56"/>
        <w:ind w:firstLine="0" w:firstLineChars="0"/>
        <w:jc w:val="center"/>
      </w:pPr>
      <w:bookmarkStart w:id="54" w:name="BookMark8"/>
      <w:r>
        <w:drawing>
          <wp:inline distT="0" distB="0" distL="0" distR="0">
            <wp:extent cx="1485900" cy="317500"/>
            <wp:effectExtent l="0" t="0" r="0" b="6350"/>
            <wp:docPr id="1837927751" name="图片 1"/>
            <wp:cNvGraphicFramePr/>
            <a:graphic xmlns:a="http://schemas.openxmlformats.org/drawingml/2006/main">
              <a:graphicData uri="http://schemas.openxmlformats.org/drawingml/2006/picture">
                <pic:pic xmlns:pic="http://schemas.openxmlformats.org/drawingml/2006/picture">
                  <pic:nvPicPr>
                    <pic:cNvPr id="1837927751"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5266">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FF148">
    <w:pPr>
      <w:pStyle w:val="51"/>
    </w:pPr>
    <w:r>
      <w:fldChar w:fldCharType="begin"/>
    </w:r>
    <w:r>
      <w:instrText xml:space="preserve"> PAGE   \* MERGEFORMAT \* MERGEFORMAT </w:instrText>
    </w:r>
    <w:r>
      <w:fldChar w:fldCharType="separate"/>
    </w:r>
    <w: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A636B">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0FCEB">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D3857">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84923">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360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E0EE">
    <w:pPr>
      <w:pStyle w:val="62"/>
    </w:pPr>
    <w:r>
      <w:fldChar w:fldCharType="begin"/>
    </w:r>
    <w:r>
      <w:instrText xml:space="preserve"> STYLEREF  标准文件_文件编号 \* MERGEFORMAT </w:instrText>
    </w:r>
    <w:r>
      <w:fldChar w:fldCharType="separate"/>
    </w:r>
    <w:r>
      <w:t>T/XJBX 0087—2025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F8892">
    <w:pPr>
      <w:pStyle w:val="61"/>
    </w:pPr>
    <w:r>
      <w:fldChar w:fldCharType="begin"/>
    </w:r>
    <w:r>
      <w:instrText xml:space="preserve"> STYLEREF  标准文件_文件编号  \* MERGEFORMAT </w:instrText>
    </w:r>
    <w:r>
      <w:fldChar w:fldCharType="separate"/>
    </w:r>
    <w:r>
      <w:t>T/XJBX 0087—2025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F0D43">
    <w:pPr>
      <w:pStyle w:val="62"/>
    </w:pPr>
    <w:r>
      <w:fldChar w:fldCharType="begin"/>
    </w:r>
    <w:r>
      <w:instrText xml:space="preserve"> STYLEREF  标准文件_文件编号 \* MERGEFORMAT </w:instrText>
    </w:r>
    <w:r>
      <w:fldChar w:fldCharType="separate"/>
    </w:r>
    <w:r>
      <w:t>T/XJBX 0087—2025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0087—2025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0087—2025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AEC24">
    <w:pPr>
      <w:pStyle w:val="61"/>
    </w:pPr>
    <w:r>
      <w:fldChar w:fldCharType="begin"/>
    </w:r>
    <w:r>
      <w:instrText xml:space="preserve"> STYLEREF  标准文件_文件编号  \* MERGEFORMAT </w:instrText>
    </w:r>
    <w:r>
      <w:fldChar w:fldCharType="separate"/>
    </w:r>
    <w:r>
      <w:t>T/XJBX 0087—2025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B235">
    <w:pPr>
      <w:pStyle w:val="62"/>
    </w:pPr>
    <w:r>
      <w:fldChar w:fldCharType="begin"/>
    </w:r>
    <w:r>
      <w:instrText xml:space="preserve"> STYLEREF  标准文件_文件编号 \* MERGEFORMAT </w:instrText>
    </w:r>
    <w:r>
      <w:fldChar w:fldCharType="separate"/>
    </w:r>
    <w:r>
      <w:t>T/XJBX 0087—2025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5C01">
    <w:pPr>
      <w:pStyle w:val="61"/>
    </w:pPr>
    <w:r>
      <w:fldChar w:fldCharType="begin"/>
    </w:r>
    <w:r>
      <w:instrText xml:space="preserve"> STYLEREF  标准文件_文件编号  \* MERGEFORMAT </w:instrText>
    </w:r>
    <w:r>
      <w:fldChar w:fldCharType="separate"/>
    </w:r>
    <w:r>
      <w:t>T/XJBX 0087—2025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47C"/>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A17"/>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329"/>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405"/>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23D"/>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10D"/>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12F8"/>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3317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260F8565">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65AF10EA">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760FEDF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4401BE"/>
    <w:rsid w:val="008A4D07"/>
    <w:rsid w:val="009B6447"/>
    <w:rsid w:val="00AB5133"/>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5057</Words>
  <Characters>5423</Characters>
  <Lines>46</Lines>
  <Paragraphs>13</Paragraphs>
  <TotalTime>56</TotalTime>
  <ScaleCrop>false</ScaleCrop>
  <LinksUpToDate>false</LinksUpToDate>
  <CharactersWithSpaces>5514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2025-09-28T03:23:32Z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56EF49363AFD4FF6BE0BAA6697128372_12</vt:lpwstr>
  </property>
</Properties>
</file>