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11.020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42"/>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42</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8"/>
            </w:textInput>
          </w:ffData>
        </w:fldChar>
      </w:r>
      <w:bookmarkStart w:id="6" w:name="NSTD_CODE_F"/>
      <w:r>
        <w:instrText xml:space="preserve"> FORMTEXT </w:instrText>
      </w:r>
      <w:r>
        <w:fldChar w:fldCharType="separate"/>
      </w:r>
      <w:r>
        <w:t>0088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高压氧治疗多学科协作诊疗指南"/>
            </w:textInput>
          </w:ffData>
        </w:fldChar>
      </w:r>
      <w:bookmarkStart w:id="9" w:name="CSTD_NAME"/>
      <w:r>
        <w:instrText xml:space="preserve"> FORMTEXT </w:instrText>
      </w:r>
      <w:r>
        <w:fldChar w:fldCharType="separate"/>
      </w:r>
      <w:r>
        <w:t>高压氧治疗多学科协作诊疗指南</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multidisciplinary collaborative diagnosis and treatment in hyperbaric oxygen therap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multidisciplinary collaborative diagnosis and treatment in hyperbaric oxygen therapy</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40FCB62">
      <w:pPr>
        <w:pStyle w:val="91"/>
        <w:spacing w:after="360"/>
      </w:pPr>
      <w:bookmarkStart w:id="21" w:name="BookMark1"/>
      <w:bookmarkStart w:id="22" w:name="_Toc209877054"/>
      <w:r>
        <w:rPr>
          <w:rFonts w:hint="eastAsia"/>
          <w:spacing w:val="320"/>
        </w:rPr>
        <w:t>目</w:t>
      </w:r>
      <w:r>
        <w:rPr>
          <w:rFonts w:hint="eastAsia"/>
        </w:rPr>
        <w:t>次</w:t>
      </w:r>
    </w:p>
    <w:p w14:paraId="11C9E47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"_Toc209877228" </w:instrText>
      </w:r>
      <w:r>
        <w:fldChar w:fldCharType="separate"/>
      </w:r>
      <w:r>
        <w:rPr>
          <w:rStyle w:val="32"/>
        </w:rPr>
        <w:t>前言</w:t>
      </w:r>
      <w:r>
        <w:tab/>
      </w:r>
      <w:r>
        <w:fldChar w:fldCharType="begin"/>
      </w:r>
      <w:r>
        <w:instrText xml:space="preserve"> PAGEREF _Toc209877228 \h </w:instrText>
      </w:r>
      <w:r>
        <w:fldChar w:fldCharType="separate"/>
      </w:r>
      <w:r>
        <w:t>III</w:t>
      </w:r>
      <w:r>
        <w:fldChar w:fldCharType="end"/>
      </w:r>
      <w:r>
        <w:fldChar w:fldCharType="end"/>
      </w:r>
    </w:p>
    <w:p w14:paraId="094E992D">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"_Toc209877229" </w:instrText>
      </w:r>
      <w:r>
        <w:fldChar w:fldCharType="separate"/>
      </w:r>
      <w:r>
        <w:rPr>
          <w:rStyle w:val="32"/>
        </w:rPr>
        <w:t>引言</w:t>
      </w:r>
      <w:r>
        <w:tab/>
      </w:r>
      <w:r>
        <w:fldChar w:fldCharType="begin"/>
      </w:r>
      <w:r>
        <w:instrText xml:space="preserve"> PAGEREF _Toc209877229 \h </w:instrText>
      </w:r>
      <w:r>
        <w:fldChar w:fldCharType="separate"/>
      </w:r>
      <w:r>
        <w:t>V</w:t>
      </w:r>
      <w:r>
        <w:fldChar w:fldCharType="end"/>
      </w:r>
      <w:r>
        <w:fldChar w:fldCharType="end"/>
      </w:r>
    </w:p>
    <w:p w14:paraId="27571510">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"_Toc209877230" </w:instrText>
      </w:r>
      <w:r>
        <w:fldChar w:fldCharType="separate"/>
      </w:r>
      <w:r>
        <w:rPr>
          <w:rStyle w:val="32"/>
        </w:rPr>
        <w:t>1  范围</w:t>
      </w:r>
      <w:r>
        <w:tab/>
      </w:r>
      <w:r>
        <w:fldChar w:fldCharType="begin"/>
      </w:r>
      <w:r>
        <w:instrText xml:space="preserve"> PAGEREF _Toc209877230 \h </w:instrText>
      </w:r>
      <w:r>
        <w:fldChar w:fldCharType="separate"/>
      </w:r>
      <w:r>
        <w:t>1</w:t>
      </w:r>
      <w:r>
        <w:fldChar w:fldCharType="end"/>
      </w:r>
      <w:r>
        <w:fldChar w:fldCharType="end"/>
      </w:r>
    </w:p>
    <w:p w14:paraId="52CFC5C0">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"_Toc209877231" </w:instrText>
      </w:r>
      <w:r>
        <w:fldChar w:fldCharType="separate"/>
      </w:r>
      <w:r>
        <w:rPr>
          <w:rStyle w:val="32"/>
        </w:rPr>
        <w:t>2  规范性引用文件</w:t>
      </w:r>
      <w:r>
        <w:tab/>
      </w:r>
      <w:r>
        <w:fldChar w:fldCharType="begin"/>
      </w:r>
      <w:r>
        <w:instrText xml:space="preserve"> PAGEREF _Toc209877231 \h </w:instrText>
      </w:r>
      <w:r>
        <w:fldChar w:fldCharType="separate"/>
      </w:r>
      <w:r>
        <w:t>1</w:t>
      </w:r>
      <w:r>
        <w:fldChar w:fldCharType="end"/>
      </w:r>
      <w:r>
        <w:fldChar w:fldCharType="end"/>
      </w:r>
    </w:p>
    <w:p w14:paraId="07E246C6">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"_Toc209877232" </w:instrText>
      </w:r>
      <w:r>
        <w:fldChar w:fldCharType="separate"/>
      </w:r>
      <w:r>
        <w:rPr>
          <w:rStyle w:val="32"/>
        </w:rPr>
        <w:t>3  术语和定义</w:t>
      </w:r>
      <w:r>
        <w:tab/>
      </w:r>
      <w:r>
        <w:fldChar w:fldCharType="begin"/>
      </w:r>
      <w:r>
        <w:instrText xml:space="preserve"> PAGEREF _Toc209877232 \h </w:instrText>
      </w:r>
      <w:r>
        <w:fldChar w:fldCharType="separate"/>
      </w:r>
      <w:r>
        <w:t>1</w:t>
      </w:r>
      <w:r>
        <w:fldChar w:fldCharType="end"/>
      </w:r>
      <w:r>
        <w:fldChar w:fldCharType="end"/>
      </w:r>
    </w:p>
    <w:p w14:paraId="0EC1BC40">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"_Toc209877233" </w:instrText>
      </w:r>
      <w:r>
        <w:fldChar w:fldCharType="separate"/>
      </w:r>
      <w:r>
        <w:rPr>
          <w:rStyle w:val="32"/>
        </w:rPr>
        <w:t>4  总体原则</w:t>
      </w:r>
      <w:r>
        <w:tab/>
      </w:r>
      <w:r>
        <w:fldChar w:fldCharType="begin"/>
      </w:r>
      <w:r>
        <w:instrText xml:space="preserve"> PAGEREF _Toc209877233 \h </w:instrText>
      </w:r>
      <w:r>
        <w:fldChar w:fldCharType="separate"/>
      </w:r>
      <w:r>
        <w:t>2</w:t>
      </w:r>
      <w:r>
        <w:fldChar w:fldCharType="end"/>
      </w:r>
      <w:r>
        <w:fldChar w:fldCharType="end"/>
      </w:r>
    </w:p>
    <w:p w14:paraId="395F9E12">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"_Toc209877234" </w:instrText>
      </w:r>
      <w:r>
        <w:fldChar w:fldCharType="separate"/>
      </w:r>
      <w:r>
        <w:rPr>
          <w:rStyle w:val="32"/>
        </w:rPr>
        <w:t>5  治疗操作流程与要求</w:t>
      </w:r>
      <w:r>
        <w:tab/>
      </w:r>
      <w:r>
        <w:fldChar w:fldCharType="begin"/>
      </w:r>
      <w:r>
        <w:instrText xml:space="preserve"> PAGEREF _Toc209877234 \h </w:instrText>
      </w:r>
      <w:r>
        <w:fldChar w:fldCharType="separate"/>
      </w:r>
      <w:r>
        <w:t>3</w:t>
      </w:r>
      <w:r>
        <w:fldChar w:fldCharType="end"/>
      </w:r>
      <w:r>
        <w:fldChar w:fldCharType="end"/>
      </w:r>
    </w:p>
    <w:p w14:paraId="243FE292">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"_Toc209877235" </w:instrText>
      </w:r>
      <w:r>
        <w:fldChar w:fldCharType="separate"/>
      </w:r>
      <w:r>
        <w:rPr>
          <w:rStyle w:val="32"/>
        </w:rPr>
        <w:t>6  并发症管理与安全防护</w:t>
      </w:r>
      <w:r>
        <w:tab/>
      </w:r>
      <w:r>
        <w:fldChar w:fldCharType="begin"/>
      </w:r>
      <w:r>
        <w:instrText xml:space="preserve"> PAGEREF _Toc209877235 \h </w:instrText>
      </w:r>
      <w:r>
        <w:fldChar w:fldCharType="separate"/>
      </w:r>
      <w:r>
        <w:t>4</w:t>
      </w:r>
      <w:r>
        <w:fldChar w:fldCharType="end"/>
      </w:r>
      <w:r>
        <w:fldChar w:fldCharType="end"/>
      </w:r>
    </w:p>
    <w:p w14:paraId="41E3C033">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"_Toc209877236" </w:instrText>
      </w:r>
      <w:r>
        <w:fldChar w:fldCharType="separate"/>
      </w:r>
      <w:r>
        <w:rPr>
          <w:rStyle w:val="32"/>
        </w:rPr>
        <w:t>7  随访与疗效评价</w:t>
      </w:r>
      <w:r>
        <w:tab/>
      </w:r>
      <w:r>
        <w:fldChar w:fldCharType="begin"/>
      </w:r>
      <w:r>
        <w:instrText xml:space="preserve"> PAGEREF _Toc209877236 \h </w:instrText>
      </w:r>
      <w:r>
        <w:fldChar w:fldCharType="separate"/>
      </w:r>
      <w:r>
        <w:t>5</w:t>
      </w:r>
      <w:r>
        <w:fldChar w:fldCharType="end"/>
      </w:r>
      <w:r>
        <w:fldChar w:fldCharType="end"/>
      </w:r>
    </w:p>
    <w:p w14:paraId="5951311A">
      <w:pPr>
        <w:pStyle w:val="19"/>
        <w:tabs>
          <w:tab w:val="right" w:leader="dot" w:pos="9344"/>
        </w:tabs>
        <w:rPr>
          <w:rFonts w:asciiTheme="minorHAnsi" w:hAnsiTheme="minorHAnsi" w:eastAsiaTheme="minorEastAsia" w:cstheme="minorBidi"/>
          <w:szCs w:val="22"/>
        </w:rPr>
      </w:pPr>
      <w:r>
        <w:fldChar w:fldCharType="begin"/>
      </w:r>
      <w:r>
        <w:instrText xml:space="preserve"> HYPERLINK \l "_Toc209877237" </w:instrText>
      </w:r>
      <w:r>
        <w:fldChar w:fldCharType="separate"/>
      </w:r>
      <w:r>
        <w:rPr>
          <w:rStyle w:val="32"/>
        </w:rPr>
        <w:t>参考文献</w:t>
      </w:r>
      <w:r>
        <w:tab/>
      </w:r>
      <w:r>
        <w:fldChar w:fldCharType="begin"/>
      </w:r>
      <w:r>
        <w:instrText xml:space="preserve"> PAGEREF _Toc209877237 \h </w:instrText>
      </w:r>
      <w:r>
        <w:fldChar w:fldCharType="separate"/>
      </w:r>
      <w:r>
        <w:t>7</w:t>
      </w:r>
      <w:r>
        <w:fldChar w:fldCharType="end"/>
      </w:r>
      <w:r>
        <w:fldChar w:fldCharType="end"/>
      </w:r>
    </w:p>
    <w:p w14:paraId="115BA186">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877228"/>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432C5BB5">
      <w:pPr>
        <w:pStyle w:val="56"/>
        <w:spacing w:line="360" w:lineRule="auto"/>
        <w:ind w:firstLine="420"/>
      </w:pPr>
      <w:r>
        <w:rPr>
          <w:rFonts w:hint="eastAsia"/>
        </w:rPr>
        <w:t>本文件起草单位：天津市肿瘤医院秦皇岛医院。</w:t>
      </w:r>
    </w:p>
    <w:p w14:paraId="42BC1C2C">
      <w:pPr>
        <w:pStyle w:val="56"/>
        <w:spacing w:line="360" w:lineRule="auto"/>
        <w:ind w:left="210" w:leftChars="100" w:firstLine="210" w:firstLineChars="100"/>
      </w:pPr>
      <w:r>
        <w:rPr>
          <w:rFonts w:hint="eastAsia"/>
        </w:rPr>
        <w:t>本文件主要起草人：邸坤艳。</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4"/>
    <w:p w14:paraId="4104DD8B">
      <w:pPr>
        <w:pStyle w:val="89"/>
        <w:spacing w:after="360"/>
      </w:pPr>
      <w:bookmarkStart w:id="25" w:name="_Toc209877055"/>
      <w:bookmarkStart w:id="26" w:name="_Toc209877229"/>
      <w:bookmarkStart w:id="27" w:name="BookMark3"/>
      <w:r>
        <w:rPr>
          <w:spacing w:val="320"/>
        </w:rPr>
        <w:t>引</w:t>
      </w:r>
      <w:r>
        <w:t>言</w:t>
      </w:r>
      <w:bookmarkEnd w:id="25"/>
      <w:bookmarkEnd w:id="26"/>
    </w:p>
    <w:p w14:paraId="062C8F66">
      <w:pPr>
        <w:pStyle w:val="56"/>
        <w:spacing w:line="360" w:lineRule="auto"/>
        <w:ind w:firstLine="420"/>
      </w:pPr>
      <w:r>
        <w:rPr>
          <w:rFonts w:hint="eastAsia"/>
        </w:rPr>
        <w:t>高压氧治疗（hyperbaric oxygen therapy, HBOT）是通过在高于常压的环境下吸入纯氧或高浓度氧气，以增加血氧分压、改善组织缺氧状态、促进组织修复和再生的医疗技术。近年来，随着高压氧治疗在创伤、感染性疾病、神经系统疾病、放射损伤及慢性缺血性疾病等方面应用的拓展，其在临床多学科协作诊疗中的重要性愈加突出。</w:t>
      </w:r>
    </w:p>
    <w:p w14:paraId="090CBF8F">
      <w:pPr>
        <w:pStyle w:val="56"/>
        <w:spacing w:line="360" w:lineRule="auto"/>
        <w:ind w:firstLine="420"/>
      </w:pPr>
      <w:r>
        <w:rPr>
          <w:rFonts w:hint="eastAsia"/>
        </w:rPr>
        <w:t>在临床实践中，高压氧治疗涉及多学科的综合管理，包括呼吸科、心血管科、神经科、骨科、皮肤科、重症医学科及康复科等。不同学科在患者评估、治疗指征判断、治疗方案制定、并发症防控及疗效评价方面发挥各自专业优势。多学科协作可以优化治疗效果、降低风险、缩短康复周期，并提高患者的整体获益。</w:t>
      </w:r>
    </w:p>
    <w:p w14:paraId="0D4E512F">
      <w:pPr>
        <w:pStyle w:val="56"/>
        <w:spacing w:line="360" w:lineRule="auto"/>
        <w:ind w:firstLine="420"/>
      </w:pPr>
      <w:r>
        <w:rPr>
          <w:rFonts w:hint="eastAsia"/>
        </w:rPr>
        <w:t>然而，当前临床实践中高压氧治疗的流程尚存在标准不统一、协作机制不完善、风险管理缺乏规范的问题。不同医院和科室在患者评估、治疗剂量、疗程安排及随访管理方面存在差异，可能导致治疗效果不一致甚至增加安全风险。为此，制定本文件旨在规范高压氧治疗的临床操作流程和多学科协作模式，明确治疗指征、禁忌、疗程及安全管理要求，提供系统的临床指导意见。</w:t>
      </w:r>
    </w:p>
    <w:p w14:paraId="42EAE8EF">
      <w:pPr>
        <w:pStyle w:val="56"/>
        <w:spacing w:line="360" w:lineRule="auto"/>
        <w:ind w:firstLine="420"/>
      </w:pPr>
      <w:r>
        <w:rPr>
          <w:rFonts w:hint="eastAsia"/>
        </w:rPr>
        <w:t>本文件适用于各级医疗机构开展高压氧治疗的多学科协作诊疗实践，指导临床医生、护士、技师及相关医务人员在诊疗过程中进行科学决策和协同管理。通过统一规范、科学操作和多学科协作，有助于提升高压氧治疗的安全性、有效性和可操作性，推动高压氧治疗在临床多领域的合理应用。</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高压氧治疗多学科协作诊疗指南</w:t>
          </w:r>
        </w:p>
      </w:sdtContent>
    </w:sdt>
    <w:bookmarkEnd w:id="29"/>
    <w:p w14:paraId="153BF6ED">
      <w:pPr>
        <w:pStyle w:val="104"/>
        <w:spacing w:before="240" w:after="240" w:line="360" w:lineRule="auto"/>
      </w:pPr>
      <w:bookmarkStart w:id="30" w:name="_Toc24884211"/>
      <w:bookmarkStart w:id="31" w:name="_Toc17233333"/>
      <w:bookmarkStart w:id="32" w:name="_Toc24884218"/>
      <w:bookmarkStart w:id="33" w:name="_Toc26648465"/>
      <w:bookmarkStart w:id="34" w:name="_Toc17233325"/>
      <w:bookmarkStart w:id="35" w:name="_Toc26718930"/>
      <w:bookmarkStart w:id="36" w:name="_Toc26986530"/>
      <w:bookmarkStart w:id="37" w:name="_Toc26986771"/>
      <w:bookmarkStart w:id="38" w:name="_Toc97192964"/>
      <w:bookmarkStart w:id="39" w:name="_Toc209877056"/>
      <w:bookmarkStart w:id="40" w:name="_Toc209877230"/>
      <w:r>
        <w:rPr>
          <w:rFonts w:hint="eastAsia"/>
        </w:rPr>
        <w:t>范围</w:t>
      </w:r>
      <w:bookmarkEnd w:id="30"/>
      <w:bookmarkEnd w:id="31"/>
      <w:bookmarkEnd w:id="32"/>
      <w:bookmarkEnd w:id="33"/>
      <w:bookmarkEnd w:id="34"/>
      <w:bookmarkEnd w:id="35"/>
      <w:bookmarkEnd w:id="36"/>
      <w:bookmarkEnd w:id="37"/>
      <w:bookmarkEnd w:id="38"/>
      <w:bookmarkEnd w:id="39"/>
      <w:bookmarkEnd w:id="40"/>
    </w:p>
    <w:p w14:paraId="3B5396A1">
      <w:pPr>
        <w:pStyle w:val="56"/>
        <w:spacing w:line="360" w:lineRule="auto"/>
        <w:ind w:firstLine="420"/>
      </w:pPr>
      <w:bookmarkStart w:id="41" w:name="_Toc17233326"/>
      <w:bookmarkStart w:id="42" w:name="_Toc24884212"/>
      <w:bookmarkStart w:id="43" w:name="_Toc26648466"/>
      <w:bookmarkStart w:id="44" w:name="_Toc24884219"/>
      <w:bookmarkStart w:id="45" w:name="_Toc17233334"/>
      <w:r>
        <w:rPr>
          <w:rFonts w:hint="eastAsia"/>
        </w:rPr>
        <w:t>本文件规定了高压氧治疗在临床多学科协作诊疗中的总体原则、治疗操作流程与要求、并发症管理与安全防护及随访与疗效评价要求。</w:t>
      </w:r>
    </w:p>
    <w:p w14:paraId="387C9C2B">
      <w:pPr>
        <w:pStyle w:val="56"/>
        <w:spacing w:line="360" w:lineRule="auto"/>
        <w:ind w:firstLine="420"/>
      </w:pPr>
      <w:r>
        <w:rPr>
          <w:rFonts w:hint="eastAsia"/>
        </w:rPr>
        <w:t>本文件适用于各级医疗机构开展高压氧治疗的多学科协作诊疗工作，为临床医生、护士、技师及相关医务人员提供系统化的诊疗指导，并可作为高压氧治疗规范化管理、培训和质量控制的依据。</w:t>
      </w:r>
    </w:p>
    <w:p w14:paraId="1F7FEEB2">
      <w:pPr>
        <w:pStyle w:val="104"/>
        <w:spacing w:before="240" w:after="240" w:line="360" w:lineRule="auto"/>
      </w:pPr>
      <w:bookmarkStart w:id="46" w:name="_Toc26718931"/>
      <w:bookmarkStart w:id="47" w:name="_Toc97192965"/>
      <w:bookmarkStart w:id="48" w:name="_Toc26986531"/>
      <w:bookmarkStart w:id="49" w:name="_Toc209877057"/>
      <w:bookmarkStart w:id="50" w:name="_Toc26986772"/>
      <w:bookmarkStart w:id="51" w:name="_Toc2098772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339FD30">
      <w:pPr>
        <w:pStyle w:val="56"/>
        <w:spacing w:line="360" w:lineRule="auto"/>
        <w:ind w:firstLine="420"/>
      </w:pPr>
      <w:r>
        <w:rPr>
          <w:rFonts w:hint="eastAsia"/>
        </w:rPr>
        <w:t>GB/T 1.1—2020 标准化工作导则  第1部分:标准化文件的结构和起草规则</w:t>
      </w:r>
    </w:p>
    <w:p w14:paraId="6962992E">
      <w:pPr>
        <w:pStyle w:val="104"/>
        <w:spacing w:before="240" w:after="240" w:line="360" w:lineRule="auto"/>
      </w:pPr>
      <w:bookmarkStart w:id="52" w:name="_Toc209877232"/>
      <w:bookmarkStart w:id="53" w:name="_Toc97192966"/>
      <w:bookmarkStart w:id="54" w:name="_Toc209877058"/>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2776A8A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高压氧治疗 hyperbaric oxygen therapy</w:t>
      </w:r>
    </w:p>
    <w:p w14:paraId="0E2FB741">
      <w:pPr>
        <w:pStyle w:val="56"/>
        <w:spacing w:line="360" w:lineRule="auto"/>
        <w:ind w:firstLine="420"/>
      </w:pPr>
      <w:r>
        <w:rPr>
          <w:rFonts w:hint="eastAsia"/>
        </w:rPr>
        <w:t>指在高于常压的环境下，通过吸入纯氧或高浓度氧气，提高血液和组织氧分压，以改善组织缺氧状态、促进组织修复和再生的医疗技术。</w:t>
      </w:r>
    </w:p>
    <w:p w14:paraId="2C4FEE6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多学科协作诊疗 multidisciplinary collaborative care</w:t>
      </w:r>
    </w:p>
    <w:p w14:paraId="1178FC12">
      <w:pPr>
        <w:pStyle w:val="56"/>
        <w:spacing w:line="360" w:lineRule="auto"/>
        <w:ind w:firstLine="420"/>
      </w:pPr>
      <w:r>
        <w:rPr>
          <w:rFonts w:hint="eastAsia"/>
        </w:rPr>
        <w:t>指在患者诊疗过程中，呼吸科、心血管科、神经科、骨科、皮肤科、重症医学科、康复科等相关学科共同参与，依据各自专业优势进行评估、治疗方案制定、操作指导和疗效评价的协作模式。</w:t>
      </w:r>
    </w:p>
    <w:p w14:paraId="4A59EC8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治疗指征 treatment indication</w:t>
      </w:r>
    </w:p>
    <w:p w14:paraId="76D367AE">
      <w:pPr>
        <w:pStyle w:val="56"/>
        <w:spacing w:line="360" w:lineRule="auto"/>
        <w:ind w:firstLine="420"/>
      </w:pPr>
      <w:r>
        <w:rPr>
          <w:rFonts w:hint="eastAsia"/>
        </w:rPr>
        <w:t>指适合接受高压氧治疗的临床症状、疾病类型及病情严重程度，包括急性缺血性损伤、慢性缺氧性疾病、放射损伤、难治性创伤等。</w:t>
      </w:r>
    </w:p>
    <w:p w14:paraId="7BCBA9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治疗禁忌 treatment contraindication</w:t>
      </w:r>
    </w:p>
    <w:p w14:paraId="4F44C312">
      <w:pPr>
        <w:pStyle w:val="56"/>
        <w:spacing w:line="360" w:lineRule="auto"/>
        <w:ind w:firstLine="420"/>
      </w:pPr>
      <w:r>
        <w:rPr>
          <w:rFonts w:hint="eastAsia"/>
        </w:rPr>
        <w:t>指不适合进行高压氧治疗的临床情况或疾病状态，包括未经控制的肺气肿、严重心力衰竭、活动性出血、急性中耳或鼻窦感染等。</w:t>
      </w:r>
    </w:p>
    <w:p w14:paraId="3E3DBDB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疗程 treatment course</w:t>
      </w:r>
    </w:p>
    <w:p w14:paraId="61A4B7FA">
      <w:pPr>
        <w:pStyle w:val="56"/>
        <w:spacing w:line="360" w:lineRule="auto"/>
        <w:ind w:firstLine="420"/>
      </w:pPr>
      <w:r>
        <w:rPr>
          <w:rFonts w:hint="eastAsia"/>
        </w:rPr>
        <w:t>指高压氧治疗的总次数、每次治疗的压力和时间，以及治疗间隔安排，依据患者具体病情和多学科评估结果确定。</w:t>
      </w:r>
    </w:p>
    <w:p w14:paraId="4400B5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治疗剂量 treatment dose</w:t>
      </w:r>
    </w:p>
    <w:p w14:paraId="6A3DF735">
      <w:pPr>
        <w:pStyle w:val="56"/>
        <w:spacing w:line="360" w:lineRule="auto"/>
        <w:ind w:firstLine="420"/>
      </w:pPr>
      <w:r>
        <w:rPr>
          <w:rFonts w:hint="eastAsia"/>
        </w:rPr>
        <w:t>指单次高压氧治疗的压力、吸氧浓度、吸氧时间及循环次数，是确保治疗安全性和有效性的关键参数。</w:t>
      </w:r>
    </w:p>
    <w:p w14:paraId="7F5CA35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并发症 complication</w:t>
      </w:r>
    </w:p>
    <w:p w14:paraId="1FF424E4">
      <w:pPr>
        <w:pStyle w:val="56"/>
        <w:spacing w:line="360" w:lineRule="auto"/>
        <w:ind w:firstLine="420"/>
      </w:pPr>
      <w:r>
        <w:rPr>
          <w:rFonts w:hint="eastAsia"/>
        </w:rPr>
        <w:t>指高压氧治疗过程中可能出现的意外事件或不良反应，包括耳压伤、鼻窦压伤、氧中毒、血压异常、焦虑及神经系统反应等。</w:t>
      </w:r>
    </w:p>
    <w:p w14:paraId="25623D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风险防控 risk management</w:t>
      </w:r>
    </w:p>
    <w:p w14:paraId="44DC4AE8">
      <w:pPr>
        <w:pStyle w:val="56"/>
        <w:spacing w:line="360" w:lineRule="auto"/>
        <w:ind w:firstLine="420"/>
      </w:pPr>
      <w:r>
        <w:rPr>
          <w:rFonts w:hint="eastAsia"/>
        </w:rPr>
        <w:t>指通过制定操作规范、监测措施和应急预案，对高压氧治疗中可能出现的安全隐患进行预防、控制和处理的管理措施。</w:t>
      </w:r>
    </w:p>
    <w:p w14:paraId="73FA32F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疗效评价 treatment efficacy evaluation</w:t>
      </w:r>
    </w:p>
    <w:p w14:paraId="12062132">
      <w:pPr>
        <w:pStyle w:val="56"/>
        <w:spacing w:line="360" w:lineRule="auto"/>
        <w:ind w:firstLine="420"/>
      </w:pPr>
      <w:r>
        <w:rPr>
          <w:rFonts w:hint="eastAsia"/>
        </w:rPr>
        <w:t>指通过多学科协作对患者高压氧治疗后的临床症状、组织修复情况及功能恢复程度进行科学评价，为后续治疗和康复提供依据。</w:t>
      </w:r>
    </w:p>
    <w:p w14:paraId="7F2DAA98">
      <w:pPr>
        <w:pStyle w:val="104"/>
        <w:spacing w:before="240" w:after="240" w:line="360" w:lineRule="auto"/>
      </w:pPr>
      <w:bookmarkStart w:id="56" w:name="_Toc209877059"/>
      <w:bookmarkStart w:id="57" w:name="_Toc209877233"/>
      <w:r>
        <w:rPr>
          <w:rFonts w:hint="eastAsia"/>
        </w:rPr>
        <w:t>总体原则</w:t>
      </w:r>
      <w:bookmarkEnd w:id="56"/>
      <w:bookmarkEnd w:id="57"/>
    </w:p>
    <w:p w14:paraId="77947D41">
      <w:pPr>
        <w:pStyle w:val="105"/>
        <w:spacing w:before="120" w:after="120" w:line="360" w:lineRule="auto"/>
      </w:pPr>
      <w:r>
        <w:rPr>
          <w:rFonts w:hint="eastAsia"/>
        </w:rPr>
        <w:t>科学性原则</w:t>
      </w:r>
    </w:p>
    <w:p w14:paraId="169611EA">
      <w:pPr>
        <w:pStyle w:val="56"/>
        <w:spacing w:line="360" w:lineRule="auto"/>
        <w:ind w:firstLine="420"/>
      </w:pPr>
      <w:r>
        <w:rPr>
          <w:rFonts w:hint="eastAsia"/>
        </w:rPr>
        <w:t>治疗操作应基于高压氧治疗的医学原理、病理生理学基础及临床循证证据。各学科应结合患者病情、影像学资料、实验室检查和既往治疗史，科学制定治疗方案，确保治疗剂量、疗程及治疗间隔合理，避免因剂量不足或过度治疗导致疗效不佳或并发症发生。</w:t>
      </w:r>
    </w:p>
    <w:p w14:paraId="4892EC7A">
      <w:pPr>
        <w:pStyle w:val="105"/>
        <w:spacing w:before="120" w:after="120" w:line="360" w:lineRule="auto"/>
      </w:pPr>
      <w:r>
        <w:rPr>
          <w:rFonts w:hint="eastAsia"/>
        </w:rPr>
        <w:t>系统性原则</w:t>
      </w:r>
    </w:p>
    <w:p w14:paraId="4786DD1C">
      <w:pPr>
        <w:pStyle w:val="56"/>
        <w:spacing w:line="360" w:lineRule="auto"/>
        <w:ind w:firstLine="420"/>
      </w:pPr>
      <w:r>
        <w:rPr>
          <w:rFonts w:hint="eastAsia"/>
        </w:rPr>
        <w:t>多学科协作诊疗应将患者评估、治疗执行、监测、疗效评价及随访管理作为系统整体进行管理。各学科之间应建立信息共享机制，实现病情、监测数据、治疗记录和风险评估的有效传递，确保治疗过程连续性和综合性。</w:t>
      </w:r>
    </w:p>
    <w:p w14:paraId="167A7599">
      <w:pPr>
        <w:pStyle w:val="105"/>
        <w:spacing w:before="120" w:after="120" w:line="360" w:lineRule="auto"/>
      </w:pPr>
      <w:r>
        <w:rPr>
          <w:rFonts w:hint="eastAsia"/>
        </w:rPr>
        <w:t>安全性原则</w:t>
      </w:r>
    </w:p>
    <w:p w14:paraId="72FE378F">
      <w:pPr>
        <w:pStyle w:val="56"/>
        <w:spacing w:line="360" w:lineRule="auto"/>
        <w:ind w:firstLine="420"/>
      </w:pPr>
      <w:r>
        <w:rPr>
          <w:rFonts w:hint="eastAsia"/>
        </w:rPr>
        <w:t>高压氧治疗过程中应保障患者及医务人员的安全。治疗前应进行全面评估，包括病史采集、体格检查、影像学和实验室检查，确认适应症和排除禁忌症。治疗中应严格监控患者的生命体征、心理状态及可能出现的并发症。治疗后应做好恢复观察，并及时处理异常情况，确保患者安全。</w:t>
      </w:r>
    </w:p>
    <w:p w14:paraId="13A41459">
      <w:pPr>
        <w:pStyle w:val="105"/>
        <w:spacing w:before="120" w:after="120" w:line="360" w:lineRule="auto"/>
      </w:pPr>
      <w:r>
        <w:rPr>
          <w:rFonts w:hint="eastAsia"/>
        </w:rPr>
        <w:t>规范性原则</w:t>
      </w:r>
    </w:p>
    <w:p w14:paraId="18AD67F6">
      <w:pPr>
        <w:pStyle w:val="56"/>
        <w:spacing w:line="360" w:lineRule="auto"/>
        <w:ind w:firstLine="420"/>
      </w:pPr>
      <w:r>
        <w:rPr>
          <w:rFonts w:hint="eastAsia"/>
        </w:rPr>
        <w:t>多学科协作诊疗应严格遵循本指南及相关医疗标准操作规程，明确各学科职责分工、操作流程和治疗记录要求。医务人员在操作过程中应遵循标准化流程，不得随意调整治疗压力、时间或疗程，并应完整记录治疗过程，确保操作可追溯性。</w:t>
      </w:r>
    </w:p>
    <w:p w14:paraId="16C7D33F">
      <w:pPr>
        <w:pStyle w:val="105"/>
        <w:spacing w:before="120" w:after="120" w:line="360" w:lineRule="auto"/>
      </w:pPr>
      <w:r>
        <w:rPr>
          <w:rFonts w:hint="eastAsia"/>
        </w:rPr>
        <w:t>协作性原则</w:t>
      </w:r>
    </w:p>
    <w:p w14:paraId="0AFFCF6A">
      <w:pPr>
        <w:pStyle w:val="56"/>
        <w:spacing w:line="360" w:lineRule="auto"/>
        <w:ind w:firstLine="420"/>
      </w:pPr>
      <w:r>
        <w:rPr>
          <w:rFonts w:hint="eastAsia"/>
        </w:rPr>
        <w:t>各学科在诊疗过程中应保持密切沟通与协作。呼吸科负责氧疗管理与监测，心血管科评估血流动力学及心脏功能，神经科评估神经系统恢复情况，骨科与皮肤科关注局部组织修复，康复科负责后续康复计划。通过多学科协作，可综合分析患者状况，优化治疗方案，提高疗效。</w:t>
      </w:r>
    </w:p>
    <w:p w14:paraId="200C37FE">
      <w:pPr>
        <w:pStyle w:val="105"/>
        <w:spacing w:before="120" w:after="120" w:line="360" w:lineRule="auto"/>
      </w:pPr>
      <w:r>
        <w:rPr>
          <w:rFonts w:hint="eastAsia"/>
        </w:rPr>
        <w:t>持续改进原则</w:t>
      </w:r>
    </w:p>
    <w:p w14:paraId="311204EC">
      <w:pPr>
        <w:pStyle w:val="56"/>
        <w:spacing w:line="360" w:lineRule="auto"/>
        <w:ind w:firstLine="420"/>
      </w:pPr>
      <w:r>
        <w:rPr>
          <w:rFonts w:hint="eastAsia"/>
        </w:rPr>
        <w:t>高压氧治疗过程中应建立持续改进机制，对治疗数据、患者反馈、疗效评价及并发症处理进行分析总结。根据分析结果优化治疗方案、调整操作流程及培训内容，提高多学科协作诊疗水平，推动临床实践标准化和智能化。</w:t>
      </w:r>
    </w:p>
    <w:p w14:paraId="7030B1D1">
      <w:pPr>
        <w:pStyle w:val="104"/>
        <w:spacing w:before="240" w:after="240" w:line="360" w:lineRule="auto"/>
      </w:pPr>
      <w:bookmarkStart w:id="58" w:name="_Toc209877060"/>
      <w:bookmarkStart w:id="59" w:name="_Toc209877234"/>
      <w:r>
        <w:rPr>
          <w:rFonts w:hint="eastAsia"/>
        </w:rPr>
        <w:t>治疗操作流程与要求</w:t>
      </w:r>
      <w:bookmarkEnd w:id="58"/>
      <w:bookmarkEnd w:id="59"/>
    </w:p>
    <w:p w14:paraId="566E6203">
      <w:pPr>
        <w:pStyle w:val="105"/>
        <w:spacing w:before="120" w:after="120" w:line="360" w:lineRule="auto"/>
      </w:pPr>
      <w:r>
        <w:rPr>
          <w:rFonts w:hint="eastAsia"/>
        </w:rPr>
        <w:t>治疗前评估</w:t>
      </w:r>
    </w:p>
    <w:p w14:paraId="4254F03E">
      <w:pPr>
        <w:pStyle w:val="165"/>
        <w:spacing w:line="360" w:lineRule="auto"/>
      </w:pPr>
      <w:r>
        <w:rPr>
          <w:rFonts w:hint="eastAsia"/>
        </w:rPr>
        <w:t>治疗前应由多学科团队对患者进行全面评估，包括病史采集、体格检查、影像学及实验室检查。</w:t>
      </w:r>
    </w:p>
    <w:p w14:paraId="63B2EB33">
      <w:pPr>
        <w:pStyle w:val="165"/>
        <w:spacing w:line="360" w:lineRule="auto"/>
      </w:pPr>
      <w:r>
        <w:rPr>
          <w:rFonts w:hint="eastAsia"/>
        </w:rPr>
        <w:t>评估重点包括心肺功能、神经系统状况、血流动力学、既往治疗及药物使用情况。依据评估结果判断患者是否适合接受高压氧治疗，明确适应症和排除禁忌症，制定初步治疗方案。</w:t>
      </w:r>
    </w:p>
    <w:p w14:paraId="31092783">
      <w:pPr>
        <w:pStyle w:val="105"/>
        <w:spacing w:before="120" w:after="120" w:line="360" w:lineRule="auto"/>
      </w:pPr>
      <w:r>
        <w:rPr>
          <w:rFonts w:hint="eastAsia"/>
        </w:rPr>
        <w:t>治疗执行</w:t>
      </w:r>
    </w:p>
    <w:p w14:paraId="4AFFC2C3">
      <w:pPr>
        <w:pStyle w:val="165"/>
        <w:spacing w:line="360" w:lineRule="auto"/>
      </w:pPr>
      <w:r>
        <w:rPr>
          <w:rFonts w:hint="eastAsia"/>
        </w:rPr>
        <w:t>高压氧治疗由受过培训的医务人员操作，治疗前应告知患者注意事项及可能的不良反应。</w:t>
      </w:r>
    </w:p>
    <w:p w14:paraId="35D17B36">
      <w:pPr>
        <w:pStyle w:val="165"/>
        <w:spacing w:line="360" w:lineRule="auto"/>
      </w:pPr>
      <w:r>
        <w:rPr>
          <w:rFonts w:hint="eastAsia"/>
        </w:rPr>
        <w:t>治疗过程中，患者应按规定进入高压氧舱或相关治疗设备，医务人员应确保设备参数符合治疗方案要求。治疗中应监测患者的生命体征、心理状态及氧中毒等风险。</w:t>
      </w:r>
    </w:p>
    <w:p w14:paraId="2A75F3D2">
      <w:pPr>
        <w:pStyle w:val="165"/>
        <w:spacing w:line="360" w:lineRule="auto"/>
      </w:pPr>
      <w:r>
        <w:rPr>
          <w:rFonts w:hint="eastAsia"/>
        </w:rPr>
        <w:t>治疗完成后，应逐步减压，确保患者安全出舱并进行短时间观察。高压氧治疗典型操作参数见表1。</w:t>
      </w:r>
    </w:p>
    <w:p w14:paraId="65EAE500">
      <w:pPr>
        <w:pStyle w:val="165"/>
        <w:numPr>
          <w:ilvl w:val="0"/>
          <w:numId w:val="0"/>
        </w:numPr>
        <w:spacing w:line="360" w:lineRule="auto"/>
      </w:pPr>
    </w:p>
    <w:p w14:paraId="3800BF79">
      <w:pPr>
        <w:pStyle w:val="165"/>
        <w:numPr>
          <w:ilvl w:val="0"/>
          <w:numId w:val="0"/>
        </w:numPr>
        <w:spacing w:line="360" w:lineRule="auto"/>
      </w:pPr>
    </w:p>
    <w:p w14:paraId="4679928D">
      <w:pPr>
        <w:pStyle w:val="112"/>
        <w:spacing w:before="120" w:after="120" w:line="360" w:lineRule="auto"/>
      </w:pPr>
      <w:bookmarkStart w:id="60" w:name="_Hlk209876673"/>
      <w:r>
        <w:rPr>
          <w:rFonts w:hint="eastAsia"/>
        </w:rPr>
        <w:t>高压氧治疗典型操作参数</w:t>
      </w:r>
    </w:p>
    <w:bookmarkEnd w:id="60"/>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1560"/>
        <w:gridCol w:w="1417"/>
        <w:gridCol w:w="1276"/>
        <w:gridCol w:w="3390"/>
      </w:tblGrid>
      <w:tr w14:paraId="7A438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shd w:val="clear" w:color="auto" w:fill="auto"/>
          </w:tcPr>
          <w:p w14:paraId="1C6014BD">
            <w:pPr>
              <w:pStyle w:val="178"/>
            </w:pPr>
            <w:r>
              <w:rPr>
                <w:rFonts w:hint="eastAsia"/>
              </w:rPr>
              <w:t>疗程类型</w:t>
            </w:r>
          </w:p>
        </w:tc>
        <w:tc>
          <w:tcPr>
            <w:tcW w:w="1560" w:type="dxa"/>
            <w:tcBorders>
              <w:top w:val="single" w:color="auto" w:sz="8" w:space="0"/>
              <w:bottom w:val="single" w:color="auto" w:sz="8" w:space="0"/>
            </w:tcBorders>
            <w:shd w:val="clear" w:color="auto" w:fill="auto"/>
          </w:tcPr>
          <w:p w14:paraId="2D08578D">
            <w:pPr>
              <w:pStyle w:val="178"/>
            </w:pPr>
            <w:r>
              <w:rPr>
                <w:rFonts w:hint="eastAsia"/>
              </w:rPr>
              <w:t>治疗压力 (ATA)</w:t>
            </w:r>
          </w:p>
        </w:tc>
        <w:tc>
          <w:tcPr>
            <w:tcW w:w="1417" w:type="dxa"/>
            <w:tcBorders>
              <w:top w:val="single" w:color="auto" w:sz="8" w:space="0"/>
              <w:bottom w:val="single" w:color="auto" w:sz="8" w:space="0"/>
            </w:tcBorders>
            <w:shd w:val="clear" w:color="auto" w:fill="auto"/>
          </w:tcPr>
          <w:p w14:paraId="34137B3D">
            <w:pPr>
              <w:pStyle w:val="178"/>
            </w:pPr>
            <w:r>
              <w:rPr>
                <w:rFonts w:hint="eastAsia"/>
              </w:rPr>
              <w:t>治疗时间 (min)</w:t>
            </w:r>
          </w:p>
        </w:tc>
        <w:tc>
          <w:tcPr>
            <w:tcW w:w="1276" w:type="dxa"/>
            <w:tcBorders>
              <w:top w:val="single" w:color="auto" w:sz="8" w:space="0"/>
              <w:bottom w:val="single" w:color="auto" w:sz="8" w:space="0"/>
            </w:tcBorders>
            <w:shd w:val="clear" w:color="auto" w:fill="auto"/>
          </w:tcPr>
          <w:p w14:paraId="6A6BA3C8">
            <w:pPr>
              <w:pStyle w:val="178"/>
            </w:pPr>
            <w:r>
              <w:rPr>
                <w:rFonts w:hint="eastAsia"/>
              </w:rPr>
              <w:t>治疗次数/周</w:t>
            </w:r>
          </w:p>
        </w:tc>
        <w:tc>
          <w:tcPr>
            <w:tcW w:w="3390" w:type="dxa"/>
            <w:tcBorders>
              <w:top w:val="single" w:color="auto" w:sz="8" w:space="0"/>
              <w:bottom w:val="single" w:color="auto" w:sz="8" w:space="0"/>
            </w:tcBorders>
            <w:shd w:val="clear" w:color="auto" w:fill="auto"/>
          </w:tcPr>
          <w:p w14:paraId="3E771A94">
            <w:pPr>
              <w:pStyle w:val="178"/>
            </w:pPr>
            <w:r>
              <w:rPr>
                <w:rFonts w:hint="eastAsia"/>
              </w:rPr>
              <w:t>注意事项</w:t>
            </w:r>
          </w:p>
        </w:tc>
      </w:tr>
      <w:tr w14:paraId="2CB8F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shd w:val="clear" w:color="auto" w:fill="auto"/>
          </w:tcPr>
          <w:p w14:paraId="0AC513AA">
            <w:pPr>
              <w:pStyle w:val="178"/>
            </w:pPr>
            <w:r>
              <w:rPr>
                <w:rFonts w:hint="eastAsia"/>
              </w:rPr>
              <w:t>急性缺血性损伤</w:t>
            </w:r>
          </w:p>
        </w:tc>
        <w:tc>
          <w:tcPr>
            <w:tcW w:w="1560" w:type="dxa"/>
            <w:tcBorders>
              <w:top w:val="single" w:color="auto" w:sz="8" w:space="0"/>
            </w:tcBorders>
            <w:shd w:val="clear" w:color="auto" w:fill="auto"/>
          </w:tcPr>
          <w:p w14:paraId="45901163">
            <w:pPr>
              <w:pStyle w:val="178"/>
            </w:pPr>
            <w:r>
              <w:rPr>
                <w:rFonts w:hint="eastAsia"/>
              </w:rPr>
              <w:t>2.0–2.5</w:t>
            </w:r>
          </w:p>
        </w:tc>
        <w:tc>
          <w:tcPr>
            <w:tcW w:w="1417" w:type="dxa"/>
            <w:tcBorders>
              <w:top w:val="single" w:color="auto" w:sz="8" w:space="0"/>
            </w:tcBorders>
            <w:shd w:val="clear" w:color="auto" w:fill="auto"/>
          </w:tcPr>
          <w:p w14:paraId="42F7D862">
            <w:pPr>
              <w:pStyle w:val="178"/>
            </w:pPr>
            <w:r>
              <w:rPr>
                <w:rFonts w:hint="eastAsia"/>
              </w:rPr>
              <w:t>60–90</w:t>
            </w:r>
          </w:p>
        </w:tc>
        <w:tc>
          <w:tcPr>
            <w:tcW w:w="1276" w:type="dxa"/>
            <w:tcBorders>
              <w:top w:val="single" w:color="auto" w:sz="8" w:space="0"/>
            </w:tcBorders>
            <w:shd w:val="clear" w:color="auto" w:fill="auto"/>
          </w:tcPr>
          <w:p w14:paraId="39350424">
            <w:pPr>
              <w:pStyle w:val="178"/>
            </w:pPr>
            <w:r>
              <w:rPr>
                <w:rFonts w:hint="eastAsia"/>
              </w:rPr>
              <w:t>1–2</w:t>
            </w:r>
          </w:p>
        </w:tc>
        <w:tc>
          <w:tcPr>
            <w:tcW w:w="3390" w:type="dxa"/>
            <w:tcBorders>
              <w:top w:val="single" w:color="auto" w:sz="8" w:space="0"/>
            </w:tcBorders>
            <w:shd w:val="clear" w:color="auto" w:fill="auto"/>
          </w:tcPr>
          <w:p w14:paraId="41EC9911">
            <w:pPr>
              <w:pStyle w:val="178"/>
            </w:pPr>
            <w:r>
              <w:rPr>
                <w:rFonts w:hint="eastAsia"/>
              </w:rPr>
              <w:t>监测血压、心率及呼吸状况</w:t>
            </w:r>
          </w:p>
        </w:tc>
      </w:tr>
      <w:tr w14:paraId="3DF15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5034D21B">
            <w:pPr>
              <w:pStyle w:val="178"/>
            </w:pPr>
            <w:r>
              <w:rPr>
                <w:rFonts w:hint="eastAsia"/>
              </w:rPr>
              <w:t>放射损伤</w:t>
            </w:r>
          </w:p>
        </w:tc>
        <w:tc>
          <w:tcPr>
            <w:tcW w:w="1560" w:type="dxa"/>
            <w:shd w:val="clear" w:color="auto" w:fill="auto"/>
          </w:tcPr>
          <w:p w14:paraId="156D3C3D">
            <w:pPr>
              <w:pStyle w:val="178"/>
            </w:pPr>
            <w:r>
              <w:rPr>
                <w:rFonts w:hint="eastAsia"/>
              </w:rPr>
              <w:t>2.0–2.5</w:t>
            </w:r>
          </w:p>
        </w:tc>
        <w:tc>
          <w:tcPr>
            <w:tcW w:w="1417" w:type="dxa"/>
            <w:shd w:val="clear" w:color="auto" w:fill="auto"/>
          </w:tcPr>
          <w:p w14:paraId="1AACAF41">
            <w:pPr>
              <w:pStyle w:val="178"/>
            </w:pPr>
            <w:r>
              <w:rPr>
                <w:rFonts w:hint="eastAsia"/>
              </w:rPr>
              <w:t>60</w:t>
            </w:r>
          </w:p>
        </w:tc>
        <w:tc>
          <w:tcPr>
            <w:tcW w:w="1276" w:type="dxa"/>
            <w:shd w:val="clear" w:color="auto" w:fill="auto"/>
          </w:tcPr>
          <w:p w14:paraId="6DCC01D7">
            <w:pPr>
              <w:pStyle w:val="178"/>
            </w:pPr>
            <w:r>
              <w:rPr>
                <w:rFonts w:hint="eastAsia"/>
              </w:rPr>
              <w:t>3–5</w:t>
            </w:r>
          </w:p>
        </w:tc>
        <w:tc>
          <w:tcPr>
            <w:tcW w:w="3390" w:type="dxa"/>
            <w:shd w:val="clear" w:color="auto" w:fill="auto"/>
          </w:tcPr>
          <w:p w14:paraId="466F7BE8">
            <w:pPr>
              <w:pStyle w:val="178"/>
            </w:pPr>
            <w:r>
              <w:rPr>
                <w:rFonts w:hint="eastAsia"/>
              </w:rPr>
              <w:t>注意皮肤反应及局部组织修复情况</w:t>
            </w:r>
          </w:p>
        </w:tc>
      </w:tr>
      <w:tr w14:paraId="7C35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6E5EE1F7">
            <w:pPr>
              <w:pStyle w:val="178"/>
            </w:pPr>
            <w:r>
              <w:rPr>
                <w:rFonts w:hint="eastAsia"/>
              </w:rPr>
              <w:t>慢性缺氧疾病</w:t>
            </w:r>
          </w:p>
        </w:tc>
        <w:tc>
          <w:tcPr>
            <w:tcW w:w="1560" w:type="dxa"/>
            <w:shd w:val="clear" w:color="auto" w:fill="auto"/>
          </w:tcPr>
          <w:p w14:paraId="490FA968">
            <w:pPr>
              <w:pStyle w:val="178"/>
            </w:pPr>
            <w:r>
              <w:rPr>
                <w:rFonts w:hint="eastAsia"/>
              </w:rPr>
              <w:t>1.5–2.0</w:t>
            </w:r>
          </w:p>
        </w:tc>
        <w:tc>
          <w:tcPr>
            <w:tcW w:w="1417" w:type="dxa"/>
            <w:shd w:val="clear" w:color="auto" w:fill="auto"/>
          </w:tcPr>
          <w:p w14:paraId="78E2CB2D">
            <w:pPr>
              <w:pStyle w:val="178"/>
            </w:pPr>
            <w:r>
              <w:rPr>
                <w:rFonts w:hint="eastAsia"/>
              </w:rPr>
              <w:t>60</w:t>
            </w:r>
          </w:p>
        </w:tc>
        <w:tc>
          <w:tcPr>
            <w:tcW w:w="1276" w:type="dxa"/>
            <w:shd w:val="clear" w:color="auto" w:fill="auto"/>
          </w:tcPr>
          <w:p w14:paraId="2F9979BB">
            <w:pPr>
              <w:pStyle w:val="178"/>
            </w:pPr>
            <w:r>
              <w:rPr>
                <w:rFonts w:hint="eastAsia"/>
              </w:rPr>
              <w:t>3–5</w:t>
            </w:r>
          </w:p>
        </w:tc>
        <w:tc>
          <w:tcPr>
            <w:tcW w:w="3390" w:type="dxa"/>
            <w:shd w:val="clear" w:color="auto" w:fill="auto"/>
          </w:tcPr>
          <w:p w14:paraId="2DDFC27E">
            <w:pPr>
              <w:pStyle w:val="178"/>
            </w:pPr>
            <w:r>
              <w:rPr>
                <w:rFonts w:hint="eastAsia"/>
              </w:rPr>
              <w:t>关注血氧饱和度及既往心肺疾病</w:t>
            </w:r>
          </w:p>
        </w:tc>
      </w:tr>
      <w:tr w14:paraId="44A5C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1D45DD04">
            <w:pPr>
              <w:pStyle w:val="178"/>
            </w:pPr>
            <w:r>
              <w:rPr>
                <w:rFonts w:hint="eastAsia"/>
              </w:rPr>
              <w:t>难治性创伤</w:t>
            </w:r>
          </w:p>
        </w:tc>
        <w:tc>
          <w:tcPr>
            <w:tcW w:w="1560" w:type="dxa"/>
            <w:shd w:val="clear" w:color="auto" w:fill="auto"/>
          </w:tcPr>
          <w:p w14:paraId="1C3CA212">
            <w:pPr>
              <w:pStyle w:val="178"/>
            </w:pPr>
            <w:r>
              <w:rPr>
                <w:rFonts w:hint="eastAsia"/>
              </w:rPr>
              <w:t>2.0–2.5</w:t>
            </w:r>
          </w:p>
        </w:tc>
        <w:tc>
          <w:tcPr>
            <w:tcW w:w="1417" w:type="dxa"/>
            <w:shd w:val="clear" w:color="auto" w:fill="auto"/>
          </w:tcPr>
          <w:p w14:paraId="5D22482E">
            <w:pPr>
              <w:pStyle w:val="178"/>
            </w:pPr>
            <w:r>
              <w:rPr>
                <w:rFonts w:hint="eastAsia"/>
              </w:rPr>
              <w:t>90</w:t>
            </w:r>
          </w:p>
        </w:tc>
        <w:tc>
          <w:tcPr>
            <w:tcW w:w="1276" w:type="dxa"/>
            <w:shd w:val="clear" w:color="auto" w:fill="auto"/>
          </w:tcPr>
          <w:p w14:paraId="0737FD08">
            <w:pPr>
              <w:pStyle w:val="178"/>
            </w:pPr>
            <w:r>
              <w:rPr>
                <w:rFonts w:hint="eastAsia"/>
              </w:rPr>
              <w:t>1–2</w:t>
            </w:r>
          </w:p>
        </w:tc>
        <w:tc>
          <w:tcPr>
            <w:tcW w:w="3390" w:type="dxa"/>
            <w:shd w:val="clear" w:color="auto" w:fill="auto"/>
          </w:tcPr>
          <w:p w14:paraId="09F2DA1A">
            <w:pPr>
              <w:pStyle w:val="178"/>
            </w:pPr>
            <w:r>
              <w:rPr>
                <w:rFonts w:hint="eastAsia"/>
              </w:rPr>
              <w:t>结合伤口护理及抗感染治疗</w:t>
            </w:r>
          </w:p>
        </w:tc>
      </w:tr>
    </w:tbl>
    <w:p w14:paraId="348C617A">
      <w:pPr>
        <w:pStyle w:val="105"/>
        <w:spacing w:before="120" w:after="120" w:line="360" w:lineRule="auto"/>
      </w:pPr>
      <w:r>
        <w:rPr>
          <w:rFonts w:hint="eastAsia"/>
        </w:rPr>
        <w:t>监测与管理</w:t>
      </w:r>
    </w:p>
    <w:p w14:paraId="1148DCE1">
      <w:pPr>
        <w:pStyle w:val="165"/>
        <w:spacing w:line="360" w:lineRule="auto"/>
      </w:pPr>
      <w:r>
        <w:rPr>
          <w:rFonts w:hint="eastAsia"/>
        </w:rPr>
        <w:t>治疗过程中应持续监测患者生命体征，包括心率、血压、呼吸、血氧饱和度及神经症状。若出现异常，应立即采取应急措施，包括降低舱压、终止治疗或启动急救流程。</w:t>
      </w:r>
    </w:p>
    <w:p w14:paraId="08844730">
      <w:pPr>
        <w:pStyle w:val="165"/>
        <w:spacing w:line="360" w:lineRule="auto"/>
      </w:pPr>
      <w:r>
        <w:rPr>
          <w:rFonts w:hint="eastAsia"/>
        </w:rPr>
        <w:t>治疗后应记录监测数据及异常事件，为疗效评估和后续疗程调整提供依据。</w:t>
      </w:r>
    </w:p>
    <w:p w14:paraId="34972C0E">
      <w:pPr>
        <w:pStyle w:val="105"/>
        <w:spacing w:before="120" w:after="120" w:line="360" w:lineRule="auto"/>
      </w:pPr>
      <w:r>
        <w:rPr>
          <w:rFonts w:hint="eastAsia"/>
        </w:rPr>
        <w:t>疗程管理</w:t>
      </w:r>
    </w:p>
    <w:p w14:paraId="2E449D67">
      <w:pPr>
        <w:pStyle w:val="165"/>
        <w:spacing w:line="360" w:lineRule="auto"/>
      </w:pPr>
      <w:r>
        <w:rPr>
          <w:rFonts w:hint="eastAsia"/>
        </w:rPr>
        <w:t>根据患者病情和治疗目标，制定完整疗程，包括每次治疗的压力、时间和间隔。</w:t>
      </w:r>
    </w:p>
    <w:p w14:paraId="0481CE37">
      <w:pPr>
        <w:pStyle w:val="165"/>
        <w:spacing w:line="360" w:lineRule="auto"/>
      </w:pPr>
      <w:r>
        <w:rPr>
          <w:rFonts w:hint="eastAsia"/>
        </w:rPr>
        <w:t>疗程应由多学科团队动态调整，结合治疗效果、并发症及患者耐受情况进行优化。</w:t>
      </w:r>
    </w:p>
    <w:p w14:paraId="2681DE84">
      <w:pPr>
        <w:pStyle w:val="165"/>
        <w:spacing w:line="360" w:lineRule="auto"/>
      </w:pPr>
      <w:r>
        <w:rPr>
          <w:rFonts w:hint="eastAsia"/>
        </w:rPr>
        <w:t>对疗程中出现的并发症或不良反应，应及时调整治疗参数或暂停疗程，并形成书面记录。</w:t>
      </w:r>
    </w:p>
    <w:p w14:paraId="0CD487E7">
      <w:pPr>
        <w:pStyle w:val="105"/>
        <w:spacing w:before="120" w:after="120" w:line="360" w:lineRule="auto"/>
      </w:pPr>
      <w:r>
        <w:rPr>
          <w:rFonts w:hint="eastAsia"/>
        </w:rPr>
        <w:t>随访管理</w:t>
      </w:r>
    </w:p>
    <w:p w14:paraId="395607E0">
      <w:pPr>
        <w:pStyle w:val="165"/>
        <w:spacing w:line="360" w:lineRule="auto"/>
      </w:pPr>
      <w:r>
        <w:rPr>
          <w:rFonts w:hint="eastAsia"/>
        </w:rPr>
        <w:t>治疗结束后，应建立患者随访机制，对治疗效果、功能恢复及可能的迟发并发症进行评估。</w:t>
      </w:r>
    </w:p>
    <w:p w14:paraId="40379EAC">
      <w:pPr>
        <w:pStyle w:val="165"/>
        <w:spacing w:line="360" w:lineRule="auto"/>
      </w:pPr>
      <w:r>
        <w:rPr>
          <w:rFonts w:hint="eastAsia"/>
        </w:rPr>
        <w:t>随访内容包括症状改善、影像学及实验室指标变化、生活能力及心理状态。</w:t>
      </w:r>
    </w:p>
    <w:p w14:paraId="2D53CDF3">
      <w:pPr>
        <w:pStyle w:val="165"/>
        <w:spacing w:line="360" w:lineRule="auto"/>
      </w:pPr>
      <w:r>
        <w:rPr>
          <w:rFonts w:hint="eastAsia"/>
        </w:rPr>
        <w:t>随访结果应记录在案，用于疗效评价、治疗方案优化和多学科协作改进。</w:t>
      </w:r>
    </w:p>
    <w:p w14:paraId="6BC9ED48">
      <w:pPr>
        <w:pStyle w:val="104"/>
        <w:spacing w:before="240" w:after="240" w:line="360" w:lineRule="auto"/>
      </w:pPr>
      <w:bookmarkStart w:id="61" w:name="_Toc209877061"/>
      <w:bookmarkStart w:id="62" w:name="_Toc209877235"/>
      <w:r>
        <w:rPr>
          <w:rFonts w:hint="eastAsia"/>
        </w:rPr>
        <w:t>并发症管理与安全防护</w:t>
      </w:r>
      <w:bookmarkEnd w:id="61"/>
      <w:bookmarkEnd w:id="62"/>
    </w:p>
    <w:p w14:paraId="673D3719">
      <w:pPr>
        <w:pStyle w:val="105"/>
        <w:spacing w:before="120" w:after="120" w:line="360" w:lineRule="auto"/>
      </w:pPr>
      <w:r>
        <w:rPr>
          <w:rFonts w:hint="eastAsia"/>
        </w:rPr>
        <w:t>并发症类型与监测</w:t>
      </w:r>
    </w:p>
    <w:p w14:paraId="46BA1ADC">
      <w:pPr>
        <w:pStyle w:val="165"/>
        <w:spacing w:line="360" w:lineRule="auto"/>
      </w:pPr>
      <w:r>
        <w:rPr>
          <w:rFonts w:hint="eastAsia"/>
        </w:rPr>
        <w:t>常见并发症包括耳压伤、鼻窦压伤、肺部气体相关损伤、氧中毒、血压异常、心律失常及神经系统反应。</w:t>
      </w:r>
    </w:p>
    <w:p w14:paraId="40853BF4">
      <w:pPr>
        <w:pStyle w:val="165"/>
        <w:spacing w:line="360" w:lineRule="auto"/>
      </w:pPr>
      <w:r>
        <w:rPr>
          <w:rFonts w:hint="eastAsia"/>
        </w:rPr>
        <w:t>治疗期间应实时监测生命体征，如心率、血压、呼吸、血氧饱和度及神经系统症状，并记录异常情况。</w:t>
      </w:r>
    </w:p>
    <w:p w14:paraId="3277B57D">
      <w:pPr>
        <w:pStyle w:val="165"/>
        <w:spacing w:line="360" w:lineRule="auto"/>
      </w:pPr>
      <w:r>
        <w:rPr>
          <w:rFonts w:hint="eastAsia"/>
        </w:rPr>
        <w:t>医务人员应熟悉各类并发症的早期表现，及时采取干预措施。</w:t>
      </w:r>
    </w:p>
    <w:p w14:paraId="323A3C30">
      <w:pPr>
        <w:pStyle w:val="105"/>
        <w:spacing w:before="120" w:after="120" w:line="360" w:lineRule="auto"/>
      </w:pPr>
      <w:r>
        <w:rPr>
          <w:rFonts w:hint="eastAsia"/>
        </w:rPr>
        <w:t>防护措施</w:t>
      </w:r>
    </w:p>
    <w:p w14:paraId="2BD36232">
      <w:pPr>
        <w:pStyle w:val="165"/>
        <w:spacing w:line="360" w:lineRule="auto"/>
      </w:pPr>
      <w:r>
        <w:rPr>
          <w:rFonts w:hint="eastAsia"/>
        </w:rPr>
        <w:t>在治疗前，应对患者进行充分评估，排除高风险因素，如严重心肺疾病、活动性出血、急性感染及既往耳鼻疾病。</w:t>
      </w:r>
    </w:p>
    <w:p w14:paraId="2BB41128">
      <w:pPr>
        <w:pStyle w:val="165"/>
        <w:spacing w:line="360" w:lineRule="auto"/>
      </w:pPr>
      <w:r>
        <w:rPr>
          <w:rFonts w:hint="eastAsia"/>
        </w:rPr>
        <w:t>治疗中，应严格控制舱内压力和氧浓度，确保减压过程缓慢，避免耳鼻压伤及肺部损伤。</w:t>
      </w:r>
    </w:p>
    <w:p w14:paraId="7F23DA0C">
      <w:pPr>
        <w:pStyle w:val="165"/>
        <w:spacing w:line="360" w:lineRule="auto"/>
      </w:pPr>
      <w:r>
        <w:rPr>
          <w:rFonts w:hint="eastAsia"/>
        </w:rPr>
        <w:t>治疗前后应指导患者正确进行耳压平衡训练，减少压力变化对耳鼻的影响。</w:t>
      </w:r>
    </w:p>
    <w:p w14:paraId="100E4CA7">
      <w:pPr>
        <w:pStyle w:val="105"/>
        <w:spacing w:before="120" w:after="120" w:line="360" w:lineRule="auto"/>
      </w:pPr>
      <w:r>
        <w:rPr>
          <w:rFonts w:hint="eastAsia"/>
        </w:rPr>
        <w:t>应急处理</w:t>
      </w:r>
    </w:p>
    <w:p w14:paraId="0F9F5F5D">
      <w:pPr>
        <w:pStyle w:val="56"/>
        <w:spacing w:line="360" w:lineRule="auto"/>
        <w:ind w:firstLine="420"/>
      </w:pPr>
      <w:r>
        <w:rPr>
          <w:rFonts w:hint="eastAsia"/>
        </w:rPr>
        <w:t>一旦发生并发症，应立即启动应急操作程序，包括降低舱压、暂停治疗、提供氧疗、吸氧或药物干预。根据多学科团队的指导，采取针对性的处理措施，并及时记录事件，包括症状、处理措施及恢复情况。对于严重并发症，应立即转入临床监护或急救处理。高压氧治疗常见并发症及处理措施见表2。</w:t>
      </w:r>
    </w:p>
    <w:p w14:paraId="36F8617A">
      <w:pPr>
        <w:pStyle w:val="112"/>
        <w:spacing w:before="120" w:after="120" w:line="360" w:lineRule="auto"/>
      </w:pPr>
      <w:r>
        <w:rPr>
          <w:rFonts w:hint="eastAsia"/>
        </w:rPr>
        <w:t>高压氧治疗常见并发症及处理措施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843"/>
        <w:gridCol w:w="1984"/>
        <w:gridCol w:w="2232"/>
        <w:gridCol w:w="1867"/>
      </w:tblGrid>
      <w:tr w14:paraId="6E70F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vAlign w:val="center"/>
          </w:tcPr>
          <w:p w14:paraId="22640F44">
            <w:pPr>
              <w:pStyle w:val="178"/>
            </w:pPr>
            <w:r>
              <w:rPr>
                <w:rFonts w:hint="eastAsia"/>
              </w:rPr>
              <w:t>并发症类型</w:t>
            </w:r>
          </w:p>
        </w:tc>
        <w:tc>
          <w:tcPr>
            <w:tcW w:w="1843" w:type="dxa"/>
            <w:tcBorders>
              <w:top w:val="single" w:color="auto" w:sz="8" w:space="0"/>
              <w:bottom w:val="single" w:color="auto" w:sz="8" w:space="0"/>
            </w:tcBorders>
            <w:shd w:val="clear" w:color="auto" w:fill="auto"/>
            <w:vAlign w:val="center"/>
          </w:tcPr>
          <w:p w14:paraId="73AA6629">
            <w:pPr>
              <w:pStyle w:val="178"/>
            </w:pPr>
            <w:r>
              <w:rPr>
                <w:rFonts w:hint="eastAsia"/>
              </w:rPr>
              <w:t>发生机制</w:t>
            </w:r>
          </w:p>
        </w:tc>
        <w:tc>
          <w:tcPr>
            <w:tcW w:w="1984" w:type="dxa"/>
            <w:tcBorders>
              <w:top w:val="single" w:color="auto" w:sz="8" w:space="0"/>
              <w:bottom w:val="single" w:color="auto" w:sz="8" w:space="0"/>
            </w:tcBorders>
            <w:shd w:val="clear" w:color="auto" w:fill="auto"/>
            <w:vAlign w:val="center"/>
          </w:tcPr>
          <w:p w14:paraId="6B1E3784">
            <w:pPr>
              <w:pStyle w:val="178"/>
            </w:pPr>
            <w:r>
              <w:rPr>
                <w:rFonts w:hint="eastAsia"/>
              </w:rPr>
              <w:t>早期表现</w:t>
            </w:r>
          </w:p>
        </w:tc>
        <w:tc>
          <w:tcPr>
            <w:tcW w:w="2232" w:type="dxa"/>
            <w:tcBorders>
              <w:top w:val="single" w:color="auto" w:sz="8" w:space="0"/>
              <w:bottom w:val="single" w:color="auto" w:sz="8" w:space="0"/>
            </w:tcBorders>
            <w:shd w:val="clear" w:color="auto" w:fill="auto"/>
            <w:vAlign w:val="center"/>
          </w:tcPr>
          <w:p w14:paraId="0144B047">
            <w:pPr>
              <w:pStyle w:val="178"/>
            </w:pPr>
            <w:r>
              <w:rPr>
                <w:rFonts w:hint="eastAsia"/>
              </w:rPr>
              <w:t>预防措施</w:t>
            </w:r>
          </w:p>
        </w:tc>
        <w:tc>
          <w:tcPr>
            <w:tcW w:w="1867" w:type="dxa"/>
            <w:tcBorders>
              <w:top w:val="single" w:color="auto" w:sz="8" w:space="0"/>
              <w:bottom w:val="single" w:color="auto" w:sz="8" w:space="0"/>
            </w:tcBorders>
            <w:shd w:val="clear" w:color="auto" w:fill="auto"/>
            <w:vAlign w:val="center"/>
          </w:tcPr>
          <w:p w14:paraId="432B47DE">
            <w:pPr>
              <w:pStyle w:val="178"/>
            </w:pPr>
            <w:r>
              <w:rPr>
                <w:rFonts w:hint="eastAsia"/>
              </w:rPr>
              <w:t>处理措施</w:t>
            </w:r>
          </w:p>
        </w:tc>
      </w:tr>
      <w:tr w14:paraId="1524B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vAlign w:val="center"/>
          </w:tcPr>
          <w:p w14:paraId="7E1BCDA3">
            <w:pPr>
              <w:pStyle w:val="178"/>
            </w:pPr>
            <w:r>
              <w:rPr>
                <w:rFonts w:hint="eastAsia"/>
              </w:rPr>
              <w:t>耳压伤</w:t>
            </w:r>
          </w:p>
        </w:tc>
        <w:tc>
          <w:tcPr>
            <w:tcW w:w="1843" w:type="dxa"/>
            <w:tcBorders>
              <w:top w:val="single" w:color="auto" w:sz="8" w:space="0"/>
            </w:tcBorders>
            <w:shd w:val="clear" w:color="auto" w:fill="auto"/>
            <w:vAlign w:val="center"/>
          </w:tcPr>
          <w:p w14:paraId="0BACD5F0">
            <w:pPr>
              <w:pStyle w:val="178"/>
            </w:pPr>
            <w:r>
              <w:rPr>
                <w:rFonts w:hint="eastAsia"/>
              </w:rPr>
              <w:t>气压变化导致中耳压力不平衡</w:t>
            </w:r>
          </w:p>
        </w:tc>
        <w:tc>
          <w:tcPr>
            <w:tcW w:w="1984" w:type="dxa"/>
            <w:tcBorders>
              <w:top w:val="single" w:color="auto" w:sz="8" w:space="0"/>
            </w:tcBorders>
            <w:shd w:val="clear" w:color="auto" w:fill="auto"/>
            <w:vAlign w:val="center"/>
          </w:tcPr>
          <w:p w14:paraId="00980513">
            <w:pPr>
              <w:pStyle w:val="178"/>
            </w:pPr>
            <w:r>
              <w:rPr>
                <w:rFonts w:hint="eastAsia"/>
              </w:rPr>
              <w:t>耳痛、听力下降、耳鸣</w:t>
            </w:r>
          </w:p>
        </w:tc>
        <w:tc>
          <w:tcPr>
            <w:tcW w:w="2232" w:type="dxa"/>
            <w:tcBorders>
              <w:top w:val="single" w:color="auto" w:sz="8" w:space="0"/>
            </w:tcBorders>
            <w:shd w:val="clear" w:color="auto" w:fill="auto"/>
            <w:vAlign w:val="center"/>
          </w:tcPr>
          <w:p w14:paraId="630755CF">
            <w:pPr>
              <w:pStyle w:val="178"/>
            </w:pPr>
            <w:r>
              <w:rPr>
                <w:rFonts w:hint="eastAsia"/>
              </w:rPr>
              <w:t>术前耳压训练、缓慢增压</w:t>
            </w:r>
          </w:p>
        </w:tc>
        <w:tc>
          <w:tcPr>
            <w:tcW w:w="1867" w:type="dxa"/>
            <w:tcBorders>
              <w:top w:val="single" w:color="auto" w:sz="8" w:space="0"/>
            </w:tcBorders>
            <w:shd w:val="clear" w:color="auto" w:fill="auto"/>
            <w:vAlign w:val="center"/>
          </w:tcPr>
          <w:p w14:paraId="2B73D0FA">
            <w:pPr>
              <w:pStyle w:val="178"/>
            </w:pPr>
            <w:r>
              <w:rPr>
                <w:rFonts w:hint="eastAsia"/>
              </w:rPr>
              <w:t>停止增压、减压、耳塞或耳滴</w:t>
            </w:r>
          </w:p>
        </w:tc>
      </w:tr>
      <w:tr w14:paraId="14F26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3DD4FE3B">
            <w:pPr>
              <w:pStyle w:val="178"/>
            </w:pPr>
            <w:r>
              <w:rPr>
                <w:rFonts w:hint="eastAsia"/>
              </w:rPr>
              <w:t>鼻窦压伤</w:t>
            </w:r>
          </w:p>
        </w:tc>
        <w:tc>
          <w:tcPr>
            <w:tcW w:w="1843" w:type="dxa"/>
            <w:shd w:val="clear" w:color="auto" w:fill="auto"/>
            <w:vAlign w:val="center"/>
          </w:tcPr>
          <w:p w14:paraId="2F29E2E5">
            <w:pPr>
              <w:pStyle w:val="178"/>
            </w:pPr>
            <w:r>
              <w:rPr>
                <w:rFonts w:hint="eastAsia"/>
              </w:rPr>
              <w:t>压力变化影响鼻窦</w:t>
            </w:r>
          </w:p>
        </w:tc>
        <w:tc>
          <w:tcPr>
            <w:tcW w:w="1984" w:type="dxa"/>
            <w:shd w:val="clear" w:color="auto" w:fill="auto"/>
            <w:vAlign w:val="center"/>
          </w:tcPr>
          <w:p w14:paraId="74F22D46">
            <w:pPr>
              <w:pStyle w:val="178"/>
            </w:pPr>
            <w:r>
              <w:rPr>
                <w:rFonts w:hint="eastAsia"/>
              </w:rPr>
              <w:t>头痛、鼻出血</w:t>
            </w:r>
          </w:p>
        </w:tc>
        <w:tc>
          <w:tcPr>
            <w:tcW w:w="2232" w:type="dxa"/>
            <w:shd w:val="clear" w:color="auto" w:fill="auto"/>
            <w:vAlign w:val="center"/>
          </w:tcPr>
          <w:p w14:paraId="09BFDE94">
            <w:pPr>
              <w:pStyle w:val="178"/>
            </w:pPr>
            <w:r>
              <w:rPr>
                <w:rFonts w:hint="eastAsia"/>
              </w:rPr>
              <w:t>缓慢增压、定期鼻腔清理</w:t>
            </w:r>
          </w:p>
        </w:tc>
        <w:tc>
          <w:tcPr>
            <w:tcW w:w="1867" w:type="dxa"/>
            <w:shd w:val="clear" w:color="auto" w:fill="auto"/>
            <w:vAlign w:val="center"/>
          </w:tcPr>
          <w:p w14:paraId="20CA88E4">
            <w:pPr>
              <w:pStyle w:val="178"/>
            </w:pPr>
            <w:r>
              <w:rPr>
                <w:rFonts w:hint="eastAsia"/>
              </w:rPr>
              <w:t>停止治疗、局部止血</w:t>
            </w:r>
          </w:p>
        </w:tc>
      </w:tr>
      <w:tr w14:paraId="0AA24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32009C26">
            <w:pPr>
              <w:pStyle w:val="178"/>
            </w:pPr>
            <w:r>
              <w:rPr>
                <w:rFonts w:hint="eastAsia"/>
              </w:rPr>
              <w:t>氧中毒</w:t>
            </w:r>
          </w:p>
        </w:tc>
        <w:tc>
          <w:tcPr>
            <w:tcW w:w="1843" w:type="dxa"/>
            <w:shd w:val="clear" w:color="auto" w:fill="auto"/>
            <w:vAlign w:val="center"/>
          </w:tcPr>
          <w:p w14:paraId="5C733445">
            <w:pPr>
              <w:pStyle w:val="178"/>
            </w:pPr>
            <w:r>
              <w:rPr>
                <w:rFonts w:hint="eastAsia"/>
              </w:rPr>
              <w:t>高浓度氧长时间吸入</w:t>
            </w:r>
          </w:p>
        </w:tc>
        <w:tc>
          <w:tcPr>
            <w:tcW w:w="1984" w:type="dxa"/>
            <w:shd w:val="clear" w:color="auto" w:fill="auto"/>
            <w:vAlign w:val="center"/>
          </w:tcPr>
          <w:p w14:paraId="4AA92C6F">
            <w:pPr>
              <w:pStyle w:val="178"/>
            </w:pPr>
            <w:r>
              <w:rPr>
                <w:rFonts w:hint="eastAsia"/>
              </w:rPr>
              <w:t>咳嗽、呼吸困难、神经兴奋</w:t>
            </w:r>
          </w:p>
        </w:tc>
        <w:tc>
          <w:tcPr>
            <w:tcW w:w="2232" w:type="dxa"/>
            <w:shd w:val="clear" w:color="auto" w:fill="auto"/>
            <w:vAlign w:val="center"/>
          </w:tcPr>
          <w:p w14:paraId="571A7158">
            <w:pPr>
              <w:pStyle w:val="178"/>
            </w:pPr>
            <w:r>
              <w:rPr>
                <w:rFonts w:hint="eastAsia"/>
              </w:rPr>
              <w:t>控制氧浓度和疗程时间</w:t>
            </w:r>
          </w:p>
        </w:tc>
        <w:tc>
          <w:tcPr>
            <w:tcW w:w="1867" w:type="dxa"/>
            <w:shd w:val="clear" w:color="auto" w:fill="auto"/>
            <w:vAlign w:val="center"/>
          </w:tcPr>
          <w:p w14:paraId="2C7B20B3">
            <w:pPr>
              <w:pStyle w:val="178"/>
            </w:pPr>
            <w:r>
              <w:rPr>
                <w:rFonts w:hint="eastAsia"/>
              </w:rPr>
              <w:t>停止氧吸入、吸入空气、监测</w:t>
            </w:r>
          </w:p>
        </w:tc>
      </w:tr>
      <w:tr w14:paraId="3EA81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0E0FE1F9">
            <w:pPr>
              <w:pStyle w:val="178"/>
            </w:pPr>
            <w:r>
              <w:rPr>
                <w:rFonts w:hint="eastAsia"/>
              </w:rPr>
              <w:t>血压异常</w:t>
            </w:r>
          </w:p>
        </w:tc>
        <w:tc>
          <w:tcPr>
            <w:tcW w:w="1843" w:type="dxa"/>
            <w:shd w:val="clear" w:color="auto" w:fill="auto"/>
            <w:vAlign w:val="center"/>
          </w:tcPr>
          <w:p w14:paraId="125CC069">
            <w:pPr>
              <w:pStyle w:val="178"/>
            </w:pPr>
            <w:r>
              <w:rPr>
                <w:rFonts w:hint="eastAsia"/>
              </w:rPr>
              <w:t>氧气作用及压力变化</w:t>
            </w:r>
          </w:p>
        </w:tc>
        <w:tc>
          <w:tcPr>
            <w:tcW w:w="1984" w:type="dxa"/>
            <w:shd w:val="clear" w:color="auto" w:fill="auto"/>
            <w:vAlign w:val="center"/>
          </w:tcPr>
          <w:p w14:paraId="0B4E4368">
            <w:pPr>
              <w:pStyle w:val="178"/>
            </w:pPr>
            <w:r>
              <w:rPr>
                <w:rFonts w:hint="eastAsia"/>
              </w:rPr>
              <w:t>高血压或低血压</w:t>
            </w:r>
          </w:p>
        </w:tc>
        <w:tc>
          <w:tcPr>
            <w:tcW w:w="2232" w:type="dxa"/>
            <w:shd w:val="clear" w:color="auto" w:fill="auto"/>
            <w:vAlign w:val="center"/>
          </w:tcPr>
          <w:p w14:paraId="547C964A">
            <w:pPr>
              <w:pStyle w:val="178"/>
            </w:pPr>
            <w:r>
              <w:rPr>
                <w:rFonts w:hint="eastAsia"/>
              </w:rPr>
              <w:t>治疗前评估血压、监控心血管状态</w:t>
            </w:r>
          </w:p>
        </w:tc>
        <w:tc>
          <w:tcPr>
            <w:tcW w:w="1867" w:type="dxa"/>
            <w:shd w:val="clear" w:color="auto" w:fill="auto"/>
            <w:vAlign w:val="center"/>
          </w:tcPr>
          <w:p w14:paraId="4A9E86D9">
            <w:pPr>
              <w:pStyle w:val="178"/>
            </w:pPr>
            <w:r>
              <w:rPr>
                <w:rFonts w:hint="eastAsia"/>
              </w:rPr>
              <w:t>调整压力或暂停治疗</w:t>
            </w:r>
          </w:p>
        </w:tc>
      </w:tr>
      <w:tr w14:paraId="4451D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519041EC">
            <w:pPr>
              <w:pStyle w:val="178"/>
            </w:pPr>
            <w:r>
              <w:rPr>
                <w:rFonts w:hint="eastAsia"/>
              </w:rPr>
              <w:t>心律失常</w:t>
            </w:r>
          </w:p>
        </w:tc>
        <w:tc>
          <w:tcPr>
            <w:tcW w:w="1843" w:type="dxa"/>
            <w:shd w:val="clear" w:color="auto" w:fill="auto"/>
            <w:vAlign w:val="center"/>
          </w:tcPr>
          <w:p w14:paraId="263DCE82">
            <w:pPr>
              <w:pStyle w:val="178"/>
            </w:pPr>
            <w:r>
              <w:rPr>
                <w:rFonts w:hint="eastAsia"/>
              </w:rPr>
              <w:t>高压氧对心肌及自主神经影响</w:t>
            </w:r>
          </w:p>
        </w:tc>
        <w:tc>
          <w:tcPr>
            <w:tcW w:w="1984" w:type="dxa"/>
            <w:shd w:val="clear" w:color="auto" w:fill="auto"/>
            <w:vAlign w:val="center"/>
          </w:tcPr>
          <w:p w14:paraId="2C28078D">
            <w:pPr>
              <w:pStyle w:val="178"/>
            </w:pPr>
            <w:r>
              <w:rPr>
                <w:rFonts w:hint="eastAsia"/>
              </w:rPr>
              <w:t>心悸、心律不齐</w:t>
            </w:r>
          </w:p>
        </w:tc>
        <w:tc>
          <w:tcPr>
            <w:tcW w:w="2232" w:type="dxa"/>
            <w:shd w:val="clear" w:color="auto" w:fill="auto"/>
            <w:vAlign w:val="center"/>
          </w:tcPr>
          <w:p w14:paraId="16B67A27">
            <w:pPr>
              <w:pStyle w:val="178"/>
            </w:pPr>
            <w:r>
              <w:rPr>
                <w:rFonts w:hint="eastAsia"/>
              </w:rPr>
              <w:t>心脏疾病评估、连续心电监测</w:t>
            </w:r>
          </w:p>
        </w:tc>
        <w:tc>
          <w:tcPr>
            <w:tcW w:w="1867" w:type="dxa"/>
            <w:shd w:val="clear" w:color="auto" w:fill="auto"/>
            <w:vAlign w:val="center"/>
          </w:tcPr>
          <w:p w14:paraId="7178DA0B">
            <w:pPr>
              <w:pStyle w:val="178"/>
            </w:pPr>
            <w:r>
              <w:rPr>
                <w:rFonts w:hint="eastAsia"/>
              </w:rPr>
              <w:t>心电复苏或药物干预</w:t>
            </w:r>
          </w:p>
        </w:tc>
      </w:tr>
      <w:tr w14:paraId="329C7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134489D3">
            <w:pPr>
              <w:pStyle w:val="178"/>
            </w:pPr>
            <w:r>
              <w:rPr>
                <w:rFonts w:hint="eastAsia"/>
              </w:rPr>
              <w:t>神经系统反应</w:t>
            </w:r>
          </w:p>
        </w:tc>
        <w:tc>
          <w:tcPr>
            <w:tcW w:w="1843" w:type="dxa"/>
            <w:shd w:val="clear" w:color="auto" w:fill="auto"/>
            <w:vAlign w:val="center"/>
          </w:tcPr>
          <w:p w14:paraId="47682DD5">
            <w:pPr>
              <w:pStyle w:val="178"/>
            </w:pPr>
            <w:r>
              <w:rPr>
                <w:rFonts w:hint="eastAsia"/>
              </w:rPr>
              <w:t>氧分压过高引起兴奋或抽搐</w:t>
            </w:r>
          </w:p>
        </w:tc>
        <w:tc>
          <w:tcPr>
            <w:tcW w:w="1984" w:type="dxa"/>
            <w:shd w:val="clear" w:color="auto" w:fill="auto"/>
            <w:vAlign w:val="center"/>
          </w:tcPr>
          <w:p w14:paraId="02B3177A">
            <w:pPr>
              <w:pStyle w:val="178"/>
            </w:pPr>
            <w:r>
              <w:rPr>
                <w:rFonts w:hint="eastAsia"/>
              </w:rPr>
              <w:t>眩晕、头痛、抽搐</w:t>
            </w:r>
          </w:p>
        </w:tc>
        <w:tc>
          <w:tcPr>
            <w:tcW w:w="2232" w:type="dxa"/>
            <w:shd w:val="clear" w:color="auto" w:fill="auto"/>
            <w:vAlign w:val="center"/>
          </w:tcPr>
          <w:p w14:paraId="2B9867A8">
            <w:pPr>
              <w:pStyle w:val="178"/>
            </w:pPr>
            <w:r>
              <w:rPr>
                <w:rFonts w:hint="eastAsia"/>
              </w:rPr>
              <w:t>严格控制压力及氧浓度</w:t>
            </w:r>
          </w:p>
        </w:tc>
        <w:tc>
          <w:tcPr>
            <w:tcW w:w="1867" w:type="dxa"/>
            <w:shd w:val="clear" w:color="auto" w:fill="auto"/>
            <w:vAlign w:val="center"/>
          </w:tcPr>
          <w:p w14:paraId="10CD64B0">
            <w:pPr>
              <w:pStyle w:val="178"/>
            </w:pPr>
            <w:r>
              <w:rPr>
                <w:rFonts w:hint="eastAsia"/>
              </w:rPr>
              <w:t>停止治疗、药物控制、监护</w:t>
            </w:r>
          </w:p>
        </w:tc>
      </w:tr>
    </w:tbl>
    <w:p w14:paraId="509EB4F9">
      <w:pPr>
        <w:pStyle w:val="105"/>
        <w:spacing w:before="120" w:after="120" w:line="360" w:lineRule="auto"/>
      </w:pPr>
      <w:r>
        <w:rPr>
          <w:rFonts w:hint="eastAsia"/>
        </w:rPr>
        <w:t>记录与追踪</w:t>
      </w:r>
    </w:p>
    <w:p w14:paraId="7391A1D9">
      <w:pPr>
        <w:pStyle w:val="56"/>
        <w:spacing w:line="360" w:lineRule="auto"/>
        <w:ind w:firstLine="420"/>
      </w:pPr>
      <w:r>
        <w:rPr>
          <w:rFonts w:hint="eastAsia"/>
        </w:rPr>
        <w:t>所有并发症事件及处理过程应形成完整记录，包括症状描述、发生时间、处理措施、恢复情况及责任医务人员签名。通过分析并发症发生规律，可优化治疗方案、改进操作流程，并指导培训和风险防控措施的更新。</w:t>
      </w:r>
    </w:p>
    <w:p w14:paraId="1DA95816">
      <w:pPr>
        <w:pStyle w:val="105"/>
        <w:spacing w:before="120" w:after="120" w:line="360" w:lineRule="auto"/>
      </w:pPr>
      <w:r>
        <w:rPr>
          <w:rFonts w:hint="eastAsia"/>
        </w:rPr>
        <w:t>多学科协作</w:t>
      </w:r>
    </w:p>
    <w:p w14:paraId="04A507E2">
      <w:pPr>
        <w:pStyle w:val="56"/>
        <w:spacing w:line="360" w:lineRule="auto"/>
        <w:ind w:firstLine="420"/>
      </w:pPr>
      <w:r>
        <w:rPr>
          <w:rFonts w:hint="eastAsia"/>
        </w:rPr>
        <w:t>多学科团队应共同参与并发症防控和应急处理。呼吸科负责氧疗及肺部监控，心血管科负责心脏功能监测和干预，神经科关注神经系统症状，耳鼻科处理耳鼻压伤，护理人员协助观察和记录。通过协作，可提高并发症识别及时性，缩短处理时间，确保患者安全。</w:t>
      </w:r>
    </w:p>
    <w:p w14:paraId="16D30827">
      <w:pPr>
        <w:pStyle w:val="105"/>
        <w:spacing w:before="120" w:after="120" w:line="360" w:lineRule="auto"/>
      </w:pPr>
      <w:r>
        <w:rPr>
          <w:rFonts w:hint="eastAsia"/>
        </w:rPr>
        <w:t>持续改进与培训</w:t>
      </w:r>
    </w:p>
    <w:p w14:paraId="205A9A45">
      <w:pPr>
        <w:pStyle w:val="56"/>
        <w:spacing w:line="360" w:lineRule="auto"/>
        <w:ind w:firstLine="420"/>
      </w:pPr>
      <w:r>
        <w:rPr>
          <w:rFonts w:hint="eastAsia"/>
        </w:rPr>
        <w:t>定期总结并发症事件和处理经验，更新操作流程、风险评估和培训内容。医务人员应持续接受并发症识别和处理培训，掌握最新技术和规范，提高智能运维治疗安全水平。</w:t>
      </w:r>
    </w:p>
    <w:p w14:paraId="4658605F">
      <w:pPr>
        <w:pStyle w:val="104"/>
        <w:spacing w:before="240" w:after="240" w:line="360" w:lineRule="auto"/>
      </w:pPr>
      <w:bookmarkStart w:id="63" w:name="_Toc209877236"/>
      <w:bookmarkStart w:id="64" w:name="_Toc209877062"/>
      <w:r>
        <w:rPr>
          <w:rFonts w:hint="eastAsia"/>
        </w:rPr>
        <w:t>随访与疗效评价</w:t>
      </w:r>
      <w:bookmarkEnd w:id="63"/>
      <w:bookmarkEnd w:id="64"/>
    </w:p>
    <w:p w14:paraId="0AE588C8">
      <w:pPr>
        <w:pStyle w:val="105"/>
        <w:spacing w:before="120" w:after="120" w:line="360" w:lineRule="auto"/>
      </w:pPr>
      <w:r>
        <w:rPr>
          <w:rFonts w:hint="eastAsia"/>
        </w:rPr>
        <w:t>随访原则</w:t>
      </w:r>
    </w:p>
    <w:p w14:paraId="2EC6E234">
      <w:pPr>
        <w:pStyle w:val="165"/>
        <w:spacing w:line="360" w:lineRule="auto"/>
      </w:pPr>
      <w:r>
        <w:rPr>
          <w:rFonts w:hint="eastAsia"/>
        </w:rPr>
        <w:t>随访应遵循科学性、系统性和个体化原则。</w:t>
      </w:r>
    </w:p>
    <w:p w14:paraId="799EBCFD">
      <w:pPr>
        <w:pStyle w:val="165"/>
        <w:spacing w:line="360" w:lineRule="auto"/>
      </w:pPr>
      <w:r>
        <w:rPr>
          <w:rFonts w:hint="eastAsia"/>
        </w:rPr>
        <w:t>多学科团队应根据患者疾病类型、治疗方案及并发症情况，制定随访计划。</w:t>
      </w:r>
    </w:p>
    <w:p w14:paraId="685A3EFC">
      <w:pPr>
        <w:pStyle w:val="165"/>
        <w:spacing w:line="360" w:lineRule="auto"/>
      </w:pPr>
      <w:r>
        <w:rPr>
          <w:rFonts w:hint="eastAsia"/>
        </w:rPr>
        <w:t>随访内容包括临床症状、实验室及影像学指标、功能恢复情况、生活质量及心理状态。</w:t>
      </w:r>
    </w:p>
    <w:p w14:paraId="22BD16D5">
      <w:pPr>
        <w:pStyle w:val="165"/>
        <w:spacing w:line="360" w:lineRule="auto"/>
      </w:pPr>
      <w:r>
        <w:rPr>
          <w:rFonts w:hint="eastAsia"/>
        </w:rPr>
        <w:t>随访时间应根据病情轻重及疗程长短合理安排，一般包括治疗结束后1周、1个月、3个月及6个月等节点。</w:t>
      </w:r>
    </w:p>
    <w:p w14:paraId="656B59A2">
      <w:pPr>
        <w:pStyle w:val="105"/>
        <w:spacing w:before="120" w:after="120" w:line="360" w:lineRule="auto"/>
      </w:pPr>
      <w:r>
        <w:rPr>
          <w:rFonts w:hint="eastAsia"/>
        </w:rPr>
        <w:t>随访内容与方法</w:t>
      </w:r>
    </w:p>
    <w:p w14:paraId="2E6592BF">
      <w:pPr>
        <w:pStyle w:val="165"/>
        <w:spacing w:line="360" w:lineRule="auto"/>
      </w:pPr>
      <w:r>
        <w:rPr>
          <w:rFonts w:hint="eastAsia"/>
        </w:rPr>
        <w:t>随访应结合门诊随访、电话或远程监控平台、患者自我记录和必要的复查检查。重点关注氧疗相关指标、组织修复情况、病情缓解或复发、治疗耐受性及并发症发生情况。</w:t>
      </w:r>
    </w:p>
    <w:p w14:paraId="1EC1EB42">
      <w:pPr>
        <w:pStyle w:val="165"/>
        <w:spacing w:line="360" w:lineRule="auto"/>
      </w:pPr>
      <w:r>
        <w:rPr>
          <w:rFonts w:hint="eastAsia"/>
        </w:rPr>
        <w:t>患者可通过随访表或电子健康记录系统报告症状及生活质量，便于医务人员进行综合分析。高压氧治疗随访关键指标见表3。</w:t>
      </w:r>
    </w:p>
    <w:p w14:paraId="02BF0D23">
      <w:pPr>
        <w:pStyle w:val="112"/>
        <w:spacing w:before="120" w:after="120" w:line="360" w:lineRule="auto"/>
      </w:pPr>
      <w:r>
        <w:rPr>
          <w:rFonts w:hint="eastAsia"/>
        </w:rPr>
        <w:t>高压氧治疗随访关键指标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2834"/>
        <w:gridCol w:w="2333"/>
        <w:gridCol w:w="2334"/>
      </w:tblGrid>
      <w:tr w14:paraId="2B0B8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shd w:val="clear" w:color="auto" w:fill="auto"/>
          </w:tcPr>
          <w:p w14:paraId="5E04E859">
            <w:pPr>
              <w:pStyle w:val="178"/>
            </w:pPr>
            <w:r>
              <w:rPr>
                <w:rFonts w:hint="eastAsia"/>
              </w:rPr>
              <w:t>随访类别</w:t>
            </w:r>
          </w:p>
        </w:tc>
        <w:tc>
          <w:tcPr>
            <w:tcW w:w="2834" w:type="dxa"/>
            <w:tcBorders>
              <w:top w:val="single" w:color="auto" w:sz="8" w:space="0"/>
              <w:bottom w:val="single" w:color="auto" w:sz="8" w:space="0"/>
            </w:tcBorders>
            <w:shd w:val="clear" w:color="auto" w:fill="auto"/>
          </w:tcPr>
          <w:p w14:paraId="7D529457">
            <w:pPr>
              <w:pStyle w:val="178"/>
            </w:pPr>
            <w:r>
              <w:rPr>
                <w:rFonts w:hint="eastAsia"/>
              </w:rPr>
              <w:t>指标</w:t>
            </w:r>
          </w:p>
        </w:tc>
        <w:tc>
          <w:tcPr>
            <w:tcW w:w="2333" w:type="dxa"/>
            <w:tcBorders>
              <w:top w:val="single" w:color="auto" w:sz="8" w:space="0"/>
              <w:bottom w:val="single" w:color="auto" w:sz="8" w:space="0"/>
            </w:tcBorders>
            <w:shd w:val="clear" w:color="auto" w:fill="auto"/>
          </w:tcPr>
          <w:p w14:paraId="6411D107">
            <w:pPr>
              <w:pStyle w:val="178"/>
            </w:pPr>
            <w:r>
              <w:rPr>
                <w:rFonts w:hint="eastAsia"/>
              </w:rPr>
              <w:t>测量方法/工具</w:t>
            </w:r>
          </w:p>
        </w:tc>
        <w:tc>
          <w:tcPr>
            <w:tcW w:w="2334" w:type="dxa"/>
            <w:tcBorders>
              <w:top w:val="single" w:color="auto" w:sz="8" w:space="0"/>
              <w:bottom w:val="single" w:color="auto" w:sz="8" w:space="0"/>
            </w:tcBorders>
            <w:shd w:val="clear" w:color="auto" w:fill="auto"/>
          </w:tcPr>
          <w:p w14:paraId="1A8CEA76">
            <w:pPr>
              <w:pStyle w:val="178"/>
            </w:pPr>
            <w:r>
              <w:rPr>
                <w:rFonts w:hint="eastAsia"/>
              </w:rPr>
              <w:t>评估标准</w:t>
            </w:r>
          </w:p>
        </w:tc>
      </w:tr>
      <w:tr w14:paraId="2E347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shd w:val="clear" w:color="auto" w:fill="auto"/>
          </w:tcPr>
          <w:p w14:paraId="734B4524">
            <w:pPr>
              <w:pStyle w:val="178"/>
            </w:pPr>
            <w:r>
              <w:rPr>
                <w:rFonts w:hint="eastAsia"/>
              </w:rPr>
              <w:t>临床症状</w:t>
            </w:r>
          </w:p>
        </w:tc>
        <w:tc>
          <w:tcPr>
            <w:tcW w:w="2834" w:type="dxa"/>
            <w:tcBorders>
              <w:top w:val="single" w:color="auto" w:sz="8" w:space="0"/>
            </w:tcBorders>
            <w:shd w:val="clear" w:color="auto" w:fill="auto"/>
          </w:tcPr>
          <w:p w14:paraId="29A86AF8">
            <w:pPr>
              <w:pStyle w:val="178"/>
            </w:pPr>
            <w:r>
              <w:rPr>
                <w:rFonts w:hint="eastAsia"/>
              </w:rPr>
              <w:t>疼痛、肿胀、缺血表现</w:t>
            </w:r>
          </w:p>
        </w:tc>
        <w:tc>
          <w:tcPr>
            <w:tcW w:w="2333" w:type="dxa"/>
            <w:tcBorders>
              <w:top w:val="single" w:color="auto" w:sz="8" w:space="0"/>
            </w:tcBorders>
            <w:shd w:val="clear" w:color="auto" w:fill="auto"/>
          </w:tcPr>
          <w:p w14:paraId="3D1C6D5B">
            <w:pPr>
              <w:pStyle w:val="178"/>
            </w:pPr>
            <w:r>
              <w:rPr>
                <w:rFonts w:hint="eastAsia"/>
              </w:rPr>
              <w:t>临床检查、问诊</w:t>
            </w:r>
          </w:p>
        </w:tc>
        <w:tc>
          <w:tcPr>
            <w:tcW w:w="2334" w:type="dxa"/>
            <w:tcBorders>
              <w:top w:val="single" w:color="auto" w:sz="8" w:space="0"/>
            </w:tcBorders>
            <w:shd w:val="clear" w:color="auto" w:fill="auto"/>
          </w:tcPr>
          <w:p w14:paraId="069C1DEB">
            <w:pPr>
              <w:pStyle w:val="178"/>
            </w:pPr>
            <w:r>
              <w:rPr>
                <w:rFonts w:hint="eastAsia"/>
              </w:rPr>
              <w:t>明显缓解/改善</w:t>
            </w:r>
          </w:p>
        </w:tc>
      </w:tr>
      <w:tr w14:paraId="3D065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2E94CEC3">
            <w:pPr>
              <w:pStyle w:val="178"/>
            </w:pPr>
            <w:r>
              <w:rPr>
                <w:rFonts w:hint="eastAsia"/>
              </w:rPr>
              <w:t>功能恢复</w:t>
            </w:r>
          </w:p>
        </w:tc>
        <w:tc>
          <w:tcPr>
            <w:tcW w:w="2834" w:type="dxa"/>
            <w:shd w:val="clear" w:color="auto" w:fill="auto"/>
          </w:tcPr>
          <w:p w14:paraId="1DCCDECA">
            <w:pPr>
              <w:pStyle w:val="178"/>
            </w:pPr>
            <w:r>
              <w:rPr>
                <w:rFonts w:hint="eastAsia"/>
              </w:rPr>
              <w:t>神经功能、运动能力、组织愈合</w:t>
            </w:r>
          </w:p>
        </w:tc>
        <w:tc>
          <w:tcPr>
            <w:tcW w:w="2333" w:type="dxa"/>
            <w:shd w:val="clear" w:color="auto" w:fill="auto"/>
          </w:tcPr>
          <w:p w14:paraId="578BBDF4">
            <w:pPr>
              <w:pStyle w:val="178"/>
            </w:pPr>
            <w:r>
              <w:rPr>
                <w:rFonts w:hint="eastAsia"/>
              </w:rPr>
              <w:t>神经学评估、康复测试</w:t>
            </w:r>
          </w:p>
        </w:tc>
        <w:tc>
          <w:tcPr>
            <w:tcW w:w="2334" w:type="dxa"/>
            <w:shd w:val="clear" w:color="auto" w:fill="auto"/>
          </w:tcPr>
          <w:p w14:paraId="270319ED">
            <w:pPr>
              <w:pStyle w:val="178"/>
            </w:pPr>
            <w:r>
              <w:rPr>
                <w:rFonts w:hint="eastAsia"/>
              </w:rPr>
              <w:t>与基线比较显著改善</w:t>
            </w:r>
          </w:p>
        </w:tc>
      </w:tr>
      <w:tr w14:paraId="76D64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380D3A0C">
            <w:pPr>
              <w:pStyle w:val="178"/>
            </w:pPr>
            <w:r>
              <w:rPr>
                <w:rFonts w:hint="eastAsia"/>
              </w:rPr>
              <w:t>实验室及影像学</w:t>
            </w:r>
          </w:p>
        </w:tc>
        <w:tc>
          <w:tcPr>
            <w:tcW w:w="2834" w:type="dxa"/>
            <w:shd w:val="clear" w:color="auto" w:fill="auto"/>
          </w:tcPr>
          <w:p w14:paraId="6E78A670">
            <w:pPr>
              <w:pStyle w:val="178"/>
            </w:pPr>
            <w:r>
              <w:rPr>
                <w:rFonts w:hint="eastAsia"/>
              </w:rPr>
              <w:t>血氧分压、血流动力学指标</w:t>
            </w:r>
          </w:p>
        </w:tc>
        <w:tc>
          <w:tcPr>
            <w:tcW w:w="2333" w:type="dxa"/>
            <w:shd w:val="clear" w:color="auto" w:fill="auto"/>
          </w:tcPr>
          <w:p w14:paraId="25960CDA">
            <w:pPr>
              <w:pStyle w:val="178"/>
            </w:pPr>
            <w:r>
              <w:rPr>
                <w:rFonts w:hint="eastAsia"/>
              </w:rPr>
              <w:t>血气分析、超声、CT或MRI</w:t>
            </w:r>
          </w:p>
        </w:tc>
        <w:tc>
          <w:tcPr>
            <w:tcW w:w="2334" w:type="dxa"/>
            <w:shd w:val="clear" w:color="auto" w:fill="auto"/>
          </w:tcPr>
          <w:p w14:paraId="0877CBE9">
            <w:pPr>
              <w:pStyle w:val="178"/>
            </w:pPr>
            <w:r>
              <w:rPr>
                <w:rFonts w:hint="eastAsia"/>
              </w:rPr>
              <w:t>达到预期目标或改善</w:t>
            </w:r>
          </w:p>
        </w:tc>
      </w:tr>
      <w:tr w14:paraId="6A82B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163E3CC7">
            <w:pPr>
              <w:pStyle w:val="178"/>
            </w:pPr>
            <w:r>
              <w:rPr>
                <w:rFonts w:hint="eastAsia"/>
              </w:rPr>
              <w:t>并发症监测</w:t>
            </w:r>
          </w:p>
        </w:tc>
        <w:tc>
          <w:tcPr>
            <w:tcW w:w="2834" w:type="dxa"/>
            <w:shd w:val="clear" w:color="auto" w:fill="auto"/>
          </w:tcPr>
          <w:p w14:paraId="6CAE4FAB">
            <w:pPr>
              <w:pStyle w:val="178"/>
            </w:pPr>
            <w:r>
              <w:rPr>
                <w:rFonts w:hint="eastAsia"/>
              </w:rPr>
              <w:t>氧中毒、耳鼻压伤等</w:t>
            </w:r>
          </w:p>
        </w:tc>
        <w:tc>
          <w:tcPr>
            <w:tcW w:w="2333" w:type="dxa"/>
            <w:shd w:val="clear" w:color="auto" w:fill="auto"/>
          </w:tcPr>
          <w:p w14:paraId="763347DB">
            <w:pPr>
              <w:pStyle w:val="178"/>
            </w:pPr>
            <w:r>
              <w:rPr>
                <w:rFonts w:hint="eastAsia"/>
              </w:rPr>
              <w:t>体格检查、影像学及实验室</w:t>
            </w:r>
          </w:p>
        </w:tc>
        <w:tc>
          <w:tcPr>
            <w:tcW w:w="2334" w:type="dxa"/>
            <w:shd w:val="clear" w:color="auto" w:fill="auto"/>
          </w:tcPr>
          <w:p w14:paraId="28589CC3">
            <w:pPr>
              <w:pStyle w:val="178"/>
            </w:pPr>
            <w:r>
              <w:rPr>
                <w:rFonts w:hint="eastAsia"/>
              </w:rPr>
              <w:t>未出现或轻微可控制</w:t>
            </w:r>
          </w:p>
        </w:tc>
      </w:tr>
      <w:tr w14:paraId="398E0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33A378DA">
            <w:pPr>
              <w:pStyle w:val="178"/>
            </w:pPr>
            <w:r>
              <w:rPr>
                <w:rFonts w:hint="eastAsia"/>
              </w:rPr>
              <w:t>生活质量</w:t>
            </w:r>
          </w:p>
        </w:tc>
        <w:tc>
          <w:tcPr>
            <w:tcW w:w="2834" w:type="dxa"/>
            <w:shd w:val="clear" w:color="auto" w:fill="auto"/>
          </w:tcPr>
          <w:p w14:paraId="21600D4D">
            <w:pPr>
              <w:pStyle w:val="178"/>
            </w:pPr>
            <w:r>
              <w:rPr>
                <w:rFonts w:hint="eastAsia"/>
              </w:rPr>
              <w:t>日常活动能力、心理状态</w:t>
            </w:r>
          </w:p>
        </w:tc>
        <w:tc>
          <w:tcPr>
            <w:tcW w:w="2333" w:type="dxa"/>
            <w:shd w:val="clear" w:color="auto" w:fill="auto"/>
          </w:tcPr>
          <w:p w14:paraId="7CEB0F19">
            <w:pPr>
              <w:pStyle w:val="178"/>
            </w:pPr>
            <w:r>
              <w:rPr>
                <w:rFonts w:hint="eastAsia"/>
              </w:rPr>
              <w:t>问卷调查、心理评估</w:t>
            </w:r>
          </w:p>
        </w:tc>
        <w:tc>
          <w:tcPr>
            <w:tcW w:w="2334" w:type="dxa"/>
            <w:shd w:val="clear" w:color="auto" w:fill="auto"/>
          </w:tcPr>
          <w:p w14:paraId="60AF20E6">
            <w:pPr>
              <w:pStyle w:val="178"/>
            </w:pPr>
            <w:r>
              <w:rPr>
                <w:rFonts w:hint="eastAsia"/>
              </w:rPr>
              <w:t>与基线相比明显改善</w:t>
            </w:r>
          </w:p>
        </w:tc>
      </w:tr>
      <w:tr w14:paraId="7F4F6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192CD66E">
            <w:pPr>
              <w:pStyle w:val="178"/>
            </w:pPr>
            <w:r>
              <w:rPr>
                <w:rFonts w:hint="eastAsia"/>
              </w:rPr>
              <w:t>治疗依从性</w:t>
            </w:r>
          </w:p>
        </w:tc>
        <w:tc>
          <w:tcPr>
            <w:tcW w:w="2834" w:type="dxa"/>
            <w:shd w:val="clear" w:color="auto" w:fill="auto"/>
          </w:tcPr>
          <w:p w14:paraId="682AF9DF">
            <w:pPr>
              <w:pStyle w:val="178"/>
            </w:pPr>
            <w:r>
              <w:rPr>
                <w:rFonts w:hint="eastAsia"/>
              </w:rPr>
              <w:t>完成治疗次数及疗程</w:t>
            </w:r>
          </w:p>
        </w:tc>
        <w:tc>
          <w:tcPr>
            <w:tcW w:w="2333" w:type="dxa"/>
            <w:shd w:val="clear" w:color="auto" w:fill="auto"/>
          </w:tcPr>
          <w:p w14:paraId="53C0DDE4">
            <w:pPr>
              <w:pStyle w:val="178"/>
            </w:pPr>
            <w:r>
              <w:rPr>
                <w:rFonts w:hint="eastAsia"/>
              </w:rPr>
              <w:t>治疗记录</w:t>
            </w:r>
          </w:p>
        </w:tc>
        <w:tc>
          <w:tcPr>
            <w:tcW w:w="2334" w:type="dxa"/>
            <w:shd w:val="clear" w:color="auto" w:fill="auto"/>
          </w:tcPr>
          <w:p w14:paraId="290D53AA">
            <w:pPr>
              <w:pStyle w:val="178"/>
            </w:pPr>
            <w:r>
              <w:rPr>
                <w:rFonts w:hint="eastAsia"/>
              </w:rPr>
              <w:t>达到既定疗程要求</w:t>
            </w:r>
          </w:p>
        </w:tc>
      </w:tr>
    </w:tbl>
    <w:p w14:paraId="10557C12">
      <w:pPr>
        <w:pStyle w:val="105"/>
        <w:spacing w:before="120" w:after="120" w:line="360" w:lineRule="auto"/>
      </w:pPr>
      <w:r>
        <w:rPr>
          <w:rFonts w:hint="eastAsia"/>
        </w:rPr>
        <w:t>疗效评价</w:t>
      </w:r>
    </w:p>
    <w:p w14:paraId="2ACD8A94">
      <w:pPr>
        <w:pStyle w:val="165"/>
        <w:spacing w:line="360" w:lineRule="auto"/>
      </w:pPr>
      <w:r>
        <w:rPr>
          <w:rFonts w:hint="eastAsia"/>
        </w:rPr>
        <w:t>疗效评价应由多学科团队联合完成，综合分析随访数据、临床指标及实验室检查结果。</w:t>
      </w:r>
    </w:p>
    <w:p w14:paraId="420D56DA">
      <w:pPr>
        <w:pStyle w:val="165"/>
        <w:spacing w:line="360" w:lineRule="auto"/>
      </w:pPr>
      <w:r>
        <w:rPr>
          <w:rFonts w:hint="eastAsia"/>
        </w:rPr>
        <w:t>根据病情改善程度、组织修复情况、功能恢复水平及生活质量改善情况，对疗效进行分级，例如显效、有效、无效等，并形成正式评价报告。</w:t>
      </w:r>
    </w:p>
    <w:p w14:paraId="3A85796F">
      <w:pPr>
        <w:pStyle w:val="165"/>
        <w:spacing w:line="360" w:lineRule="auto"/>
      </w:pPr>
      <w:r>
        <w:rPr>
          <w:rFonts w:hint="eastAsia"/>
        </w:rPr>
        <w:t>疗效评价结果应作为后续疗程调整、康复计划制定和多学科诊疗改进的依据。</w:t>
      </w:r>
    </w:p>
    <w:p w14:paraId="17FEF931">
      <w:pPr>
        <w:pStyle w:val="105"/>
        <w:spacing w:before="120" w:after="120" w:line="360" w:lineRule="auto"/>
      </w:pPr>
      <w:r>
        <w:rPr>
          <w:rFonts w:hint="eastAsia"/>
        </w:rPr>
        <w:t>数据管理与分析</w:t>
      </w:r>
    </w:p>
    <w:p w14:paraId="2BAA99C1">
      <w:pPr>
        <w:pStyle w:val="56"/>
        <w:spacing w:line="360" w:lineRule="auto"/>
        <w:ind w:firstLine="420"/>
      </w:pPr>
      <w:r>
        <w:rPr>
          <w:rFonts w:hint="eastAsia"/>
        </w:rPr>
        <w:t>随访数据应完整记录并建立数据库，包括患者基本信息、治疗方案、随访时间、各项指标及疗效评价。通过对数据的长期分析，可以发现治疗规律、评估风险因素、优化治疗方案，并为临床研究和多学科协作管理提供科学依据。</w:t>
      </w:r>
    </w:p>
    <w:p w14:paraId="0CE55273">
      <w:pPr>
        <w:pStyle w:val="105"/>
        <w:spacing w:before="120" w:after="120" w:line="360" w:lineRule="auto"/>
      </w:pPr>
      <w:r>
        <w:rPr>
          <w:rFonts w:hint="eastAsia"/>
        </w:rPr>
        <w:t>持续改进</w:t>
      </w:r>
    </w:p>
    <w:p w14:paraId="000E07D0">
      <w:pPr>
        <w:pStyle w:val="56"/>
        <w:spacing w:line="360" w:lineRule="auto"/>
        <w:ind w:firstLine="420"/>
      </w:pPr>
      <w:r>
        <w:rPr>
          <w:rFonts w:hint="eastAsia"/>
        </w:rPr>
        <w:t>多学科团队应根据随访与疗效评价结果，定期总结经验、更新治疗方案、优化操作流程及培训内容。持续改进机制有助于提高高压氧治疗安全性和有效性，提升患者获益水平，同时促进临床实践规范化和科学化。</w:t>
      </w:r>
    </w:p>
    <w:bookmarkEnd w:id="28"/>
    <w:p w14:paraId="61E0EB4B">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65" w:name="BookMark6"/>
    </w:p>
    <w:p w14:paraId="3163DD8C">
      <w:pPr>
        <w:pStyle w:val="63"/>
        <w:spacing w:after="120" w:line="360" w:lineRule="auto"/>
      </w:pPr>
      <w:bookmarkStart w:id="66" w:name="_Toc209877237"/>
      <w:r>
        <w:rPr>
          <w:rFonts w:hint="eastAsia"/>
          <w:spacing w:val="105"/>
        </w:rPr>
        <w:t>参考文</w:t>
      </w:r>
      <w:r>
        <w:rPr>
          <w:rFonts w:hint="eastAsia"/>
        </w:rPr>
        <w:t>献</w:t>
      </w:r>
      <w:bookmarkEnd w:id="66"/>
    </w:p>
    <w:p w14:paraId="52AF83DE">
      <w:pPr>
        <w:pStyle w:val="56"/>
        <w:spacing w:line="360" w:lineRule="auto"/>
        <w:ind w:firstLine="420"/>
      </w:pPr>
      <w:r>
        <w:rPr>
          <w:rFonts w:hint="eastAsia"/>
        </w:rPr>
        <w:t>[</w:t>
      </w:r>
      <w:r>
        <w:t>1] KS P 6120</w:t>
      </w:r>
      <w:r>
        <w:rPr>
          <w:rFonts w:hint="eastAsia"/>
        </w:rPr>
        <w:t>—</w:t>
      </w:r>
      <w:r>
        <w:t xml:space="preserve">2006(2021)  </w:t>
      </w:r>
      <w:r>
        <w:rPr>
          <w:rFonts w:hint="eastAsia"/>
        </w:rPr>
        <w:t>高压氧舱</w:t>
      </w:r>
    </w:p>
    <w:p w14:paraId="5D1962D3">
      <w:pPr>
        <w:pStyle w:val="56"/>
        <w:spacing w:line="360" w:lineRule="auto"/>
        <w:ind w:firstLine="420"/>
      </w:pPr>
      <w:r>
        <w:rPr>
          <w:rFonts w:hint="eastAsia"/>
        </w:rPr>
        <w:t>[</w:t>
      </w:r>
      <w:r>
        <w:t>2] T/CAAP 004</w:t>
      </w:r>
      <w:r>
        <w:rPr>
          <w:rFonts w:hint="eastAsia"/>
        </w:rPr>
        <w:t>—</w:t>
      </w:r>
      <w:r>
        <w:t xml:space="preserve">2019  </w:t>
      </w:r>
      <w:r>
        <w:rPr>
          <w:rFonts w:hint="eastAsia"/>
        </w:rPr>
        <w:t>微高压氧舱</w:t>
      </w:r>
    </w:p>
    <w:p w14:paraId="49F34881">
      <w:pPr>
        <w:pStyle w:val="56"/>
        <w:spacing w:line="360" w:lineRule="auto"/>
        <w:ind w:firstLine="420"/>
      </w:pPr>
      <w:r>
        <w:t>[3] T/GDSYXH 005</w:t>
      </w:r>
      <w:r>
        <w:rPr>
          <w:rFonts w:hint="eastAsia"/>
        </w:rPr>
        <w:t>—</w:t>
      </w:r>
      <w:r>
        <w:t xml:space="preserve">2024  </w:t>
      </w:r>
      <w:r>
        <w:rPr>
          <w:rFonts w:hint="eastAsia"/>
        </w:rPr>
        <w:t>广东省高压氧医学专科建设与管理规范</w:t>
      </w:r>
    </w:p>
    <w:bookmarkEnd w:id="65"/>
    <w:p w14:paraId="23291B4D">
      <w:pPr>
        <w:pStyle w:val="56"/>
        <w:ind w:firstLine="0" w:firstLineChars="0"/>
        <w:jc w:val="center"/>
      </w:pPr>
      <w:bookmarkStart w:id="67" w:name="BookMark8"/>
      <w:r>
        <w:rPr>
          <w:rFonts w:hint="eastAsia"/>
        </w:rPr>
        <w:drawing>
          <wp:inline distT="0" distB="0" distL="0" distR="0">
            <wp:extent cx="1485900" cy="317500"/>
            <wp:effectExtent l="0" t="0" r="0" b="6350"/>
            <wp:docPr id="1945734301" name="图片 1"/>
            <wp:cNvGraphicFramePr/>
            <a:graphic xmlns:a="http://schemas.openxmlformats.org/drawingml/2006/main">
              <a:graphicData uri="http://schemas.openxmlformats.org/drawingml/2006/picture">
                <pic:pic xmlns:pic="http://schemas.openxmlformats.org/drawingml/2006/picture">
                  <pic:nvPicPr>
                    <pic:cNvPr id="1945734301" name="图片 1"/>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bookmarkStart w:id="68" w:name="_GoBack"/>
      <w:bookmarkEnd w:id="68"/>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3570">
    <w:pPr>
      <w:pStyle w:val="51"/>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C497">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32DE">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202F">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8C97">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A9B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83C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570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6A6F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880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E01A">
    <w:pPr>
      <w:pStyle w:val="61"/>
    </w:pPr>
    <w:r>
      <w:fldChar w:fldCharType="begin"/>
    </w:r>
    <w:r>
      <w:instrText xml:space="preserve"> STYLEREF  标准文件_文件编号  \* MERGEFORMAT </w:instrText>
    </w:r>
    <w:r>
      <w:fldChar w:fldCharType="separate"/>
    </w:r>
    <w:r>
      <w:t>T/XJBX 0088—2025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4637">
    <w:pPr>
      <w:pStyle w:val="62"/>
    </w:pPr>
    <w:r>
      <w:fldChar w:fldCharType="begin"/>
    </w:r>
    <w:r>
      <w:instrText xml:space="preserve"> STYLEREF  标准文件_文件编号 \* MERGEFORMAT </w:instrText>
    </w:r>
    <w:r>
      <w:fldChar w:fldCharType="separate"/>
    </w:r>
    <w:r>
      <w:t>T/XJBX 0088—2025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D641">
    <w:pPr>
      <w:pStyle w:val="61"/>
    </w:pPr>
    <w:r>
      <w:fldChar w:fldCharType="begin"/>
    </w:r>
    <w:r>
      <w:instrText xml:space="preserve"> STYLEREF  标准文件_文件编号  \* MERGEFORMAT </w:instrText>
    </w:r>
    <w:r>
      <w:fldChar w:fldCharType="separate"/>
    </w:r>
    <w:r>
      <w:t>T/XJBX 0088—2025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209B">
    <w:pPr>
      <w:pStyle w:val="62"/>
    </w:pPr>
    <w:r>
      <w:fldChar w:fldCharType="begin"/>
    </w:r>
    <w:r>
      <w:instrText xml:space="preserve"> STYLEREF  标准文件_文件编号 \* MERGEFORMAT </w:instrText>
    </w:r>
    <w:r>
      <w:fldChar w:fldCharType="separate"/>
    </w:r>
    <w:r>
      <w:t>T/XJBX 0088—2025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F6E6">
    <w:pPr>
      <w:pStyle w:val="61"/>
    </w:pPr>
    <w:r>
      <w:fldChar w:fldCharType="begin"/>
    </w:r>
    <w:r>
      <w:instrText xml:space="preserve"> STYLEREF  标准文件_文件编号  \* MERGEFORMAT </w:instrText>
    </w:r>
    <w:r>
      <w:fldChar w:fldCharType="separate"/>
    </w:r>
    <w:r>
      <w:t>T/XJBX 0088—2025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3BAD">
    <w:pPr>
      <w:pStyle w:val="62"/>
    </w:pPr>
    <w:r>
      <w:fldChar w:fldCharType="begin"/>
    </w:r>
    <w:r>
      <w:instrText xml:space="preserve"> STYLEREF  标准文件_文件编号 \* MERGEFORMAT </w:instrText>
    </w:r>
    <w:r>
      <w:fldChar w:fldCharType="separate"/>
    </w:r>
    <w:r>
      <w:t>T/XJBX 0088—2025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E97A">
    <w:pPr>
      <w:pStyle w:val="61"/>
    </w:pPr>
    <w:r>
      <w:fldChar w:fldCharType="begin"/>
    </w:r>
    <w:r>
      <w:instrText xml:space="preserve"> STYLEREF  标准文件_文件编号  \* MERGEFORMAT </w:instrText>
    </w:r>
    <w:r>
      <w:fldChar w:fldCharType="separate"/>
    </w:r>
    <w:r>
      <w:t>T/XJBX 0088—2025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9CEB">
    <w:pPr>
      <w:pStyle w:val="62"/>
    </w:pPr>
    <w:r>
      <w:fldChar w:fldCharType="begin"/>
    </w:r>
    <w:r>
      <w:instrText xml:space="preserve"> STYLEREF  标准文件_文件编号 \* MERGEFORMAT </w:instrText>
    </w:r>
    <w:r>
      <w:fldChar w:fldCharType="separate"/>
    </w:r>
    <w:r>
      <w:t>T/XJBX 0088—2025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224C">
    <w:pPr>
      <w:pStyle w:val="61"/>
    </w:pPr>
    <w:r>
      <w:fldChar w:fldCharType="begin"/>
    </w:r>
    <w:r>
      <w:instrText xml:space="preserve"> STYLEREF  标准文件_文件编号  \* MERGEFORMAT </w:instrText>
    </w:r>
    <w:r>
      <w:fldChar w:fldCharType="separate"/>
    </w:r>
    <w:r>
      <w:t>T/XJBX 0088—2025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B448">
    <w:pPr>
      <w:pStyle w:val="62"/>
    </w:pPr>
    <w:r>
      <w:fldChar w:fldCharType="begin"/>
    </w:r>
    <w:r>
      <w:instrText xml:space="preserve"> STYLEREF  标准文件_文件编号 \* MERGEFORMAT </w:instrText>
    </w:r>
    <w:r>
      <w:fldChar w:fldCharType="separate"/>
    </w:r>
    <w:r>
      <w:t>T/XJBX 0088—2025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2CED"/>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9B9"/>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7D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77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531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2FE4"/>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2F5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128"/>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50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A89"/>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F5520AB"/>
    <w:rsid w:val="5C0C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74BF3557">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F6E8EC9">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C1D987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400183"/>
    <w:rsid w:val="008A4D07"/>
    <w:rsid w:val="00951A8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3791</Words>
  <Characters>4144</Characters>
  <Lines>49</Lines>
  <Paragraphs>13</Paragraphs>
  <TotalTime>190</TotalTime>
  <ScaleCrop>false</ScaleCrop>
  <LinksUpToDate>false</LinksUpToDate>
  <CharactersWithSpaces>4227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2025-09-28T03:25:36Z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DA1612D45BBA473797CC19EDFC45F741_12</vt:lpwstr>
  </property>
</Properties>
</file>