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3.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13.020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Z 0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Z 06</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84"/>
            </w:textInput>
          </w:ffData>
        </w:fldChar>
      </w:r>
      <w:bookmarkStart w:id="6" w:name="NSTD_CODE_F"/>
      <w:r>
        <w:instrText xml:space="preserve"> FORMTEXT </w:instrText>
      </w:r>
      <w:r>
        <w:fldChar w:fldCharType="separate"/>
      </w:r>
      <w:r>
        <w:t>0084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60DF67D3">
      <w:pPr>
        <w:pStyle w:val="197"/>
        <w:framePr w:h="6974" w:hRule="exact" w:wrap="around" w:x="1419" w:anchorLock="1"/>
      </w:pPr>
      <w:r>
        <w:fldChar w:fldCharType="begin">
          <w:ffData>
            <w:name w:val="CSTD_NAME"/>
            <w:enabled/>
            <w:calcOnExit w:val="0"/>
            <w:textInput>
              <w:default w:val="基于多源数据融合的陆域生物多样性监测规范"/>
            </w:textInput>
          </w:ffData>
        </w:fldChar>
      </w:r>
      <w:bookmarkStart w:id="9" w:name="CSTD_NAME"/>
      <w:r>
        <w:instrText xml:space="preserve"> FORMTEXT </w:instrText>
      </w:r>
      <w:r>
        <w:fldChar w:fldCharType="separate"/>
      </w:r>
      <w:r>
        <w:t>基于多源数据融合的陆域生物</w:t>
      </w:r>
    </w:p>
    <w:p w14:paraId="0FD7DFF3">
      <w:pPr>
        <w:pStyle w:val="197"/>
        <w:framePr w:h="6974" w:hRule="exact" w:wrap="around" w:x="1419" w:anchorLock="1"/>
      </w:pPr>
      <w:r>
        <w:t>多样性监测规范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terrestrial biodiversity monitoring based on multi-source data fus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terrestrial biodiversity monitoring based on multi-source data fusion</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0390BB22">
      <w:pPr>
        <w:pStyle w:val="91"/>
        <w:spacing w:after="360"/>
      </w:pPr>
      <w:bookmarkStart w:id="21" w:name="BookMark1"/>
      <w:r>
        <w:rPr>
          <w:rFonts w:hint="eastAsia"/>
          <w:spacing w:val="320"/>
        </w:rPr>
        <w:t>目</w:t>
      </w:r>
      <w:r>
        <w:rPr>
          <w:rFonts w:hint="eastAsia"/>
        </w:rPr>
        <w:t>次</w:t>
      </w:r>
    </w:p>
    <w:p w14:paraId="015FBE01">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"_Toc209857947" </w:instrText>
      </w:r>
      <w:r>
        <w:fldChar w:fldCharType="separate"/>
      </w:r>
      <w:r>
        <w:rPr>
          <w:rStyle w:val="32"/>
        </w:rPr>
        <w:t>前言</w:t>
      </w:r>
      <w:r>
        <w:tab/>
      </w:r>
      <w:r>
        <w:fldChar w:fldCharType="begin"/>
      </w:r>
      <w:r>
        <w:instrText xml:space="preserve"> PAGEREF _Toc209857947 \h </w:instrText>
      </w:r>
      <w:r>
        <w:fldChar w:fldCharType="separate"/>
      </w:r>
      <w:r>
        <w:t>III</w:t>
      </w:r>
      <w:r>
        <w:fldChar w:fldCharType="end"/>
      </w:r>
      <w:r>
        <w:fldChar w:fldCharType="end"/>
      </w:r>
    </w:p>
    <w:p w14:paraId="5108EE73">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"_Toc209857948" </w:instrText>
      </w:r>
      <w:r>
        <w:fldChar w:fldCharType="separate"/>
      </w:r>
      <w:r>
        <w:rPr>
          <w:rStyle w:val="32"/>
        </w:rPr>
        <w:t>引言</w:t>
      </w:r>
      <w:r>
        <w:tab/>
      </w:r>
      <w:r>
        <w:fldChar w:fldCharType="begin"/>
      </w:r>
      <w:r>
        <w:instrText xml:space="preserve"> PAGEREF _Toc209857948 \h </w:instrText>
      </w:r>
      <w:r>
        <w:fldChar w:fldCharType="separate"/>
      </w:r>
      <w:r>
        <w:t>V</w:t>
      </w:r>
      <w:r>
        <w:fldChar w:fldCharType="end"/>
      </w:r>
      <w:r>
        <w:fldChar w:fldCharType="end"/>
      </w:r>
    </w:p>
    <w:p w14:paraId="5EB0938F">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"_Toc209857949" </w:instrText>
      </w:r>
      <w:r>
        <w:fldChar w:fldCharType="separate"/>
      </w:r>
      <w:r>
        <w:rPr>
          <w:rStyle w:val="32"/>
        </w:rPr>
        <w:t>1  范围</w:t>
      </w:r>
      <w:r>
        <w:tab/>
      </w:r>
      <w:r>
        <w:fldChar w:fldCharType="begin"/>
      </w:r>
      <w:r>
        <w:instrText xml:space="preserve"> PAGEREF _Toc209857949 \h </w:instrText>
      </w:r>
      <w:r>
        <w:fldChar w:fldCharType="separate"/>
      </w:r>
      <w:r>
        <w:t>1</w:t>
      </w:r>
      <w:r>
        <w:fldChar w:fldCharType="end"/>
      </w:r>
      <w:r>
        <w:fldChar w:fldCharType="end"/>
      </w:r>
    </w:p>
    <w:p w14:paraId="3719BBD4">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"_Toc209857950" </w:instrText>
      </w:r>
      <w:r>
        <w:fldChar w:fldCharType="separate"/>
      </w:r>
      <w:r>
        <w:rPr>
          <w:rStyle w:val="32"/>
        </w:rPr>
        <w:t>2  规范性引用文件</w:t>
      </w:r>
      <w:r>
        <w:tab/>
      </w:r>
      <w:r>
        <w:fldChar w:fldCharType="begin"/>
      </w:r>
      <w:r>
        <w:instrText xml:space="preserve"> PAGEREF _Toc209857950 \h </w:instrText>
      </w:r>
      <w:r>
        <w:fldChar w:fldCharType="separate"/>
      </w:r>
      <w:r>
        <w:t>1</w:t>
      </w:r>
      <w:r>
        <w:fldChar w:fldCharType="end"/>
      </w:r>
      <w:r>
        <w:fldChar w:fldCharType="end"/>
      </w:r>
    </w:p>
    <w:p w14:paraId="7147768D">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"_Toc209857951" </w:instrText>
      </w:r>
      <w:r>
        <w:fldChar w:fldCharType="separate"/>
      </w:r>
      <w:r>
        <w:rPr>
          <w:rStyle w:val="32"/>
        </w:rPr>
        <w:t>3  术语和定义</w:t>
      </w:r>
      <w:r>
        <w:tab/>
      </w:r>
      <w:r>
        <w:fldChar w:fldCharType="begin"/>
      </w:r>
      <w:r>
        <w:instrText xml:space="preserve"> PAGEREF _Toc209857951 \h </w:instrText>
      </w:r>
      <w:r>
        <w:fldChar w:fldCharType="separate"/>
      </w:r>
      <w:r>
        <w:t>1</w:t>
      </w:r>
      <w:r>
        <w:fldChar w:fldCharType="end"/>
      </w:r>
      <w:r>
        <w:fldChar w:fldCharType="end"/>
      </w:r>
    </w:p>
    <w:p w14:paraId="5D9BE473">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"_Toc209857952" </w:instrText>
      </w:r>
      <w:r>
        <w:fldChar w:fldCharType="separate"/>
      </w:r>
      <w:r>
        <w:rPr>
          <w:rStyle w:val="32"/>
        </w:rPr>
        <w:t>4  总体原则</w:t>
      </w:r>
      <w:r>
        <w:tab/>
      </w:r>
      <w:r>
        <w:fldChar w:fldCharType="begin"/>
      </w:r>
      <w:r>
        <w:instrText xml:space="preserve"> PAGEREF _Toc209857952 \h </w:instrText>
      </w:r>
      <w:r>
        <w:fldChar w:fldCharType="separate"/>
      </w:r>
      <w:r>
        <w:t>2</w:t>
      </w:r>
      <w:r>
        <w:fldChar w:fldCharType="end"/>
      </w:r>
      <w:r>
        <w:fldChar w:fldCharType="end"/>
      </w:r>
    </w:p>
    <w:p w14:paraId="4097F8E7">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"_Toc209857953" </w:instrText>
      </w:r>
      <w:r>
        <w:fldChar w:fldCharType="separate"/>
      </w:r>
      <w:r>
        <w:rPr>
          <w:rStyle w:val="32"/>
        </w:rPr>
        <w:t>5  监测指标</w:t>
      </w:r>
      <w:r>
        <w:tab/>
      </w:r>
      <w:r>
        <w:fldChar w:fldCharType="begin"/>
      </w:r>
      <w:r>
        <w:instrText xml:space="preserve"> PAGEREF _Toc209857953 \h </w:instrText>
      </w:r>
      <w:r>
        <w:fldChar w:fldCharType="separate"/>
      </w:r>
      <w:r>
        <w:t>3</w:t>
      </w:r>
      <w:r>
        <w:fldChar w:fldCharType="end"/>
      </w:r>
      <w:r>
        <w:fldChar w:fldCharType="end"/>
      </w:r>
    </w:p>
    <w:p w14:paraId="213489B1">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"_Toc209857954" </w:instrText>
      </w:r>
      <w:r>
        <w:fldChar w:fldCharType="separate"/>
      </w:r>
      <w:r>
        <w:rPr>
          <w:rStyle w:val="32"/>
        </w:rPr>
        <w:t>6  数据要求</w:t>
      </w:r>
      <w:r>
        <w:tab/>
      </w:r>
      <w:r>
        <w:fldChar w:fldCharType="begin"/>
      </w:r>
      <w:r>
        <w:instrText xml:space="preserve"> PAGEREF _Toc209857954 \h </w:instrText>
      </w:r>
      <w:r>
        <w:fldChar w:fldCharType="separate"/>
      </w:r>
      <w:r>
        <w:t>4</w:t>
      </w:r>
      <w:r>
        <w:fldChar w:fldCharType="end"/>
      </w:r>
      <w:r>
        <w:fldChar w:fldCharType="end"/>
      </w:r>
    </w:p>
    <w:p w14:paraId="7793019F">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"_Toc209857955" </w:instrText>
      </w:r>
      <w:r>
        <w:fldChar w:fldCharType="separate"/>
      </w:r>
      <w:r>
        <w:rPr>
          <w:rStyle w:val="32"/>
        </w:rPr>
        <w:t>7  数据采集与处理方法</w:t>
      </w:r>
      <w:r>
        <w:tab/>
      </w:r>
      <w:r>
        <w:fldChar w:fldCharType="begin"/>
      </w:r>
      <w:r>
        <w:instrText xml:space="preserve"> PAGEREF _Toc209857955 \h </w:instrText>
      </w:r>
      <w:r>
        <w:fldChar w:fldCharType="separate"/>
      </w:r>
      <w:r>
        <w:t>4</w:t>
      </w:r>
      <w:r>
        <w:fldChar w:fldCharType="end"/>
      </w:r>
      <w:r>
        <w:fldChar w:fldCharType="end"/>
      </w:r>
    </w:p>
    <w:p w14:paraId="5DB2250D">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"_Toc209857956" </w:instrText>
      </w:r>
      <w:r>
        <w:fldChar w:fldCharType="separate"/>
      </w:r>
      <w:r>
        <w:rPr>
          <w:rStyle w:val="32"/>
        </w:rPr>
        <w:t>8  监测结果分析与评价</w:t>
      </w:r>
      <w:r>
        <w:tab/>
      </w:r>
      <w:r>
        <w:fldChar w:fldCharType="begin"/>
      </w:r>
      <w:r>
        <w:instrText xml:space="preserve"> PAGEREF _Toc209857956 \h </w:instrText>
      </w:r>
      <w:r>
        <w:fldChar w:fldCharType="separate"/>
      </w:r>
      <w:r>
        <w:t>5</w:t>
      </w:r>
      <w:r>
        <w:fldChar w:fldCharType="end"/>
      </w:r>
      <w:r>
        <w:fldChar w:fldCharType="end"/>
      </w:r>
    </w:p>
    <w:p w14:paraId="164439F8">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"_Toc209857957" </w:instrText>
      </w:r>
      <w:r>
        <w:fldChar w:fldCharType="separate"/>
      </w:r>
      <w:r>
        <w:rPr>
          <w:rStyle w:val="32"/>
        </w:rPr>
        <w:t>9  数据存储与管理</w:t>
      </w:r>
      <w:r>
        <w:tab/>
      </w:r>
      <w:r>
        <w:fldChar w:fldCharType="begin"/>
      </w:r>
      <w:r>
        <w:instrText xml:space="preserve"> PAGEREF _Toc209857957 \h </w:instrText>
      </w:r>
      <w:r>
        <w:fldChar w:fldCharType="separate"/>
      </w:r>
      <w:r>
        <w:t>6</w:t>
      </w:r>
      <w:r>
        <w:fldChar w:fldCharType="end"/>
      </w:r>
      <w:r>
        <w:fldChar w:fldCharType="end"/>
      </w:r>
    </w:p>
    <w:p w14:paraId="52709531">
      <w:pPr>
        <w:pStyle w:val="19"/>
        <w:tabs>
          <w:tab w:val="right" w:leader="dot" w:pos="9344"/>
        </w:tabs>
        <w:rPr>
          <w:rFonts w:asciiTheme="minorHAnsi" w:hAnsiTheme="minorHAnsi" w:eastAsiaTheme="minorEastAsia" w:cstheme="minorBidi"/>
          <w:szCs w:val="22"/>
        </w:rPr>
      </w:pPr>
      <w:r>
        <w:fldChar w:fldCharType="begin"/>
      </w:r>
      <w:r>
        <w:instrText xml:space="preserve"> HYPERLINK \l "_Toc209857958" </w:instrText>
      </w:r>
      <w:r>
        <w:fldChar w:fldCharType="separate"/>
      </w:r>
      <w:r>
        <w:rPr>
          <w:rStyle w:val="32"/>
        </w:rPr>
        <w:t>10  监测结果应用与报告</w:t>
      </w:r>
      <w:r>
        <w:tab/>
      </w:r>
      <w:r>
        <w:fldChar w:fldCharType="begin"/>
      </w:r>
      <w:r>
        <w:instrText xml:space="preserve"> PAGEREF _Toc209857958 \h </w:instrText>
      </w:r>
      <w:r>
        <w:fldChar w:fldCharType="separate"/>
      </w:r>
      <w:r>
        <w:t>7</w:t>
      </w:r>
      <w:r>
        <w:fldChar w:fldCharType="end"/>
      </w:r>
      <w:r>
        <w:fldChar w:fldCharType="end"/>
      </w:r>
    </w:p>
    <w:p w14:paraId="558B5ED1">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57947"/>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本文件起草单位：浙江时空智子大数据有限公司。</w:t>
      </w:r>
    </w:p>
    <w:p w14:paraId="42BC1C2C">
      <w:pPr>
        <w:pStyle w:val="56"/>
        <w:spacing w:line="360" w:lineRule="auto"/>
        <w:ind w:firstLine="420"/>
      </w:pPr>
      <w:r>
        <w:rPr>
          <w:rFonts w:hint="eastAsia"/>
        </w:rPr>
        <w:t>本文件主要起草人：赵洋甬。</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857948"/>
      <w:bookmarkStart w:id="25" w:name="BookMark3"/>
      <w:r>
        <w:rPr>
          <w:spacing w:val="320"/>
        </w:rPr>
        <w:t>引</w:t>
      </w:r>
      <w:r>
        <w:t>言</w:t>
      </w:r>
      <w:bookmarkEnd w:id="24"/>
    </w:p>
    <w:p w14:paraId="6252CC1D">
      <w:pPr>
        <w:pStyle w:val="56"/>
        <w:spacing w:line="360" w:lineRule="auto"/>
        <w:ind w:firstLine="420"/>
      </w:pPr>
      <w:r>
        <w:rPr>
          <w:rFonts w:hint="eastAsia"/>
        </w:rPr>
        <w:t>陆域生物多样性是衡量生态系统健康、维护生态服务功能以及支撑可持续发展的重要指标。随着全球气候变化、土地利用变化及人类活动的加剧，生物多样性面临日益严峻的压力，对生物多样性进行科学、准确、长期的监测显得尤为重要。传统的监测方法主要依赖实地调查和单一数据来源，存在空间覆盖有限、时效性差以及数据采集成本高等问题，难以全面反映生物多样性的动态变化。</w:t>
      </w:r>
    </w:p>
    <w:p w14:paraId="0530CCE1">
      <w:pPr>
        <w:pStyle w:val="56"/>
        <w:spacing w:line="360" w:lineRule="auto"/>
        <w:ind w:firstLine="420"/>
      </w:pPr>
      <w:r>
        <w:rPr>
          <w:rFonts w:hint="eastAsia"/>
        </w:rPr>
        <w:t>近年来，遥感、无人机、野外传感器、环境DNA及生物观测数据库等多源数据的快速发展，为陆域生物多样性监测提供了丰富的数据支撑。通过多源数据融合技术，可以将不同来源的数据进行整合和分析，实现更高空间分辨率、更长时间序列和更强信息量的生态监测。多源数据融合不仅能够提高监测精度，还可以优化样点布设、降低调查成本、增强生态变化趋势的检测能力，为生态保护、资源管理及决策提供科学依据。</w:t>
      </w:r>
    </w:p>
    <w:p w14:paraId="42EAE8EF">
      <w:pPr>
        <w:pStyle w:val="56"/>
        <w:spacing w:line="360" w:lineRule="auto"/>
        <w:ind w:firstLine="420"/>
      </w:pPr>
      <w:r>
        <w:rPr>
          <w:rFonts w:hint="eastAsia"/>
        </w:rPr>
        <w:t>尽管多源数据融合技术在生态监测中展现出广阔应用前景，但在实际操作中仍存在标准不统一、方法差异大、数据质量评价和分析方法不规范等问题。因此，制定本文件，旨在建立统一的陆域生物多样性多源数据监测方法和技术标准，规范数据采集、处理、融合与分析流程，明确监测指标和质量控制要求，从而提升监测数据的可靠性和可比性。本文件适用于陆域生态系统的生物多样性监测，包括森林、草地、湿地、农田及其他自然和半自然生态系统，为科研机构、生态管理部门和环境保护单位提供技术指导和实施参考。</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415E3DA8">
          <w:pPr>
            <w:pStyle w:val="177"/>
            <w:spacing w:after="0"/>
          </w:pPr>
          <w:bookmarkStart w:id="27" w:name="NEW_STAND_NAME"/>
          <w:r>
            <w:rPr>
              <w:rFonts w:hint="eastAsia"/>
            </w:rPr>
            <w:t>基于多源数据融合的陆域生物</w:t>
          </w:r>
        </w:p>
        <w:p w14:paraId="08ED5E01">
          <w:pPr>
            <w:pStyle w:val="177"/>
            <w:spacing w:before="0" w:after="0"/>
          </w:pPr>
          <w:r>
            <w:rPr>
              <w:rFonts w:hint="eastAsia"/>
            </w:rPr>
            <w:t>多样性监测规范</w:t>
          </w:r>
        </w:p>
      </w:sdtContent>
    </w:sdt>
    <w:bookmarkEnd w:id="27"/>
    <w:p w14:paraId="153BF6ED">
      <w:pPr>
        <w:pStyle w:val="104"/>
        <w:spacing w:before="240" w:after="240" w:line="360" w:lineRule="auto"/>
      </w:pPr>
      <w:bookmarkStart w:id="28" w:name="_Toc26648465"/>
      <w:bookmarkStart w:id="29" w:name="_Toc26718930"/>
      <w:bookmarkStart w:id="30" w:name="_Toc17233325"/>
      <w:bookmarkStart w:id="31" w:name="_Toc17233333"/>
      <w:bookmarkStart w:id="32" w:name="_Toc26986530"/>
      <w:bookmarkStart w:id="33" w:name="_Toc26986771"/>
      <w:bookmarkStart w:id="34" w:name="_Toc24884211"/>
      <w:bookmarkStart w:id="35" w:name="_Toc24884218"/>
      <w:bookmarkStart w:id="36" w:name="_Toc97192964"/>
      <w:bookmarkStart w:id="37" w:name="_Toc209857949"/>
      <w:r>
        <w:rPr>
          <w:rFonts w:hint="eastAsia"/>
        </w:rPr>
        <w:t>范围</w:t>
      </w:r>
      <w:bookmarkEnd w:id="28"/>
      <w:bookmarkEnd w:id="29"/>
      <w:bookmarkEnd w:id="30"/>
      <w:bookmarkEnd w:id="31"/>
      <w:bookmarkEnd w:id="32"/>
      <w:bookmarkEnd w:id="33"/>
      <w:bookmarkEnd w:id="34"/>
      <w:bookmarkEnd w:id="35"/>
      <w:bookmarkEnd w:id="36"/>
      <w:bookmarkEnd w:id="37"/>
    </w:p>
    <w:p w14:paraId="29E71274">
      <w:pPr>
        <w:pStyle w:val="56"/>
        <w:spacing w:line="360" w:lineRule="auto"/>
        <w:ind w:firstLine="420"/>
      </w:pPr>
      <w:bookmarkStart w:id="38" w:name="_Toc24884219"/>
      <w:bookmarkStart w:id="39" w:name="_Toc17233334"/>
      <w:bookmarkStart w:id="40" w:name="_Toc26648466"/>
      <w:bookmarkStart w:id="41" w:name="_Toc17233326"/>
      <w:bookmarkStart w:id="42" w:name="_Toc24884212"/>
      <w:r>
        <w:rPr>
          <w:rFonts w:hint="eastAsia"/>
        </w:rPr>
        <w:t>本文件规定了多源数据融合的陆域生物多样性监测工作中的总体原则、监测指标、数据要求、数据采集与处理方法、监测结果分析与评价、数据存储与管理以及监测结果应用与报告等内容。</w:t>
      </w:r>
    </w:p>
    <w:p w14:paraId="4BB8D4E2">
      <w:pPr>
        <w:pStyle w:val="56"/>
        <w:spacing w:line="360" w:lineRule="auto"/>
        <w:ind w:firstLine="420"/>
      </w:pPr>
      <w:r>
        <w:rPr>
          <w:rFonts w:hint="eastAsia"/>
        </w:rPr>
        <w:t>本文件适用于陆域生态系统生物多样性的多源数据监测工作，明确了数据采集、预处理、融合、分析及质量控制的技术要求和操作流程。</w:t>
      </w:r>
    </w:p>
    <w:p w14:paraId="1F7FEEB2">
      <w:pPr>
        <w:pStyle w:val="104"/>
        <w:spacing w:before="240" w:after="240" w:line="360" w:lineRule="auto"/>
      </w:pPr>
      <w:bookmarkStart w:id="43" w:name="_Toc26986531"/>
      <w:bookmarkStart w:id="44" w:name="_Toc97192965"/>
      <w:bookmarkStart w:id="45" w:name="_Toc209857950"/>
      <w:bookmarkStart w:id="46" w:name="_Toc267189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4F3555">
      <w:pPr>
        <w:pStyle w:val="56"/>
        <w:spacing w:line="360" w:lineRule="auto"/>
        <w:ind w:firstLine="420"/>
      </w:pPr>
      <w:r>
        <w:t>GB/T 1.1</w:t>
      </w:r>
      <w:r>
        <w:rPr>
          <w:rFonts w:hint="eastAsia"/>
        </w:rPr>
        <w:t>—</w:t>
      </w:r>
      <w:r>
        <w:t xml:space="preserve">2020 </w:t>
      </w:r>
      <w:r>
        <w:rPr>
          <w:rFonts w:hint="eastAsia"/>
        </w:rPr>
        <w:t>标准化工作导则  第1部分:标准化文件的结构和起草规则</w:t>
      </w:r>
    </w:p>
    <w:p w14:paraId="58155C08">
      <w:pPr>
        <w:pStyle w:val="56"/>
        <w:spacing w:line="360" w:lineRule="auto"/>
        <w:ind w:firstLine="420"/>
      </w:pPr>
      <w:r>
        <w:t>DB41/T 2814</w:t>
      </w:r>
      <w:r>
        <w:rPr>
          <w:rFonts w:hint="eastAsia"/>
        </w:rPr>
        <w:t>—</w:t>
      </w:r>
      <w:r>
        <w:t xml:space="preserve">2025 </w:t>
      </w:r>
      <w:r>
        <w:rPr>
          <w:rFonts w:hint="eastAsia"/>
        </w:rPr>
        <w:t>生态环境监测管理统计技术规范</w:t>
      </w:r>
    </w:p>
    <w:p w14:paraId="27F7B136">
      <w:pPr>
        <w:pStyle w:val="56"/>
        <w:spacing w:line="360" w:lineRule="auto"/>
        <w:ind w:firstLine="420"/>
      </w:pPr>
      <w:r>
        <w:t>DB3311/T 273</w:t>
      </w:r>
      <w:r>
        <w:rPr>
          <w:rFonts w:hint="eastAsia"/>
        </w:rPr>
        <w:t>—</w:t>
      </w:r>
      <w:r>
        <w:t xml:space="preserve">2024 </w:t>
      </w:r>
      <w:r>
        <w:rPr>
          <w:rFonts w:hint="eastAsia"/>
        </w:rPr>
        <w:t>生物多样性评价指数技术规定</w:t>
      </w:r>
    </w:p>
    <w:p w14:paraId="6947F41F">
      <w:pPr>
        <w:pStyle w:val="56"/>
        <w:spacing w:line="360" w:lineRule="auto"/>
        <w:ind w:firstLine="420"/>
      </w:pPr>
      <w:r>
        <w:rPr>
          <w:rFonts w:hint="eastAsia"/>
        </w:rPr>
        <w:t>DB3311/T 315—2025</w:t>
      </w:r>
      <w:r>
        <w:t xml:space="preserve"> </w:t>
      </w:r>
      <w:r>
        <w:rPr>
          <w:rFonts w:hint="eastAsia"/>
        </w:rPr>
        <w:t>生物多样性智慧监测体系建设技术规范</w:t>
      </w:r>
    </w:p>
    <w:p w14:paraId="6962992E">
      <w:pPr>
        <w:pStyle w:val="104"/>
        <w:spacing w:before="240" w:after="240" w:line="360" w:lineRule="auto"/>
      </w:pPr>
      <w:bookmarkStart w:id="48" w:name="_Toc209857951"/>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638605F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陆域生物多样性 terrestrial biodiversity</w:t>
      </w:r>
    </w:p>
    <w:p w14:paraId="279EC086">
      <w:pPr>
        <w:pStyle w:val="56"/>
        <w:spacing w:line="360" w:lineRule="auto"/>
        <w:ind w:firstLine="420"/>
      </w:pPr>
      <w:r>
        <w:rPr>
          <w:rFonts w:hint="eastAsia"/>
        </w:rPr>
        <w:t>指陆地生态系统中生物种类、遗传资源及生态群落的多样性，包括物种多样性、群落多样性和生态功能多样性。</w:t>
      </w:r>
    </w:p>
    <w:p w14:paraId="672C48D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多源数据 multi-source data</w:t>
      </w:r>
    </w:p>
    <w:p w14:paraId="28F46044">
      <w:pPr>
        <w:pStyle w:val="56"/>
        <w:spacing w:line="360" w:lineRule="auto"/>
        <w:ind w:firstLine="420"/>
      </w:pPr>
      <w:r>
        <w:rPr>
          <w:rFonts w:hint="eastAsia"/>
        </w:rPr>
        <w:t>来源于不同观测平台和技术手段的数据集合，包括遥感影像、无人机航拍数据、地面传感器观测数据、环境DNA数据及生物观测数据库等。</w:t>
      </w:r>
    </w:p>
    <w:p w14:paraId="0C8B786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数据融合 data fusion</w:t>
      </w:r>
    </w:p>
    <w:p w14:paraId="5D9709CB">
      <w:pPr>
        <w:pStyle w:val="56"/>
        <w:spacing w:line="360" w:lineRule="auto"/>
        <w:ind w:firstLine="420"/>
      </w:pPr>
      <w:r>
        <w:rPr>
          <w:rFonts w:hint="eastAsia"/>
        </w:rPr>
        <w:t>指将来自不同来源的数据进行整合、分析和处理的过程，以提高数据的空间、时间和信息精度，实现对生物多样性更全面、准确的监测。</w:t>
      </w:r>
    </w:p>
    <w:p w14:paraId="1AA4EA8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物种多样性 species diversity</w:t>
      </w:r>
    </w:p>
    <w:p w14:paraId="43C6AF96">
      <w:pPr>
        <w:pStyle w:val="56"/>
        <w:spacing w:line="360" w:lineRule="auto"/>
        <w:ind w:firstLine="420"/>
      </w:pPr>
      <w:r>
        <w:rPr>
          <w:rFonts w:hint="eastAsia"/>
        </w:rPr>
        <w:t>指生态系统内不同物种的数量、分布及相对丰度的综合体现，是生物多样性的重要组成部分。</w:t>
      </w:r>
    </w:p>
    <w:p w14:paraId="2C6E5B7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群落结构 community structure</w:t>
      </w:r>
    </w:p>
    <w:p w14:paraId="20B8BB41">
      <w:pPr>
        <w:pStyle w:val="56"/>
        <w:spacing w:line="360" w:lineRule="auto"/>
        <w:ind w:firstLine="420"/>
      </w:pPr>
      <w:r>
        <w:rPr>
          <w:rFonts w:hint="eastAsia"/>
        </w:rPr>
        <w:t>指生态系统中各物种之间的数量比例、空间分布及相互关系，包括优势种、共生种和功能性群落关系等。</w:t>
      </w:r>
    </w:p>
    <w:p w14:paraId="6241BF8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监测指标 monitoring indicators</w:t>
      </w:r>
    </w:p>
    <w:p w14:paraId="0F5E9F1A">
      <w:pPr>
        <w:pStyle w:val="56"/>
        <w:spacing w:line="360" w:lineRule="auto"/>
        <w:ind w:firstLine="420"/>
      </w:pPr>
      <w:r>
        <w:rPr>
          <w:rFonts w:hint="eastAsia"/>
        </w:rPr>
        <w:t>用于评价生物多样性状况的量化参数，包括物种丰富度、优势度、群落均匀度、功能多样性及生态系统服务功能等。</w:t>
      </w:r>
    </w:p>
    <w:p w14:paraId="770D40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遥感影像 remote sensing imagery</w:t>
      </w:r>
    </w:p>
    <w:p w14:paraId="527181EA">
      <w:pPr>
        <w:pStyle w:val="56"/>
        <w:spacing w:line="360" w:lineRule="auto"/>
        <w:ind w:firstLine="420"/>
      </w:pPr>
      <w:r>
        <w:rPr>
          <w:rFonts w:hint="eastAsia"/>
        </w:rPr>
        <w:t>通过卫星或航空平台获取的地表信息影像，用于分析植被类型、覆盖度及生态系统变化。</w:t>
      </w:r>
    </w:p>
    <w:p w14:paraId="5E67A49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环境DNA environmental DNA</w:t>
      </w:r>
    </w:p>
    <w:p w14:paraId="4922BDE0">
      <w:pPr>
        <w:pStyle w:val="56"/>
        <w:spacing w:line="360" w:lineRule="auto"/>
        <w:ind w:firstLine="420"/>
      </w:pPr>
      <w:r>
        <w:rPr>
          <w:rFonts w:hint="eastAsia"/>
        </w:rPr>
        <w:t>从环境样本（水、土壤、沉积物等）中提取的DNA信息，可用于检测区域内物种存在及种群状况。</w:t>
      </w:r>
    </w:p>
    <w:p w14:paraId="764C950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监测数据质量控制 monitoring data quality control</w:t>
      </w:r>
    </w:p>
    <w:p w14:paraId="72FD0F24">
      <w:pPr>
        <w:pStyle w:val="56"/>
        <w:spacing w:line="360" w:lineRule="auto"/>
        <w:ind w:firstLine="420"/>
      </w:pPr>
      <w:r>
        <w:rPr>
          <w:rFonts w:hint="eastAsia"/>
        </w:rPr>
        <w:t>在数据采集、处理和分析过程中采取的措施和方法，以保证监测数据的准确性、完整性、一致性和可重复性。</w:t>
      </w:r>
    </w:p>
    <w:p w14:paraId="799F12D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生态系统功能 ecosystem function</w:t>
      </w:r>
    </w:p>
    <w:p w14:paraId="12062132">
      <w:pPr>
        <w:pStyle w:val="56"/>
        <w:spacing w:line="360" w:lineRule="auto"/>
        <w:ind w:firstLine="420"/>
      </w:pPr>
      <w:r>
        <w:rPr>
          <w:rFonts w:hint="eastAsia"/>
        </w:rPr>
        <w:t>指生态系统内物质循环、能量流动及生态服务能力等生物群落与环境相互作用的综合效能。</w:t>
      </w:r>
    </w:p>
    <w:p w14:paraId="0B62F226">
      <w:pPr>
        <w:pStyle w:val="104"/>
        <w:spacing w:before="240" w:after="240" w:line="360" w:lineRule="auto"/>
      </w:pPr>
      <w:bookmarkStart w:id="51" w:name="_Toc209857952"/>
      <w:r>
        <w:rPr>
          <w:rFonts w:hint="eastAsia"/>
        </w:rPr>
        <w:t>总体原则</w:t>
      </w:r>
      <w:bookmarkEnd w:id="51"/>
    </w:p>
    <w:p w14:paraId="38911E25">
      <w:pPr>
        <w:pStyle w:val="56"/>
        <w:spacing w:line="360" w:lineRule="auto"/>
        <w:ind w:firstLine="420"/>
      </w:pPr>
      <w:r>
        <w:rPr>
          <w:rFonts w:hint="eastAsia"/>
        </w:rPr>
        <w:t>陆域生物多样性监测是一项系统性、综合性工作，涉及多学科、多平台、多技术手段。为确保多源数据融合的监测工作科学、规范和高效，本规范提出以下总体原则：</w:t>
      </w:r>
    </w:p>
    <w:p w14:paraId="1B9E5209">
      <w:pPr>
        <w:pStyle w:val="105"/>
        <w:spacing w:before="120" w:after="120" w:line="360" w:lineRule="auto"/>
      </w:pPr>
      <w:r>
        <w:rPr>
          <w:rFonts w:hint="eastAsia"/>
        </w:rPr>
        <w:t>科学性原则</w:t>
      </w:r>
    </w:p>
    <w:p w14:paraId="23BDF0F9">
      <w:pPr>
        <w:pStyle w:val="56"/>
        <w:spacing w:line="360" w:lineRule="auto"/>
        <w:ind w:firstLine="420"/>
      </w:pPr>
      <w:r>
        <w:rPr>
          <w:rFonts w:hint="eastAsia"/>
        </w:rPr>
        <w:t>监测应基于生态学原理、物种多样性理论和数据融合技术，结合监测对象的生态特性和空间分布规律，科学制定采样方案、数据处理方法及分析指标。监测方案应充分考虑物种多样性、群落结构及生态系统功能，确保监测结果能够准确反映生态系统状态和动态变化。</w:t>
      </w:r>
    </w:p>
    <w:p w14:paraId="4532F192">
      <w:pPr>
        <w:pStyle w:val="105"/>
        <w:spacing w:before="120" w:after="120" w:line="360" w:lineRule="auto"/>
      </w:pPr>
      <w:r>
        <w:rPr>
          <w:rFonts w:hint="eastAsia"/>
        </w:rPr>
        <w:t>系统性原则</w:t>
      </w:r>
    </w:p>
    <w:p w14:paraId="4E6A4C4C">
      <w:pPr>
        <w:pStyle w:val="56"/>
        <w:spacing w:line="360" w:lineRule="auto"/>
        <w:ind w:firstLine="420"/>
      </w:pPr>
      <w:r>
        <w:rPr>
          <w:rFonts w:hint="eastAsia"/>
        </w:rPr>
        <w:t>多源数据监测应覆盖生态系统的整体结构与功能，包括森林、草地、湿地、农田及其他自然或半自然生态系统。数据采集、预处理、融合分析及质量控制应形成完整系统，保证各环节相互支撑、数据可追溯，并避免局部数据或单一指标的偏差影响整体监测结果。</w:t>
      </w:r>
    </w:p>
    <w:p w14:paraId="4E718115">
      <w:pPr>
        <w:pStyle w:val="105"/>
        <w:spacing w:before="120" w:after="120" w:line="360" w:lineRule="auto"/>
      </w:pPr>
      <w:r>
        <w:rPr>
          <w:rFonts w:hint="eastAsia"/>
        </w:rPr>
        <w:t>规范性原则</w:t>
      </w:r>
    </w:p>
    <w:p w14:paraId="7371E6F4">
      <w:pPr>
        <w:pStyle w:val="56"/>
        <w:spacing w:line="360" w:lineRule="auto"/>
        <w:ind w:firstLine="420"/>
      </w:pPr>
      <w:r>
        <w:rPr>
          <w:rFonts w:hint="eastAsia"/>
        </w:rPr>
        <w:t>监测工作应严格遵循本规范及相关国家、行业标准，确保数据采集、处理、分析和报告编制等环节具有一致性、可比性和可复核性。监测指标、数据格式及质量控制方法应统一规范，以便不同地区、不同机构开展的数据能够进行横向或纵向比较。</w:t>
      </w:r>
    </w:p>
    <w:p w14:paraId="2E0927F0">
      <w:pPr>
        <w:pStyle w:val="105"/>
        <w:spacing w:before="120" w:after="120" w:line="360" w:lineRule="auto"/>
      </w:pPr>
      <w:r>
        <w:rPr>
          <w:rFonts w:hint="eastAsia"/>
        </w:rPr>
        <w:t>数据质量保障原则</w:t>
      </w:r>
    </w:p>
    <w:p w14:paraId="304DE626">
      <w:pPr>
        <w:pStyle w:val="56"/>
        <w:spacing w:line="360" w:lineRule="auto"/>
        <w:ind w:firstLine="420"/>
      </w:pPr>
      <w:r>
        <w:rPr>
          <w:rFonts w:hint="eastAsia"/>
        </w:rPr>
        <w:t>监测数据必须保证准确、完整、及时和可重复。数据采集应使用符合标准的仪器设备，预处理和融合方法应科学可靠，分析结果应经过多级验证和质量控制，确保数据能够真实反映生物多样性及生态系统状态。</w:t>
      </w:r>
    </w:p>
    <w:p w14:paraId="3A08D14C">
      <w:pPr>
        <w:pStyle w:val="105"/>
        <w:spacing w:before="120" w:after="120" w:line="360" w:lineRule="auto"/>
      </w:pPr>
      <w:r>
        <w:rPr>
          <w:rFonts w:hint="eastAsia"/>
        </w:rPr>
        <w:t>安全性与可持续性原则</w:t>
      </w:r>
    </w:p>
    <w:p w14:paraId="7F522487">
      <w:pPr>
        <w:pStyle w:val="56"/>
        <w:spacing w:line="360" w:lineRule="auto"/>
        <w:ind w:firstLine="420"/>
      </w:pPr>
      <w:r>
        <w:rPr>
          <w:rFonts w:hint="eastAsia"/>
        </w:rPr>
        <w:t>监测过程中应保证操作安全，减少对生态系统的干扰。数据采集和监测活动应符合环境保护要求，实现监测工作的长期可持续性，为生态保护、资源管理及政策制定提供长期可靠的数据支撑。</w:t>
      </w:r>
    </w:p>
    <w:p w14:paraId="59C11AE1">
      <w:pPr>
        <w:pStyle w:val="105"/>
        <w:spacing w:before="120" w:after="120" w:line="360" w:lineRule="auto"/>
      </w:pPr>
      <w:r>
        <w:rPr>
          <w:rFonts w:hint="eastAsia"/>
        </w:rPr>
        <w:t>持续改进原则</w:t>
      </w:r>
    </w:p>
    <w:p w14:paraId="311204EC">
      <w:pPr>
        <w:pStyle w:val="56"/>
        <w:spacing w:line="360" w:lineRule="auto"/>
        <w:ind w:firstLine="420"/>
      </w:pPr>
      <w:r>
        <w:rPr>
          <w:rFonts w:hint="eastAsia"/>
        </w:rPr>
        <w:t>监测过程中应不断总结经验，优化监测方法和数据融合技术，完善指标体系和数据质量控制措施。通过持续改进，提升监测效率、精度和科学性，为生态系统管理和生物多样性保护提供更加可靠的依据。</w:t>
      </w:r>
    </w:p>
    <w:p w14:paraId="2B4EF024">
      <w:pPr>
        <w:pStyle w:val="104"/>
        <w:spacing w:before="240" w:after="240" w:line="360" w:lineRule="auto"/>
      </w:pPr>
      <w:bookmarkStart w:id="52" w:name="_Toc209857953"/>
      <w:r>
        <w:rPr>
          <w:rFonts w:hint="eastAsia"/>
        </w:rPr>
        <w:t>监测指标</w:t>
      </w:r>
      <w:bookmarkEnd w:id="52"/>
    </w:p>
    <w:p w14:paraId="59C9597D">
      <w:pPr>
        <w:pStyle w:val="105"/>
        <w:spacing w:before="120" w:after="120" w:line="360" w:lineRule="auto"/>
      </w:pPr>
      <w:r>
        <w:rPr>
          <w:rFonts w:hint="eastAsia"/>
        </w:rPr>
        <w:t>物种多样性指标</w:t>
      </w:r>
    </w:p>
    <w:p w14:paraId="6FA243E7">
      <w:pPr>
        <w:pStyle w:val="56"/>
        <w:spacing w:line="360" w:lineRule="auto"/>
        <w:ind w:firstLine="420"/>
      </w:pPr>
      <w:r>
        <w:rPr>
          <w:rFonts w:hint="eastAsia"/>
        </w:rPr>
        <w:t>包括物种丰富度、优势度、群落均匀度及多样性指数等。通过遥感影像、无人机航拍、生物观测数据库及环境DNA数据，可获得物种分布信息及种群数量变化趋势。在指标计算和分析过程中，应对数据来源进行融合，保证不同数据源的一致性和可比性，并结合统计学方法对数据进行标准化处理，以减少采集误差和空间异质性影响。</w:t>
      </w:r>
    </w:p>
    <w:p w14:paraId="26E99FB0">
      <w:pPr>
        <w:pStyle w:val="105"/>
        <w:spacing w:before="120" w:after="120" w:line="360" w:lineRule="auto"/>
      </w:pPr>
      <w:r>
        <w:rPr>
          <w:rFonts w:hint="eastAsia"/>
        </w:rPr>
        <w:t>群落结构指标</w:t>
      </w:r>
    </w:p>
    <w:p w14:paraId="7A3F888F">
      <w:pPr>
        <w:pStyle w:val="56"/>
        <w:spacing w:line="360" w:lineRule="auto"/>
        <w:ind w:firstLine="420"/>
      </w:pPr>
      <w:r>
        <w:rPr>
          <w:rFonts w:hint="eastAsia"/>
        </w:rPr>
        <w:t>反映生态系统中各物种的相对比例、空间分布及功能分组情况，包括优势种构成、功能群分布及物种间相互作用。群落结构监测可利用高分辨率遥感影像结合地面样点观测数据，通过空间分析和模型计算，识别群落空间异质性和动态变化趋势，确保监测结果能够反映真实生态过程。</w:t>
      </w:r>
    </w:p>
    <w:p w14:paraId="047A7147">
      <w:pPr>
        <w:pStyle w:val="105"/>
        <w:spacing w:before="120" w:after="120" w:line="360" w:lineRule="auto"/>
      </w:pPr>
      <w:r>
        <w:rPr>
          <w:rFonts w:hint="eastAsia"/>
        </w:rPr>
        <w:t>生态系统功能指标</w:t>
      </w:r>
    </w:p>
    <w:p w14:paraId="6DBC8D4A">
      <w:pPr>
        <w:pStyle w:val="56"/>
        <w:spacing w:line="360" w:lineRule="auto"/>
        <w:ind w:firstLine="420"/>
      </w:pPr>
      <w:r>
        <w:rPr>
          <w:rFonts w:hint="eastAsia"/>
        </w:rPr>
        <w:t>包括植被覆盖度、净初级生产力、生物量及生态系统服务功能等。通过多源数据融合技术，可利用遥感时序数据监测植被生长变化，结合地面传感器数据获取生态过程信息，实现生态系统功能的定量化评价。数据采集应确保时间序列连续性、空间覆盖均匀性和测量精度，保证功能指标在长期监测中的可比性。</w:t>
      </w:r>
    </w:p>
    <w:p w14:paraId="244A74B0">
      <w:pPr>
        <w:pStyle w:val="104"/>
        <w:spacing w:before="240" w:after="240" w:line="360" w:lineRule="auto"/>
      </w:pPr>
      <w:bookmarkStart w:id="53" w:name="_Toc209857954"/>
      <w:r>
        <w:rPr>
          <w:rFonts w:hint="eastAsia"/>
        </w:rPr>
        <w:t>数据要求</w:t>
      </w:r>
      <w:bookmarkEnd w:id="53"/>
    </w:p>
    <w:p w14:paraId="14F9BDC7">
      <w:pPr>
        <w:pStyle w:val="162"/>
        <w:spacing w:line="360" w:lineRule="auto"/>
      </w:pPr>
      <w:r>
        <w:rPr>
          <w:rFonts w:hint="eastAsia"/>
        </w:rPr>
        <w:t>在数据要求方面，多源数据应满足以下条件：数据格式统一、空间和时间分辨率适宜、数据精度和完整性可满足分析和模型需求。各类数据在融合处理前，应进行预处理，包括数据清理、格式转换、误差校正及坐标统一等操作。对关键指标，应进行多源数据比对和质量检验，确保数据准确、可靠。</w:t>
      </w:r>
    </w:p>
    <w:p w14:paraId="17FC3100">
      <w:pPr>
        <w:pStyle w:val="162"/>
        <w:spacing w:line="360" w:lineRule="auto"/>
      </w:pPr>
      <w:r>
        <w:rPr>
          <w:rFonts w:hint="eastAsia"/>
        </w:rPr>
        <w:t>监测指标的选择和数据采集方案应根据监测区域生态类型、研究目标和数据可获取性进行优化。通过系统设计和科学分析，实现监测指标的有效性和多源数据融合的合理性，为陆域生物多样性保护、生态管理及政策决策提供科学依据。</w:t>
      </w:r>
    </w:p>
    <w:p w14:paraId="4DC680D6">
      <w:pPr>
        <w:pStyle w:val="104"/>
        <w:spacing w:before="240" w:after="240" w:line="360" w:lineRule="auto"/>
      </w:pPr>
      <w:bookmarkStart w:id="54" w:name="_Toc209857955"/>
      <w:r>
        <w:rPr>
          <w:rFonts w:hint="eastAsia"/>
        </w:rPr>
        <w:t>数据采集与处理方法</w:t>
      </w:r>
      <w:bookmarkEnd w:id="54"/>
    </w:p>
    <w:p w14:paraId="52B8C26A">
      <w:pPr>
        <w:pStyle w:val="105"/>
        <w:spacing w:before="120" w:after="120" w:line="360" w:lineRule="auto"/>
      </w:pPr>
      <w:r>
        <w:rPr>
          <w:rFonts w:hint="eastAsia"/>
        </w:rPr>
        <w:t>遥感数据采集与处理</w:t>
      </w:r>
    </w:p>
    <w:p w14:paraId="15073381">
      <w:pPr>
        <w:pStyle w:val="56"/>
        <w:spacing w:line="360" w:lineRule="auto"/>
        <w:ind w:firstLine="420"/>
      </w:pPr>
      <w:r>
        <w:rPr>
          <w:rFonts w:hint="eastAsia"/>
        </w:rPr>
        <w:t>遥感数据是监测植被覆盖、物种分布和生态系统功能的重要信息源。应选择空间分辨率、光谱波段和时间分辨率适宜的卫星影像，结合地面校正数据提高精度。在数据处理阶段，应进行辐射校正、大气校正、几何校正和镶嵌处理，生成可直接分析的遥感产品。通过分类算法和时间序列分析，可获取植被类型、覆盖度变化及生态系统动态信息。</w:t>
      </w:r>
    </w:p>
    <w:p w14:paraId="1A03AE35">
      <w:pPr>
        <w:pStyle w:val="105"/>
        <w:spacing w:before="120" w:after="120" w:line="360" w:lineRule="auto"/>
      </w:pPr>
      <w:r>
        <w:rPr>
          <w:rFonts w:hint="eastAsia"/>
        </w:rPr>
        <w:t>无人机数据采集与处理</w:t>
      </w:r>
    </w:p>
    <w:p w14:paraId="1A3EE812">
      <w:pPr>
        <w:pStyle w:val="56"/>
        <w:spacing w:line="360" w:lineRule="auto"/>
        <w:ind w:firstLine="420"/>
      </w:pPr>
      <w:r>
        <w:rPr>
          <w:rFonts w:hint="eastAsia"/>
        </w:rPr>
        <w:t>无人机可提供高分辨率影像和立体信息，用于小范围生态系统及重点样区的精细监测。采集前应规划航线和拍摄参数，确保图像覆盖均匀、重叠度适宜。数据处理包括图像拼接、正射校正和三维建模，可结合影像识别技术获取物种分布、群落结构和植被生长状况信息。无人机数据可与遥感数据融合，提升空间分辨率和监测精度。</w:t>
      </w:r>
    </w:p>
    <w:p w14:paraId="5E24F93C">
      <w:pPr>
        <w:pStyle w:val="105"/>
        <w:spacing w:before="120" w:after="120" w:line="360" w:lineRule="auto"/>
      </w:pPr>
      <w:r>
        <w:rPr>
          <w:rFonts w:hint="eastAsia"/>
        </w:rPr>
        <w:t>地面传感器观测数据采集与处理</w:t>
      </w:r>
    </w:p>
    <w:p w14:paraId="4B7A5D6B">
      <w:pPr>
        <w:pStyle w:val="56"/>
        <w:spacing w:line="360" w:lineRule="auto"/>
        <w:ind w:firstLine="420"/>
      </w:pPr>
      <w:r>
        <w:rPr>
          <w:rFonts w:hint="eastAsia"/>
        </w:rPr>
        <w:t>地面传感器可持续监测环境因子和生态过程，如温湿度、土壤水分、光照及物种活动情况。传感器应按照设计间距和高度布设，确保空间代表性和数据连续性。数据采集过程中，应定期校验传感器精度，处理阶段包括数据清理、异常值剔除和缺失值填补。处理后的数据可为生态过程模型提供基础输入。</w:t>
      </w:r>
    </w:p>
    <w:p w14:paraId="3DA8B75D">
      <w:pPr>
        <w:pStyle w:val="105"/>
        <w:spacing w:before="120" w:after="120" w:line="360" w:lineRule="auto"/>
      </w:pPr>
      <w:r>
        <w:rPr>
          <w:rFonts w:hint="eastAsia"/>
        </w:rPr>
        <w:t>环境DNA数据采集与处理</w:t>
      </w:r>
    </w:p>
    <w:p w14:paraId="0C8F4035">
      <w:pPr>
        <w:pStyle w:val="56"/>
        <w:spacing w:line="360" w:lineRule="auto"/>
        <w:ind w:firstLine="420"/>
      </w:pPr>
      <w:r>
        <w:rPr>
          <w:rFonts w:hint="eastAsia"/>
        </w:rPr>
        <w:t>环境DNA是从土壤、水体或沉积物中提取的DNA信息，用于检测区域内物种存在及种群状况。采集前需确定样点位置、样品类型和采样频率，避免污染。样品采集后进行适当保存和运输，实验室提取DNA并进行测序分析。数据处理包括序列过滤、物种比对、数量化分析及数据标准化，以保证数据可靠性和可比性。</w:t>
      </w:r>
    </w:p>
    <w:p w14:paraId="612126F3">
      <w:pPr>
        <w:pStyle w:val="105"/>
        <w:spacing w:before="120" w:after="120" w:line="360" w:lineRule="auto"/>
      </w:pPr>
      <w:r>
        <w:rPr>
          <w:rFonts w:hint="eastAsia"/>
        </w:rPr>
        <w:t>多源数据融合与分析</w:t>
      </w:r>
    </w:p>
    <w:p w14:paraId="4FE016E9">
      <w:pPr>
        <w:pStyle w:val="56"/>
        <w:spacing w:line="360" w:lineRule="auto"/>
        <w:ind w:firstLine="420"/>
      </w:pPr>
      <w:r>
        <w:rPr>
          <w:rFonts w:hint="eastAsia"/>
        </w:rPr>
        <w:t>多源数据融合应基于空间和时间统一标准，将遥感、无人机、地面传感器及环境DNA数据整合分析。融合方法可采用加权融合、数据同化、机器学习模型等技术，实现对物种多样性、群落结构及生态系统功能的综合评价。融合过程中应对数据精度、空间分辨率、时间一致性和不确定性进行校正与评价，以提高监测结果的可靠性和科学性。</w:t>
      </w:r>
    </w:p>
    <w:p w14:paraId="261F656F">
      <w:pPr>
        <w:pStyle w:val="105"/>
        <w:spacing w:before="120" w:after="120" w:line="360" w:lineRule="auto"/>
      </w:pPr>
      <w:r>
        <w:rPr>
          <w:rFonts w:hint="eastAsia"/>
        </w:rPr>
        <w:t>数据质量控制</w:t>
      </w:r>
    </w:p>
    <w:p w14:paraId="1A9FF7DA">
      <w:pPr>
        <w:pStyle w:val="56"/>
        <w:spacing w:line="360" w:lineRule="auto"/>
        <w:ind w:firstLine="420"/>
      </w:pPr>
      <w:r>
        <w:rPr>
          <w:rFonts w:hint="eastAsia"/>
        </w:rPr>
        <w:t>在采集、处理和融合的全过程，应建立严格的数据质量控制体系。包括仪器校准、数据完整性检查、异常数据处理、重复测量验证和多源比对。对关键指标和重点区域，应进行多层次、多方法的交叉验证，确保数据的准确性、稳定性和可重复性。所有数据处理和分析过程应记录操作步骤和参数设置，形成完整的可追溯记录。</w:t>
      </w:r>
    </w:p>
    <w:p w14:paraId="1B6CF382">
      <w:pPr>
        <w:pStyle w:val="104"/>
        <w:spacing w:before="240" w:after="240" w:line="360" w:lineRule="auto"/>
      </w:pPr>
      <w:bookmarkStart w:id="55" w:name="_Toc209857956"/>
      <w:r>
        <w:rPr>
          <w:rFonts w:hint="eastAsia"/>
        </w:rPr>
        <w:t>监测结果分析与评价</w:t>
      </w:r>
      <w:bookmarkEnd w:id="55"/>
    </w:p>
    <w:p w14:paraId="3BABA27F">
      <w:pPr>
        <w:pStyle w:val="105"/>
        <w:spacing w:before="120" w:after="120" w:line="360" w:lineRule="auto"/>
      </w:pPr>
      <w:r>
        <w:rPr>
          <w:rFonts w:hint="eastAsia"/>
        </w:rPr>
        <w:t>数据整理与指标计算</w:t>
      </w:r>
    </w:p>
    <w:p w14:paraId="4285A6C5">
      <w:pPr>
        <w:pStyle w:val="56"/>
        <w:spacing w:line="360" w:lineRule="auto"/>
        <w:ind w:firstLine="420"/>
      </w:pPr>
      <w:r>
        <w:rPr>
          <w:rFonts w:hint="eastAsia"/>
        </w:rPr>
        <w:t>在完成数据采集、预处理和融合后，应对各类监测数据进行整理和标准化处理。基于多源数据计算生物多样性指标，包括物种丰富度、群落均匀度、优势度、功能群分布及生态系统功能等。计算过程中应结合空间分辨率、时间尺度及数据精度进行加权处理，保证指标的科学性和可比性。</w:t>
      </w:r>
    </w:p>
    <w:p w14:paraId="064BA71C">
      <w:pPr>
        <w:pStyle w:val="105"/>
        <w:spacing w:before="120" w:after="120" w:line="360" w:lineRule="auto"/>
      </w:pPr>
      <w:r>
        <w:rPr>
          <w:rFonts w:hint="eastAsia"/>
        </w:rPr>
        <w:t>空间分析与变化趋势评估</w:t>
      </w:r>
    </w:p>
    <w:p w14:paraId="1F568E1A">
      <w:pPr>
        <w:pStyle w:val="56"/>
        <w:spacing w:line="360" w:lineRule="auto"/>
        <w:ind w:firstLine="420"/>
      </w:pPr>
      <w:r>
        <w:rPr>
          <w:rFonts w:hint="eastAsia"/>
        </w:rPr>
        <w:t>通过GIS空间分析、栅格分析或模型模拟，对不同生态系统类型和监测样区的物种分布、群落结构及生态功能进行空间可视化。结合历史数据和时间序列分析，评估生态系统动态变化趋势，包括生物多样性增加或减少的区域、物种迁移及群落结构变化。空间分析结果应提供可量化的信息，用于决策支持和生态管理。</w:t>
      </w:r>
    </w:p>
    <w:p w14:paraId="5E169CED">
      <w:pPr>
        <w:pStyle w:val="105"/>
        <w:spacing w:before="120" w:after="120" w:line="360" w:lineRule="auto"/>
      </w:pPr>
      <w:r>
        <w:rPr>
          <w:rFonts w:hint="eastAsia"/>
        </w:rPr>
        <w:t>数据不确定性与结果可靠性评价</w:t>
      </w:r>
    </w:p>
    <w:p w14:paraId="248F17F3">
      <w:pPr>
        <w:pStyle w:val="56"/>
        <w:spacing w:line="360" w:lineRule="auto"/>
        <w:ind w:firstLine="420"/>
      </w:pPr>
      <w:r>
        <w:rPr>
          <w:rFonts w:hint="eastAsia"/>
        </w:rPr>
        <w:t>对融合数据和计算指标的结果，应进行不确定性分析，包括采样误差、数据精度、融合模型误差及算法不确定性等。通过敏感性分析、交叉验证及重复测量验证方法，评估监测结果的可靠性。对存在较大不确定性的区域，应提出数据补充或复测建议。</w:t>
      </w:r>
    </w:p>
    <w:p w14:paraId="4BF8E3DD">
      <w:pPr>
        <w:pStyle w:val="105"/>
        <w:spacing w:before="120" w:after="120" w:line="360" w:lineRule="auto"/>
      </w:pPr>
      <w:r>
        <w:rPr>
          <w:rFonts w:hint="eastAsia"/>
        </w:rPr>
        <w:t>综合评价与报告生成</w:t>
      </w:r>
    </w:p>
    <w:p w14:paraId="264A8335">
      <w:pPr>
        <w:pStyle w:val="56"/>
        <w:spacing w:line="360" w:lineRule="auto"/>
        <w:ind w:firstLine="420"/>
      </w:pPr>
      <w:r>
        <w:rPr>
          <w:rFonts w:hint="eastAsia"/>
        </w:rPr>
        <w:t>基于指标计算、空间分析及不确定性评价，形成综合评价结果，明确区域生物多样性状况、群落结构特点和生态系统功能水平。监测结果应以标准化报告形式呈现，包括数据来源说明、分析方法、关键指标及结论。同时，应附图表、空间分布图和变化趋势图，为科研、生态保护及政策制定提供直观参考。</w:t>
      </w:r>
    </w:p>
    <w:p w14:paraId="54E747B2">
      <w:pPr>
        <w:pStyle w:val="105"/>
        <w:spacing w:before="120" w:after="120" w:line="360" w:lineRule="auto"/>
      </w:pPr>
      <w:r>
        <w:rPr>
          <w:rFonts w:hint="eastAsia"/>
        </w:rPr>
        <w:t>决策支持应用</w:t>
      </w:r>
    </w:p>
    <w:p w14:paraId="6BAFDC71">
      <w:pPr>
        <w:pStyle w:val="56"/>
        <w:spacing w:line="360" w:lineRule="auto"/>
        <w:ind w:firstLine="420"/>
      </w:pPr>
      <w:r>
        <w:rPr>
          <w:rFonts w:hint="eastAsia"/>
        </w:rPr>
        <w:t>监测分析结果应为生物多样性保护规划、生态修复项目、环境影响评估和土地管理提供科学依据。对于重点保护区域或生态敏感区，应提出针对性管理建议，支持生态管理部门和科研机构制定长期监测与保护策略。</w:t>
      </w:r>
    </w:p>
    <w:p w14:paraId="690D17F3">
      <w:pPr>
        <w:pStyle w:val="104"/>
        <w:spacing w:before="240" w:after="240" w:line="360" w:lineRule="auto"/>
      </w:pPr>
      <w:bookmarkStart w:id="56" w:name="_Toc209857957"/>
      <w:r>
        <w:rPr>
          <w:rFonts w:hint="eastAsia"/>
        </w:rPr>
        <w:t>数据存储与管理</w:t>
      </w:r>
      <w:bookmarkEnd w:id="56"/>
    </w:p>
    <w:p w14:paraId="39649503">
      <w:pPr>
        <w:pStyle w:val="105"/>
        <w:spacing w:before="120" w:after="120" w:line="360" w:lineRule="auto"/>
      </w:pPr>
      <w:r>
        <w:rPr>
          <w:rFonts w:hint="eastAsia"/>
        </w:rPr>
        <w:t>数据存储规范</w:t>
      </w:r>
    </w:p>
    <w:p w14:paraId="62B56995">
      <w:pPr>
        <w:pStyle w:val="56"/>
        <w:spacing w:line="360" w:lineRule="auto"/>
        <w:ind w:firstLine="420"/>
      </w:pPr>
      <w:r>
        <w:rPr>
          <w:rFonts w:hint="eastAsia"/>
        </w:rPr>
        <w:t>监测数据应按照统一格式进行存储，包括遥感影像、无人机影像、地面传感器数据、环境DNA数据及生物观测数据库信息。数据文件应命名规范、目录结构清晰，便于检索和管理。存储介质应满足数据容量和安全要求，必要时应进行备份和异地存储，以防数据丢失或损坏。</w:t>
      </w:r>
    </w:p>
    <w:p w14:paraId="770E9514">
      <w:pPr>
        <w:pStyle w:val="105"/>
        <w:spacing w:before="120" w:after="120" w:line="360" w:lineRule="auto"/>
      </w:pPr>
      <w:r>
        <w:rPr>
          <w:rFonts w:hint="eastAsia"/>
        </w:rPr>
        <w:t>元数据管理</w:t>
      </w:r>
    </w:p>
    <w:p w14:paraId="057A257E">
      <w:pPr>
        <w:pStyle w:val="56"/>
        <w:spacing w:line="360" w:lineRule="auto"/>
        <w:ind w:firstLine="420"/>
      </w:pPr>
      <w:r>
        <w:rPr>
          <w:rFonts w:hint="eastAsia"/>
        </w:rPr>
        <w:t>每一类数据应建立完整的元数据记录，包括数据来源、采集时间、采集方法、坐标信息、采样间距、仪器设备信息及数据处理过程说明。元数据应与原始数据关联，保证数据的可追溯性和可验证性，为后续分析和共享提供必要的背景信息。</w:t>
      </w:r>
    </w:p>
    <w:p w14:paraId="3AAC1982">
      <w:pPr>
        <w:pStyle w:val="105"/>
        <w:spacing w:before="120" w:after="120" w:line="360" w:lineRule="auto"/>
      </w:pPr>
      <w:r>
        <w:rPr>
          <w:rFonts w:hint="eastAsia"/>
        </w:rPr>
        <w:t>数据质量控制与审核</w:t>
      </w:r>
    </w:p>
    <w:p w14:paraId="775B6F4F">
      <w:pPr>
        <w:pStyle w:val="56"/>
        <w:spacing w:line="360" w:lineRule="auto"/>
        <w:ind w:firstLine="420"/>
      </w:pPr>
      <w:r>
        <w:rPr>
          <w:rFonts w:hint="eastAsia"/>
        </w:rPr>
        <w:t>数据在存储和管理过程中应进行质量控制，包括完整性检查、异常值识别、重复性验证和数据清理。对关键指标和重要样区的数据，应建立审核机制，由专人负责复核数据准确性和处理结果，确保数据符合规范要求。</w:t>
      </w:r>
    </w:p>
    <w:p w14:paraId="28D95592">
      <w:pPr>
        <w:pStyle w:val="105"/>
        <w:spacing w:before="120" w:after="120" w:line="360" w:lineRule="auto"/>
      </w:pPr>
      <w:r>
        <w:rPr>
          <w:rFonts w:hint="eastAsia"/>
        </w:rPr>
        <w:t>数据共享与访问</w:t>
      </w:r>
    </w:p>
    <w:p w14:paraId="34B48420">
      <w:pPr>
        <w:pStyle w:val="56"/>
        <w:spacing w:line="360" w:lineRule="auto"/>
        <w:ind w:firstLine="420"/>
      </w:pPr>
      <w:r>
        <w:rPr>
          <w:rFonts w:hint="eastAsia"/>
        </w:rPr>
        <w:t>为促进科研交流和生态管理应用，监测数据应按照相关法规和标准进行共享和访问管理。数据共享应明确权限控制，保护敏感生态信息和物种保护隐私。不同用户和机构在访问数据时，应遵守使用规定，确保数据安全和合理使用。</w:t>
      </w:r>
    </w:p>
    <w:p w14:paraId="3365EE32">
      <w:pPr>
        <w:pStyle w:val="105"/>
        <w:spacing w:before="120" w:after="120" w:line="360" w:lineRule="auto"/>
      </w:pPr>
      <w:r>
        <w:rPr>
          <w:rFonts w:hint="eastAsia"/>
        </w:rPr>
        <w:t>长期管理与维护</w:t>
      </w:r>
    </w:p>
    <w:p w14:paraId="5B951442">
      <w:pPr>
        <w:pStyle w:val="56"/>
        <w:spacing w:line="360" w:lineRule="auto"/>
        <w:ind w:firstLine="420"/>
      </w:pPr>
      <w:r>
        <w:rPr>
          <w:rFonts w:hint="eastAsia"/>
        </w:rPr>
        <w:t>监测数据应进行长期管理与维护，建立定期检查、更新和修复机制。对于长期监测项目，应确保数据格式和存储介质的可兼容性，避免因技术更新导致数据无法使用。定期更新和归档可保证数据的连续性和长期价值，为生态系统长期监测和科学研究提供可靠基础。</w:t>
      </w:r>
    </w:p>
    <w:p w14:paraId="315BD6C2">
      <w:pPr>
        <w:pStyle w:val="104"/>
        <w:spacing w:before="240" w:after="240" w:line="360" w:lineRule="auto"/>
      </w:pPr>
      <w:bookmarkStart w:id="57" w:name="_Toc209857958"/>
      <w:r>
        <w:rPr>
          <w:rFonts w:hint="eastAsia"/>
        </w:rPr>
        <w:t>监测结果应用与报告</w:t>
      </w:r>
      <w:bookmarkEnd w:id="57"/>
    </w:p>
    <w:p w14:paraId="407D68F4">
      <w:pPr>
        <w:pStyle w:val="105"/>
        <w:spacing w:before="120" w:after="120" w:line="360" w:lineRule="auto"/>
      </w:pPr>
      <w:r>
        <w:rPr>
          <w:rFonts w:hint="eastAsia"/>
        </w:rPr>
        <w:t>监测结果分析与报告编制</w:t>
      </w:r>
    </w:p>
    <w:p w14:paraId="263021B3">
      <w:pPr>
        <w:pStyle w:val="56"/>
        <w:spacing w:line="360" w:lineRule="auto"/>
        <w:ind w:firstLine="420"/>
      </w:pPr>
      <w:r>
        <w:rPr>
          <w:rFonts w:hint="eastAsia"/>
        </w:rPr>
        <w:t>监测结果应基于融合数据和计算指标，形成标准化的监测报告。报告应包括数据来源、监测方法、数据处理与融合流程、监测指标计算方法、结果分析和结论说明。报告中应附关键图表、空间分布图、物种分布热力图、群落结构示意图及生态系统功能分析图，直观展示监测成果。</w:t>
      </w:r>
    </w:p>
    <w:p w14:paraId="7A1956F0">
      <w:pPr>
        <w:pStyle w:val="105"/>
        <w:spacing w:before="120" w:after="120" w:line="360" w:lineRule="auto"/>
      </w:pPr>
      <w:r>
        <w:rPr>
          <w:rFonts w:hint="eastAsia"/>
        </w:rPr>
        <w:t>结果可视化与信息发布</w:t>
      </w:r>
    </w:p>
    <w:p w14:paraId="39292295">
      <w:pPr>
        <w:pStyle w:val="56"/>
        <w:spacing w:line="360" w:lineRule="auto"/>
        <w:ind w:firstLine="420"/>
      </w:pPr>
      <w:r>
        <w:rPr>
          <w:rFonts w:hint="eastAsia"/>
        </w:rPr>
        <w:t>监测结果应结合GIS、遥感可视化技术及交互式信息平台，提供可视化数据产品，便于生态管理部门、科研机构和公众理解和使用。可视化内容包括物种分布变化趋势、群落结构动态、生态功能空间格局等。同时，应确保数据发布符合相关信息安全和生态保护要求。</w:t>
      </w:r>
    </w:p>
    <w:p w14:paraId="4E2C79D5">
      <w:pPr>
        <w:pStyle w:val="105"/>
        <w:spacing w:before="120" w:after="120" w:line="360" w:lineRule="auto"/>
      </w:pPr>
      <w:r>
        <w:rPr>
          <w:rFonts w:hint="eastAsia"/>
        </w:rPr>
        <w:t>应用于生态保护和管理</w:t>
      </w:r>
    </w:p>
    <w:p w14:paraId="1B4AC3D0">
      <w:pPr>
        <w:pStyle w:val="56"/>
        <w:spacing w:line="360" w:lineRule="auto"/>
        <w:ind w:firstLine="420"/>
      </w:pPr>
      <w:r>
        <w:rPr>
          <w:rFonts w:hint="eastAsia"/>
        </w:rPr>
        <w:t>监测结果应为生态保护规划、自然保护地管理、生态修复项目及生物多样性保护政策制定提供科学依据。重点保护区域和生态敏感区应根据监测结果制定管理策略，优化监测频率和数据采集方案，指导资源配置和保护措施实施。</w:t>
      </w:r>
    </w:p>
    <w:p w14:paraId="19F90CDA">
      <w:pPr>
        <w:pStyle w:val="105"/>
        <w:spacing w:before="120" w:after="120" w:line="360" w:lineRule="auto"/>
      </w:pPr>
      <w:r>
        <w:rPr>
          <w:rFonts w:hint="eastAsia"/>
        </w:rPr>
        <w:t>科研与长期监测支持</w:t>
      </w:r>
      <w:bookmarkStart w:id="59" w:name="_GoBack"/>
      <w:bookmarkEnd w:id="59"/>
    </w:p>
    <w:p w14:paraId="026EB8A7">
      <w:pPr>
        <w:pStyle w:val="56"/>
        <w:spacing w:line="360" w:lineRule="auto"/>
        <w:ind w:firstLine="420"/>
      </w:pPr>
      <w:r>
        <w:rPr>
          <w:rFonts w:hint="eastAsia"/>
        </w:rPr>
        <w:t>监测数据和结果可用于生态学研究、物种多样性模型构建、环境影响评估和生态系统服务评价。长期监测数据可形成时间序列，为生态系统动态变化研究提供基础，为气候变化、土地利用变化等因素对生物多样性影响的分析提供科学支持。</w:t>
      </w:r>
    </w:p>
    <w:p w14:paraId="7F7CEEDF">
      <w:pPr>
        <w:pStyle w:val="105"/>
        <w:spacing w:before="120" w:after="120" w:line="360" w:lineRule="auto"/>
      </w:pPr>
      <w:r>
        <w:rPr>
          <w:rFonts w:hint="eastAsia"/>
        </w:rPr>
        <w:t>结果评估与持续改进</w:t>
      </w:r>
    </w:p>
    <w:p w14:paraId="380C5CC7">
      <w:pPr>
        <w:pStyle w:val="56"/>
        <w:spacing w:line="360" w:lineRule="auto"/>
        <w:ind w:firstLine="420"/>
      </w:pPr>
      <w:r>
        <w:rPr>
          <w:rFonts w:hint="eastAsia"/>
        </w:rPr>
        <w:t>监测结果应用应结合实际管理和科研需求进行评估。通过反馈分析和经验总结，优化数据采集方案、融合方法和指标体系，持续改进监测方法和技术，提高监测精度和应用价值，推动陆域生物多样性监测工作科学化和规范化发展。</w:t>
      </w:r>
    </w:p>
    <w:bookmarkEnd w:id="26"/>
    <w:p w14:paraId="250ED49E">
      <w:pPr>
        <w:pStyle w:val="56"/>
        <w:ind w:firstLine="0" w:firstLineChars="0"/>
        <w:jc w:val="center"/>
      </w:pPr>
      <w:bookmarkStart w:id="58" w:name="BookMark8"/>
      <w:r>
        <w:rPr>
          <w:rFonts w:hint="eastAsia"/>
        </w:rPr>
        <w:drawing>
          <wp:inline distT="0" distB="0" distL="0" distR="0">
            <wp:extent cx="1485900" cy="317500"/>
            <wp:effectExtent l="0" t="0" r="0" b="6350"/>
            <wp:docPr id="969463759" name="图片 5"/>
            <wp:cNvGraphicFramePr/>
            <a:graphic xmlns:a="http://schemas.openxmlformats.org/drawingml/2006/main">
              <a:graphicData uri="http://schemas.openxmlformats.org/drawingml/2006/picture">
                <pic:pic xmlns:pic="http://schemas.openxmlformats.org/drawingml/2006/picture">
                  <pic:nvPicPr>
                    <pic:cNvPr id="969463759" name="图片 5"/>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6D1E">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800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30ABA">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B59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589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16953">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D43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B82B0">
    <w:pPr>
      <w:pStyle w:val="61"/>
    </w:pPr>
    <w:r>
      <w:fldChar w:fldCharType="begin"/>
    </w:r>
    <w:r>
      <w:instrText xml:space="preserve"> STYLEREF  标准文件_文件编号  \* MERGEFORMAT </w:instrText>
    </w:r>
    <w:r>
      <w:fldChar w:fldCharType="separate"/>
    </w:r>
    <w:r>
      <w:t>T/XJBX 0084—2025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24610">
    <w:pPr>
      <w:pStyle w:val="62"/>
    </w:pPr>
    <w:r>
      <w:fldChar w:fldCharType="begin"/>
    </w:r>
    <w:r>
      <w:instrText xml:space="preserve"> STYLEREF  标准文件_文件编号 \* MERGEFORMAT </w:instrText>
    </w:r>
    <w:r>
      <w:fldChar w:fldCharType="separate"/>
    </w:r>
    <w:r>
      <w:t>T/XJBX 0084—2025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0084—2025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0084—2025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E8A18">
    <w:pPr>
      <w:pStyle w:val="61"/>
    </w:pPr>
    <w:r>
      <w:fldChar w:fldCharType="begin"/>
    </w:r>
    <w:r>
      <w:instrText xml:space="preserve"> STYLEREF  标准文件_文件编号  \* MERGEFORMAT </w:instrText>
    </w:r>
    <w:r>
      <w:fldChar w:fldCharType="separate"/>
    </w:r>
    <w:r>
      <w:t>T/XJBX 0084—2025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C1E0">
    <w:pPr>
      <w:pStyle w:val="62"/>
    </w:pPr>
    <w:r>
      <w:fldChar w:fldCharType="begin"/>
    </w:r>
    <w:r>
      <w:instrText xml:space="preserve"> STYLEREF  标准文件_文件编号 \* MERGEFORMAT </w:instrText>
    </w:r>
    <w:r>
      <w:fldChar w:fldCharType="separate"/>
    </w:r>
    <w:r>
      <w:t>T/XJBX 0084—2025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039FA">
    <w:pPr>
      <w:pStyle w:val="61"/>
    </w:pPr>
    <w:r>
      <w:fldChar w:fldCharType="begin"/>
    </w:r>
    <w:r>
      <w:instrText xml:space="preserve"> STYLEREF  标准文件_文件编号  \* MERGEFORMAT </w:instrText>
    </w:r>
    <w:r>
      <w:fldChar w:fldCharType="separate"/>
    </w:r>
    <w:r>
      <w:t>T/XJBX 0084—2025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9DEBE">
    <w:pPr>
      <w:pStyle w:val="62"/>
    </w:pPr>
    <w:r>
      <w:fldChar w:fldCharType="begin"/>
    </w:r>
    <w:r>
      <w:instrText xml:space="preserve"> STYLEREF  标准文件_文件编号 \* MERGEFORMAT </w:instrText>
    </w:r>
    <w:r>
      <w:fldChar w:fldCharType="separate"/>
    </w:r>
    <w:r>
      <w:t>T/XJBX 0084—2025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D3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4F06"/>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769"/>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0AC1"/>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1123"/>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C67"/>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6F3"/>
    <w:rsid w:val="008E0C9D"/>
    <w:rsid w:val="008E1648"/>
    <w:rsid w:val="008E1B3E"/>
    <w:rsid w:val="008E2319"/>
    <w:rsid w:val="008E4BB6"/>
    <w:rsid w:val="008E5518"/>
    <w:rsid w:val="008E6A84"/>
    <w:rsid w:val="008F04B2"/>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7FA"/>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C97"/>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59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8C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3.jpe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56395ADA">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200B06D7">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711ED8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4D0134"/>
    <w:rsid w:val="008A4D07"/>
    <w:rsid w:val="009B6447"/>
    <w:rsid w:val="00B6674A"/>
    <w:rsid w:val="00FF0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6030</Words>
  <Characters>6382</Characters>
  <Lines>54</Lines>
  <Paragraphs>15</Paragraphs>
  <TotalTime>3</TotalTime>
  <ScaleCrop>false</ScaleCrop>
  <LinksUpToDate>false</LinksUpToDate>
  <CharactersWithSpaces>6474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2025-09-28T03:16:27Z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29391AC889874549B611B7D48B476ED3_12</vt:lpwstr>
  </property>
</Properties>
</file>