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9.18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29.180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K 4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K 41</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5"/>
            </w:textInput>
          </w:ffData>
        </w:fldChar>
      </w:r>
      <w:bookmarkStart w:id="6" w:name="NSTD_CODE_F"/>
      <w:r>
        <w:instrText xml:space="preserve"> FORMTEXT </w:instrText>
      </w:r>
      <w:r>
        <w:fldChar w:fldCharType="separate"/>
      </w:r>
      <w:r>
        <w:t>0085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电流互感器智能监测与远程诊断技术规范"/>
            </w:textInput>
          </w:ffData>
        </w:fldChar>
      </w:r>
      <w:bookmarkStart w:id="9" w:name="CSTD_NAME"/>
      <w:r>
        <w:instrText xml:space="preserve"> FORMTEXT </w:instrText>
      </w:r>
      <w:r>
        <w:fldChar w:fldCharType="separate"/>
      </w:r>
      <w:r>
        <w:t>电流互感器智能监测与远程诊断技术规范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intelligent monitoring and remote diagnosis technology of current transformer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intelligent monitoring and remote diagnosis technology of current transformers</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714F9B3">
      <w:pPr>
        <w:pStyle w:val="91"/>
        <w:spacing w:after="360"/>
      </w:pPr>
      <w:bookmarkStart w:id="21" w:name="BookMark1"/>
      <w:r>
        <w:rPr>
          <w:rFonts w:hint="eastAsia"/>
          <w:spacing w:val="320"/>
        </w:rPr>
        <w:t>目</w:t>
      </w:r>
      <w:r>
        <w:rPr>
          <w:rFonts w:hint="eastAsia"/>
        </w:rPr>
        <w:t>次</w:t>
      </w:r>
    </w:p>
    <w:p w14:paraId="22BB50FE">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"_Toc209860080" </w:instrText>
      </w:r>
      <w:r>
        <w:fldChar w:fldCharType="separate"/>
      </w:r>
      <w:r>
        <w:rPr>
          <w:rStyle w:val="32"/>
        </w:rPr>
        <w:t>前言</w:t>
      </w:r>
      <w:r>
        <w:tab/>
      </w:r>
      <w:r>
        <w:fldChar w:fldCharType="begin"/>
      </w:r>
      <w:r>
        <w:instrText xml:space="preserve"> PAGEREF _Toc209860080 \h </w:instrText>
      </w:r>
      <w:r>
        <w:fldChar w:fldCharType="separate"/>
      </w:r>
      <w:r>
        <w:t>III</w:t>
      </w:r>
      <w:r>
        <w:fldChar w:fldCharType="end"/>
      </w:r>
      <w:r>
        <w:fldChar w:fldCharType="end"/>
      </w:r>
    </w:p>
    <w:p w14:paraId="071EECB4">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"_Toc209860081" </w:instrText>
      </w:r>
      <w:r>
        <w:fldChar w:fldCharType="separate"/>
      </w:r>
      <w:r>
        <w:rPr>
          <w:rStyle w:val="32"/>
        </w:rPr>
        <w:t>引言</w:t>
      </w:r>
      <w:r>
        <w:tab/>
      </w:r>
      <w:r>
        <w:fldChar w:fldCharType="begin"/>
      </w:r>
      <w:r>
        <w:instrText xml:space="preserve"> PAGEREF _Toc209860081 \h </w:instrText>
      </w:r>
      <w:r>
        <w:fldChar w:fldCharType="separate"/>
      </w:r>
      <w:r>
        <w:t>V</w:t>
      </w:r>
      <w:r>
        <w:fldChar w:fldCharType="end"/>
      </w:r>
      <w:r>
        <w:fldChar w:fldCharType="end"/>
      </w:r>
    </w:p>
    <w:p w14:paraId="486B735B">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"_Toc209860082" </w:instrText>
      </w:r>
      <w:r>
        <w:fldChar w:fldCharType="separate"/>
      </w:r>
      <w:r>
        <w:rPr>
          <w:rStyle w:val="32"/>
        </w:rPr>
        <w:t>1  范围</w:t>
      </w:r>
      <w:r>
        <w:tab/>
      </w:r>
      <w:r>
        <w:fldChar w:fldCharType="begin"/>
      </w:r>
      <w:r>
        <w:instrText xml:space="preserve"> PAGEREF _Toc209860082 \h </w:instrText>
      </w:r>
      <w:r>
        <w:fldChar w:fldCharType="separate"/>
      </w:r>
      <w:r>
        <w:t>1</w:t>
      </w:r>
      <w:r>
        <w:fldChar w:fldCharType="end"/>
      </w:r>
      <w:r>
        <w:fldChar w:fldCharType="end"/>
      </w:r>
    </w:p>
    <w:p w14:paraId="5D354C37">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"_Toc209860083" </w:instrText>
      </w:r>
      <w:r>
        <w:fldChar w:fldCharType="separate"/>
      </w:r>
      <w:r>
        <w:rPr>
          <w:rStyle w:val="32"/>
        </w:rPr>
        <w:t>2  规范性引用文件</w:t>
      </w:r>
      <w:r>
        <w:tab/>
      </w:r>
      <w:r>
        <w:fldChar w:fldCharType="begin"/>
      </w:r>
      <w:r>
        <w:instrText xml:space="preserve"> PAGEREF _Toc209860083 \h </w:instrText>
      </w:r>
      <w:r>
        <w:fldChar w:fldCharType="separate"/>
      </w:r>
      <w:r>
        <w:t>1</w:t>
      </w:r>
      <w:r>
        <w:fldChar w:fldCharType="end"/>
      </w:r>
      <w:r>
        <w:fldChar w:fldCharType="end"/>
      </w:r>
    </w:p>
    <w:p w14:paraId="60B9B1DF">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"_Toc209860084" </w:instrText>
      </w:r>
      <w:r>
        <w:fldChar w:fldCharType="separate"/>
      </w:r>
      <w:r>
        <w:rPr>
          <w:rStyle w:val="32"/>
        </w:rPr>
        <w:t>3  术语和定义</w:t>
      </w:r>
      <w:r>
        <w:tab/>
      </w:r>
      <w:r>
        <w:fldChar w:fldCharType="begin"/>
      </w:r>
      <w:r>
        <w:instrText xml:space="preserve"> PAGEREF _Toc209860084 \h </w:instrText>
      </w:r>
      <w:r>
        <w:fldChar w:fldCharType="separate"/>
      </w:r>
      <w:r>
        <w:t>1</w:t>
      </w:r>
      <w:r>
        <w:fldChar w:fldCharType="end"/>
      </w:r>
      <w:r>
        <w:fldChar w:fldCharType="end"/>
      </w:r>
    </w:p>
    <w:p w14:paraId="4EE99453">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"_Toc209860085" </w:instrText>
      </w:r>
      <w:r>
        <w:fldChar w:fldCharType="separate"/>
      </w:r>
      <w:r>
        <w:rPr>
          <w:rStyle w:val="32"/>
        </w:rPr>
        <w:t>4  总体原则</w:t>
      </w:r>
      <w:r>
        <w:tab/>
      </w:r>
      <w:r>
        <w:fldChar w:fldCharType="begin"/>
      </w:r>
      <w:r>
        <w:instrText xml:space="preserve"> PAGEREF _Toc209860085 \h </w:instrText>
      </w:r>
      <w:r>
        <w:fldChar w:fldCharType="separate"/>
      </w:r>
      <w:r>
        <w:t>2</w:t>
      </w:r>
      <w:r>
        <w:fldChar w:fldCharType="end"/>
      </w:r>
      <w:r>
        <w:fldChar w:fldCharType="end"/>
      </w:r>
    </w:p>
    <w:p w14:paraId="71EC0599">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"_Toc209860086" </w:instrText>
      </w:r>
      <w:r>
        <w:fldChar w:fldCharType="separate"/>
      </w:r>
      <w:r>
        <w:rPr>
          <w:rStyle w:val="32"/>
        </w:rPr>
        <w:t>5  监测指标与数据要求</w:t>
      </w:r>
      <w:r>
        <w:tab/>
      </w:r>
      <w:r>
        <w:fldChar w:fldCharType="begin"/>
      </w:r>
      <w:r>
        <w:instrText xml:space="preserve"> PAGEREF _Toc209860086 \h </w:instrText>
      </w:r>
      <w:r>
        <w:fldChar w:fldCharType="separate"/>
      </w:r>
      <w:r>
        <w:t>3</w:t>
      </w:r>
      <w:r>
        <w:fldChar w:fldCharType="end"/>
      </w:r>
      <w:r>
        <w:fldChar w:fldCharType="end"/>
      </w:r>
    </w:p>
    <w:p w14:paraId="069FA96F">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"_Toc209860087" </w:instrText>
      </w:r>
      <w:r>
        <w:fldChar w:fldCharType="separate"/>
      </w:r>
      <w:r>
        <w:rPr>
          <w:rStyle w:val="32"/>
        </w:rPr>
        <w:t>6  数据采集与处理方法</w:t>
      </w:r>
      <w:r>
        <w:tab/>
      </w:r>
      <w:r>
        <w:fldChar w:fldCharType="begin"/>
      </w:r>
      <w:r>
        <w:instrText xml:space="preserve"> PAGEREF _Toc209860087 \h </w:instrText>
      </w:r>
      <w:r>
        <w:fldChar w:fldCharType="separate"/>
      </w:r>
      <w:r>
        <w:t>4</w:t>
      </w:r>
      <w:r>
        <w:fldChar w:fldCharType="end"/>
      </w:r>
      <w:r>
        <w:fldChar w:fldCharType="end"/>
      </w:r>
    </w:p>
    <w:p w14:paraId="3633BBB3">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"_Toc209860088" </w:instrText>
      </w:r>
      <w:r>
        <w:fldChar w:fldCharType="separate"/>
      </w:r>
      <w:r>
        <w:rPr>
          <w:rStyle w:val="32"/>
        </w:rPr>
        <w:t>7  远程诊断方法与流程</w:t>
      </w:r>
      <w:r>
        <w:tab/>
      </w:r>
      <w:r>
        <w:fldChar w:fldCharType="begin"/>
      </w:r>
      <w:r>
        <w:instrText xml:space="preserve"> PAGEREF _Toc209860088 \h </w:instrText>
      </w:r>
      <w:r>
        <w:fldChar w:fldCharType="separate"/>
      </w:r>
      <w:r>
        <w:t>5</w:t>
      </w:r>
      <w:r>
        <w:fldChar w:fldCharType="end"/>
      </w:r>
      <w:r>
        <w:fldChar w:fldCharType="end"/>
      </w:r>
    </w:p>
    <w:p w14:paraId="79B49A97">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"_Toc209860089" </w:instrText>
      </w:r>
      <w:r>
        <w:fldChar w:fldCharType="separate"/>
      </w:r>
      <w:r>
        <w:rPr>
          <w:rStyle w:val="32"/>
        </w:rPr>
        <w:t>8  数据存储与管理</w:t>
      </w:r>
      <w:r>
        <w:tab/>
      </w:r>
      <w:r>
        <w:fldChar w:fldCharType="begin"/>
      </w:r>
      <w:r>
        <w:instrText xml:space="preserve"> PAGEREF _Toc209860089 \h </w:instrText>
      </w:r>
      <w:r>
        <w:fldChar w:fldCharType="separate"/>
      </w:r>
      <w:r>
        <w:t>6</w:t>
      </w:r>
      <w:r>
        <w:fldChar w:fldCharType="end"/>
      </w:r>
      <w:r>
        <w:fldChar w:fldCharType="end"/>
      </w:r>
    </w:p>
    <w:p w14:paraId="209B8785">
      <w:pPr>
        <w:pStyle w:val="19"/>
        <w:tabs>
          <w:tab w:val="right" w:leader="dot" w:pos="9344"/>
        </w:tabs>
        <w:rPr>
          <w:rFonts w:asciiTheme="minorHAnsi" w:hAnsiTheme="minorHAnsi" w:eastAsiaTheme="minorEastAsia" w:cstheme="minorBidi"/>
          <w:szCs w:val="22"/>
        </w:rPr>
      </w:pPr>
      <w:r>
        <w:fldChar w:fldCharType="begin"/>
      </w:r>
      <w:r>
        <w:instrText xml:space="preserve"> HYPERLINK \l "_Toc209860090" </w:instrText>
      </w:r>
      <w:r>
        <w:fldChar w:fldCharType="separate"/>
      </w:r>
      <w:r>
        <w:rPr>
          <w:rStyle w:val="32"/>
        </w:rPr>
        <w:t>9  报告生成与应用</w:t>
      </w:r>
      <w:r>
        <w:tab/>
      </w:r>
      <w:r>
        <w:fldChar w:fldCharType="begin"/>
      </w:r>
      <w:r>
        <w:instrText xml:space="preserve"> PAGEREF _Toc209860090 \h </w:instrText>
      </w:r>
      <w:r>
        <w:fldChar w:fldCharType="separate"/>
      </w:r>
      <w:r>
        <w:t>7</w:t>
      </w:r>
      <w:r>
        <w:fldChar w:fldCharType="end"/>
      </w:r>
      <w:r>
        <w:fldChar w:fldCharType="end"/>
      </w:r>
    </w:p>
    <w:p w14:paraId="0D1C10D5">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58" w:name="_GoBack"/>
      <w:bookmarkEnd w:id="58"/>
    </w:p>
    <w:bookmarkEnd w:id="21"/>
    <w:p w14:paraId="355CEC1D">
      <w:pPr>
        <w:pStyle w:val="89"/>
        <w:spacing w:before="900" w:after="360"/>
      </w:pPr>
      <w:bookmarkStart w:id="22" w:name="_Toc209860080"/>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本文件起草单位：腾瑞电力科技有限公司。</w:t>
      </w:r>
    </w:p>
    <w:p w14:paraId="42BC1C2C">
      <w:pPr>
        <w:pStyle w:val="56"/>
        <w:spacing w:line="360" w:lineRule="auto"/>
        <w:ind w:firstLine="420"/>
      </w:pPr>
      <w:r>
        <w:rPr>
          <w:rFonts w:hint="eastAsia"/>
        </w:rPr>
        <w:t>本文件主要起草人：冯秀乙。</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860081"/>
      <w:bookmarkStart w:id="25" w:name="BookMark3"/>
      <w:r>
        <w:rPr>
          <w:spacing w:val="320"/>
        </w:rPr>
        <w:t>引</w:t>
      </w:r>
      <w:r>
        <w:t>言</w:t>
      </w:r>
      <w:bookmarkEnd w:id="24"/>
    </w:p>
    <w:p w14:paraId="7460689F">
      <w:pPr>
        <w:pStyle w:val="56"/>
        <w:spacing w:line="360" w:lineRule="auto"/>
        <w:ind w:firstLine="420"/>
      </w:pPr>
      <w:r>
        <w:rPr>
          <w:rFonts w:hint="eastAsia"/>
        </w:rPr>
        <w:t>电流互感器是电力系统中用于测量和保护的重要设备，其运行状态直接关系到电力系统的安全、稳定和经济运行。传统电流互感器主要依赖现场人工巡检和定期试验进行运行监测，存在监测周期长、故障发现滞后、数据不连续以及人工成本高等问题，难以满足现代电力系统智能化和高可靠性运行的需求。</w:t>
      </w:r>
    </w:p>
    <w:p w14:paraId="10FF9FB1">
      <w:pPr>
        <w:pStyle w:val="56"/>
        <w:spacing w:line="360" w:lineRule="auto"/>
        <w:ind w:firstLine="420"/>
      </w:pPr>
      <w:r>
        <w:rPr>
          <w:rFonts w:hint="eastAsia"/>
        </w:rPr>
        <w:t>随着电力系统智能化和数字化的发展，基于传感器、通信技术、数据采集与处理技术的智能监测和远程诊断方法逐渐应用于电流互感器运行状态监测。通过对电流互感器运行参数、局部绝缘状态、温度、振动及其他关键指标进行实时监测，并结合远程数据分析和故障诊断技术，可以及时发现异常状态，预测潜在故障，提高设备运行可靠性，降低维护成本，并为电力系统安全运行提供科学依据。</w:t>
      </w:r>
    </w:p>
    <w:p w14:paraId="00BA24A5">
      <w:pPr>
        <w:pStyle w:val="56"/>
        <w:spacing w:line="360" w:lineRule="auto"/>
        <w:ind w:firstLine="420"/>
      </w:pPr>
      <w:r>
        <w:rPr>
          <w:rFonts w:hint="eastAsia"/>
        </w:rPr>
        <w:t>然而，在实际应用中，由于设备型号多样、运行环境复杂以及监测与诊断技术不统一，存在标准化不足、数据接口不兼容、故障判定方法差异大等问题，制约了智能监测与远程诊断技术的推广应用。为此，制定本文件，旨在统一电流互感器智能监测与远程诊断的技术要求、监测指标、数据采集与传输、诊断方法及安全保障措施，为电力系统运行单位、设备制造商及运维单位提供技术依据和实施指南。</w:t>
      </w:r>
    </w:p>
    <w:p w14:paraId="42EAE8EF">
      <w:pPr>
        <w:pStyle w:val="56"/>
        <w:spacing w:line="360" w:lineRule="auto"/>
        <w:ind w:firstLine="420"/>
      </w:pPr>
      <w:r>
        <w:rPr>
          <w:rFonts w:hint="eastAsia"/>
        </w:rPr>
        <w:t>本文件适用于电力系统各等级电流互感器的运行状态智能监测和远程诊断，包括变电站、配电网及大型用电设施中的电流互感器设备，为智能化运维和设备健康管理提供标准化技术指导。</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电流互感器智能监测与远程诊断技术规范</w:t>
          </w:r>
        </w:p>
      </w:sdtContent>
    </w:sdt>
    <w:bookmarkEnd w:id="27"/>
    <w:p w14:paraId="153BF6ED">
      <w:pPr>
        <w:pStyle w:val="104"/>
        <w:spacing w:before="240" w:after="240" w:line="360" w:lineRule="auto"/>
      </w:pPr>
      <w:bookmarkStart w:id="28" w:name="_Toc24884218"/>
      <w:bookmarkStart w:id="29" w:name="_Toc26986530"/>
      <w:bookmarkStart w:id="30" w:name="_Toc26986771"/>
      <w:bookmarkStart w:id="31" w:name="_Toc24884211"/>
      <w:bookmarkStart w:id="32" w:name="_Toc209860082"/>
      <w:bookmarkStart w:id="33" w:name="_Toc26648465"/>
      <w:bookmarkStart w:id="34" w:name="_Toc97192964"/>
      <w:bookmarkStart w:id="35" w:name="_Toc17233333"/>
      <w:bookmarkStart w:id="36" w:name="_Toc26718930"/>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02B5A0A6">
      <w:pPr>
        <w:pStyle w:val="56"/>
        <w:spacing w:line="360" w:lineRule="auto"/>
        <w:ind w:firstLine="420"/>
      </w:pPr>
      <w:bookmarkStart w:id="38" w:name="_Toc17233334"/>
      <w:bookmarkStart w:id="39" w:name="_Toc24884212"/>
      <w:bookmarkStart w:id="40" w:name="_Toc17233326"/>
      <w:bookmarkStart w:id="41" w:name="_Toc24884219"/>
      <w:bookmarkStart w:id="42" w:name="_Toc26648466"/>
      <w:r>
        <w:rPr>
          <w:rFonts w:hint="eastAsia"/>
        </w:rPr>
        <w:t>本文件规定了电流互感器智能监测与远程诊断过程中的总体原则、监测指标与数据要求、数据采集与处理方法、远程诊断方法与流程、数据存储与管理及报告生成与应用等内容。</w:t>
      </w:r>
    </w:p>
    <w:p w14:paraId="0CE0BBE0">
      <w:pPr>
        <w:pStyle w:val="56"/>
        <w:spacing w:line="360" w:lineRule="auto"/>
        <w:ind w:firstLine="420"/>
      </w:pPr>
      <w:r>
        <w:rPr>
          <w:rFonts w:hint="eastAsia"/>
        </w:rPr>
        <w:t>本文件适用于电力系统中各等级电流互感器的智能监测和远程诊断工作，明确了监测技术要求、数据采集与传输方法、诊断指标及评估标准。</w:t>
      </w:r>
    </w:p>
    <w:p w14:paraId="1F7FEEB2">
      <w:pPr>
        <w:pStyle w:val="104"/>
        <w:spacing w:before="240" w:after="240" w:line="360" w:lineRule="auto"/>
      </w:pPr>
      <w:bookmarkStart w:id="43" w:name="_Toc26718931"/>
      <w:bookmarkStart w:id="44" w:name="_Toc26986531"/>
      <w:bookmarkStart w:id="45" w:name="_Toc26986772"/>
      <w:bookmarkStart w:id="46" w:name="_Toc209860083"/>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443F4E">
      <w:pPr>
        <w:pStyle w:val="56"/>
        <w:spacing w:line="360" w:lineRule="auto"/>
        <w:ind w:firstLine="420"/>
      </w:pPr>
      <w:r>
        <w:t>GB/T 1.1</w:t>
      </w:r>
      <w:r>
        <w:rPr>
          <w:rFonts w:hint="eastAsia"/>
        </w:rPr>
        <w:t>—</w:t>
      </w:r>
      <w:r>
        <w:t xml:space="preserve">2020 </w:t>
      </w:r>
      <w:r>
        <w:rPr>
          <w:rFonts w:hint="eastAsia"/>
        </w:rPr>
        <w:t>标准化工作导则  第1部分:标准化文件的结构和起草规则</w:t>
      </w:r>
    </w:p>
    <w:p w14:paraId="13DB9151">
      <w:pPr>
        <w:pStyle w:val="56"/>
        <w:spacing w:line="360" w:lineRule="auto"/>
        <w:ind w:firstLine="420"/>
      </w:pPr>
      <w:r>
        <w:rPr>
          <w:rFonts w:hint="eastAsia"/>
        </w:rPr>
        <w:t xml:space="preserve">GB/T 22239—2019 信息安全技术 </w:t>
      </w:r>
      <w:r>
        <w:t xml:space="preserve"> </w:t>
      </w:r>
      <w:r>
        <w:rPr>
          <w:rFonts w:hint="eastAsia"/>
        </w:rPr>
        <w:t>网络安全等级保护基本要求</w:t>
      </w:r>
    </w:p>
    <w:p w14:paraId="7C432DC8">
      <w:pPr>
        <w:pStyle w:val="56"/>
        <w:spacing w:line="360" w:lineRule="auto"/>
        <w:ind w:firstLine="420"/>
      </w:pPr>
      <w:r>
        <w:t>GB/Z 20840.100</w:t>
      </w:r>
      <w:r>
        <w:rPr>
          <w:rFonts w:hint="eastAsia"/>
        </w:rPr>
        <w:t>—</w:t>
      </w:r>
      <w:r>
        <w:t xml:space="preserve">2023 </w:t>
      </w:r>
      <w:r>
        <w:rPr>
          <w:rFonts w:hint="eastAsia"/>
        </w:rPr>
        <w:t xml:space="preserve">互感器 </w:t>
      </w:r>
      <w:r>
        <w:t xml:space="preserve"> </w:t>
      </w:r>
      <w:r>
        <w:rPr>
          <w:rFonts w:hint="eastAsia"/>
        </w:rPr>
        <w:t>第100部分：电力系统保护用电流互感器应用导则</w:t>
      </w:r>
    </w:p>
    <w:p w14:paraId="6962992E">
      <w:pPr>
        <w:pStyle w:val="104"/>
        <w:spacing w:before="240" w:after="240" w:line="360" w:lineRule="auto"/>
      </w:pPr>
      <w:bookmarkStart w:id="48" w:name="_Toc209860084"/>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3180426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电流互感器 current transformer</w:t>
      </w:r>
    </w:p>
    <w:p w14:paraId="207FF4BC">
      <w:pPr>
        <w:pStyle w:val="56"/>
        <w:spacing w:line="360" w:lineRule="auto"/>
        <w:ind w:firstLine="420"/>
      </w:pPr>
      <w:r>
        <w:rPr>
          <w:rFonts w:hint="eastAsia"/>
        </w:rPr>
        <w:t>用于将高电流转换为标准二次电流，以供测量、保护和控制系统使用的电力系统设备。</w:t>
      </w:r>
    </w:p>
    <w:p w14:paraId="142D98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智能监测 intelligent monitoring</w:t>
      </w:r>
    </w:p>
    <w:p w14:paraId="3437C764">
      <w:pPr>
        <w:pStyle w:val="56"/>
        <w:spacing w:line="360" w:lineRule="auto"/>
        <w:ind w:firstLine="420"/>
      </w:pPr>
      <w:r>
        <w:rPr>
          <w:rFonts w:hint="eastAsia"/>
        </w:rPr>
        <w:t>通过传感器、数据采集、通信及信息处理技术，对电流互感器的运行状态进行实时监测、数据记录和异常识别的技术手段。</w:t>
      </w:r>
    </w:p>
    <w:p w14:paraId="3BB8CB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远程诊断 remote diagnosis</w:t>
      </w:r>
    </w:p>
    <w:p w14:paraId="3B5697D2">
      <w:pPr>
        <w:pStyle w:val="56"/>
        <w:spacing w:line="360" w:lineRule="auto"/>
        <w:ind w:firstLine="420"/>
      </w:pPr>
      <w:r>
        <w:rPr>
          <w:rFonts w:hint="eastAsia"/>
        </w:rPr>
        <w:t>基于采集的监测数据，通过分析和算法模型对电流互感器运行状态进行故障判定、健康评估及潜在风险预测的技术过程。</w:t>
      </w:r>
    </w:p>
    <w:p w14:paraId="3B1A04C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监测指标 monitoring indicators</w:t>
      </w:r>
    </w:p>
    <w:p w14:paraId="703749AB">
      <w:pPr>
        <w:pStyle w:val="56"/>
        <w:spacing w:line="360" w:lineRule="auto"/>
        <w:ind w:firstLine="420"/>
      </w:pPr>
      <w:r>
        <w:rPr>
          <w:rFonts w:hint="eastAsia"/>
        </w:rPr>
        <w:t>用于评价电流互感器运行状态和健康状况的量化参数，包括电流精度、绝缘状态、温度、振动及局部放电等关键指标。</w:t>
      </w:r>
    </w:p>
    <w:p w14:paraId="17A76D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数据采集 data acquisition</w:t>
      </w:r>
    </w:p>
    <w:p w14:paraId="0D1F6153">
      <w:pPr>
        <w:pStyle w:val="56"/>
        <w:spacing w:line="360" w:lineRule="auto"/>
        <w:ind w:firstLine="420"/>
      </w:pPr>
      <w:r>
        <w:rPr>
          <w:rFonts w:hint="eastAsia"/>
        </w:rPr>
        <w:t>通过传感器和测量设备获取电流互感器运行参数及环境状态信息的过程。</w:t>
      </w:r>
    </w:p>
    <w:p w14:paraId="05B8D2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数据传输 data transmission</w:t>
      </w:r>
    </w:p>
    <w:p w14:paraId="1E634849">
      <w:pPr>
        <w:pStyle w:val="56"/>
        <w:spacing w:line="360" w:lineRule="auto"/>
        <w:ind w:firstLine="420"/>
      </w:pPr>
      <w:r>
        <w:rPr>
          <w:rFonts w:hint="eastAsia"/>
        </w:rPr>
        <w:t>将采集的数据通过通信网络或其他传输介质传送到监控中心或远程诊断系统的过程。</w:t>
      </w:r>
    </w:p>
    <w:p w14:paraId="5918F92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健康评估 health assessment</w:t>
      </w:r>
    </w:p>
    <w:p w14:paraId="2E1AA60F">
      <w:pPr>
        <w:pStyle w:val="56"/>
        <w:spacing w:line="360" w:lineRule="auto"/>
        <w:ind w:firstLine="420"/>
      </w:pPr>
      <w:r>
        <w:rPr>
          <w:rFonts w:hint="eastAsia"/>
        </w:rPr>
        <w:t>对电流互感器运行状态进行综合分析，判断其当前健康水平、潜在故障风险及剩余寿命的过程。</w:t>
      </w:r>
    </w:p>
    <w:p w14:paraId="6212C99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异常报警 abnormal alarm</w:t>
      </w:r>
    </w:p>
    <w:p w14:paraId="05CD61AF">
      <w:pPr>
        <w:pStyle w:val="56"/>
        <w:spacing w:line="360" w:lineRule="auto"/>
        <w:ind w:firstLine="420"/>
      </w:pPr>
      <w:r>
        <w:rPr>
          <w:rFonts w:hint="eastAsia"/>
        </w:rPr>
        <w:t>在监测或诊断过程中，当电流互感器运行参数超过设定阈值或出现异常状态时，系统自动发出的提示信号或警告信息。</w:t>
      </w:r>
    </w:p>
    <w:p w14:paraId="4B08BFD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数据融合 data fusion</w:t>
      </w:r>
    </w:p>
    <w:p w14:paraId="29B5AD9F">
      <w:pPr>
        <w:pStyle w:val="56"/>
        <w:spacing w:line="360" w:lineRule="auto"/>
        <w:ind w:firstLine="420"/>
      </w:pPr>
      <w:r>
        <w:rPr>
          <w:rFonts w:hint="eastAsia"/>
        </w:rPr>
        <w:t>将来自多种传感器和数据来源的信息进行整合和分析，以提高监测精度、完整性和可靠性的技术手段。</w:t>
      </w:r>
    </w:p>
    <w:p w14:paraId="5B35229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预测维护 predictive maintenance</w:t>
      </w:r>
    </w:p>
    <w:p w14:paraId="12062132">
      <w:pPr>
        <w:pStyle w:val="56"/>
        <w:spacing w:line="360" w:lineRule="auto"/>
        <w:ind w:firstLine="420"/>
      </w:pPr>
      <w:r>
        <w:rPr>
          <w:rFonts w:hint="eastAsia"/>
        </w:rPr>
        <w:t>基于智能监测和远程诊断数据，通过健康评估和故障预测结果，提前安排检修或维护措施，以防止设备故障和停运。</w:t>
      </w:r>
    </w:p>
    <w:p w14:paraId="6D09A6B1">
      <w:pPr>
        <w:pStyle w:val="104"/>
        <w:spacing w:before="240" w:after="240" w:line="360" w:lineRule="auto"/>
      </w:pPr>
      <w:bookmarkStart w:id="51" w:name="_Toc209860085"/>
      <w:r>
        <w:rPr>
          <w:rFonts w:hint="eastAsia"/>
        </w:rPr>
        <w:t>总体原则</w:t>
      </w:r>
      <w:bookmarkEnd w:id="51"/>
    </w:p>
    <w:p w14:paraId="447F8047">
      <w:pPr>
        <w:pStyle w:val="105"/>
        <w:spacing w:before="120" w:after="120" w:line="360" w:lineRule="auto"/>
      </w:pPr>
      <w:r>
        <w:rPr>
          <w:rFonts w:hint="eastAsia"/>
        </w:rPr>
        <w:t>科学性原则</w:t>
      </w:r>
    </w:p>
    <w:p w14:paraId="6A690965">
      <w:pPr>
        <w:pStyle w:val="56"/>
        <w:spacing w:line="360" w:lineRule="auto"/>
        <w:ind w:firstLine="420"/>
      </w:pPr>
      <w:r>
        <w:rPr>
          <w:rFonts w:hint="eastAsia"/>
        </w:rPr>
        <w:t>智能监测与远程诊断应基于电力系统运行原理、继电保护理论及电流互感器技术特点，结合传感器技术、通信网络及数据分析方法，科学制定监测指标、采集方案和诊断算法，确保监测数据能够真实反映设备运行状态和潜在故障。</w:t>
      </w:r>
    </w:p>
    <w:p w14:paraId="6C913BE7">
      <w:pPr>
        <w:pStyle w:val="105"/>
        <w:spacing w:before="120" w:after="120" w:line="360" w:lineRule="auto"/>
      </w:pPr>
      <w:r>
        <w:rPr>
          <w:rFonts w:hint="eastAsia"/>
        </w:rPr>
        <w:t>系统性原则</w:t>
      </w:r>
    </w:p>
    <w:p w14:paraId="1AB3EF9A">
      <w:pPr>
        <w:pStyle w:val="56"/>
        <w:spacing w:line="360" w:lineRule="auto"/>
        <w:ind w:firstLine="420"/>
      </w:pPr>
      <w:r>
        <w:rPr>
          <w:rFonts w:hint="eastAsia"/>
        </w:rPr>
        <w:t>监测与诊断应覆盖电流互感器的关键部位和主要运行参数，包括一次电流、二次电流、绝缘状态、温度、振动及局部放电等。各环节数据采集、传输、存储和分析应形成完整系统，确保信息流闭环和数据可追溯性，实现从数据获取到诊断结果的系统化管理。</w:t>
      </w:r>
    </w:p>
    <w:p w14:paraId="67A7A429">
      <w:pPr>
        <w:pStyle w:val="105"/>
        <w:spacing w:before="120" w:after="120" w:line="360" w:lineRule="auto"/>
      </w:pPr>
      <w:r>
        <w:rPr>
          <w:rFonts w:hint="eastAsia"/>
        </w:rPr>
        <w:t>规范性原则</w:t>
      </w:r>
    </w:p>
    <w:p w14:paraId="2551AF35">
      <w:pPr>
        <w:pStyle w:val="56"/>
        <w:spacing w:line="360" w:lineRule="auto"/>
        <w:ind w:firstLine="420"/>
      </w:pPr>
      <w:r>
        <w:rPr>
          <w:rFonts w:hint="eastAsia"/>
        </w:rPr>
        <w:t>智能监测与远程诊断应严格遵循本规范及相关国家、行业标准。监测数据、诊断方法、阈值设置、报告格式及质量控制措施应统一规范，确保不同设备、不同地区及不同监测机构之间的结果可比、可复核。</w:t>
      </w:r>
    </w:p>
    <w:p w14:paraId="32FEBCF0">
      <w:pPr>
        <w:pStyle w:val="105"/>
        <w:spacing w:before="120" w:after="120" w:line="360" w:lineRule="auto"/>
      </w:pPr>
      <w:r>
        <w:rPr>
          <w:rFonts w:hint="eastAsia"/>
        </w:rPr>
        <w:t>数据质量保障原则</w:t>
      </w:r>
    </w:p>
    <w:p w14:paraId="71A30652">
      <w:pPr>
        <w:pStyle w:val="56"/>
        <w:spacing w:line="360" w:lineRule="auto"/>
        <w:ind w:firstLine="420"/>
      </w:pPr>
      <w:r>
        <w:rPr>
          <w:rFonts w:hint="eastAsia"/>
        </w:rPr>
        <w:t>在数据采集、传输、融合及分析过程中，应建立严格的数据质量控制体系。包括仪器校准、异常数据检测、数据完整性验证和多源比对，以保证监测数据准确、稳定、可重复，并支撑远程诊断与健康评估的可靠性。</w:t>
      </w:r>
    </w:p>
    <w:p w14:paraId="41362D93">
      <w:pPr>
        <w:pStyle w:val="105"/>
        <w:spacing w:before="120" w:after="120" w:line="360" w:lineRule="auto"/>
      </w:pPr>
      <w:r>
        <w:rPr>
          <w:rFonts w:hint="eastAsia"/>
        </w:rPr>
        <w:t>安全性原则</w:t>
      </w:r>
    </w:p>
    <w:p w14:paraId="567F372B">
      <w:pPr>
        <w:pStyle w:val="56"/>
        <w:spacing w:line="360" w:lineRule="auto"/>
        <w:ind w:firstLine="420"/>
      </w:pPr>
      <w:r>
        <w:rPr>
          <w:rFonts w:hint="eastAsia"/>
        </w:rPr>
        <w:t>监测与诊断操作应确保设备运行和人员安全。现场安装与维护传感器及监测系统时，应遵循电力安全操作规程，避免对电流互感器和电力系统正常运行造成影响。同时，应防止数据泄露或通信安全风险，保障监测信息的安全性和保密性。</w:t>
      </w:r>
    </w:p>
    <w:p w14:paraId="2EB4180A">
      <w:pPr>
        <w:pStyle w:val="105"/>
        <w:spacing w:before="120" w:after="120" w:line="360" w:lineRule="auto"/>
      </w:pPr>
      <w:r>
        <w:rPr>
          <w:rFonts w:hint="eastAsia"/>
        </w:rPr>
        <w:t>持续改进原则</w:t>
      </w:r>
    </w:p>
    <w:p w14:paraId="311204EC">
      <w:pPr>
        <w:pStyle w:val="56"/>
        <w:spacing w:line="360" w:lineRule="auto"/>
        <w:ind w:firstLine="420"/>
      </w:pPr>
      <w:r>
        <w:rPr>
          <w:rFonts w:hint="eastAsia"/>
        </w:rPr>
        <w:t>智能监测与远程诊断工作应建立持续改进机制，根据运行经验和技术发展不断优化监测方案、数据处理方法和诊断算法，提高诊断精度和监测效率，推动电力设备智能运维和健康管理的规范化发展。</w:t>
      </w:r>
    </w:p>
    <w:p w14:paraId="032F8E28">
      <w:pPr>
        <w:pStyle w:val="104"/>
        <w:spacing w:before="240" w:after="240" w:line="360" w:lineRule="auto"/>
      </w:pPr>
      <w:bookmarkStart w:id="52" w:name="_Toc209860086"/>
      <w:r>
        <w:rPr>
          <w:rFonts w:hint="eastAsia"/>
        </w:rPr>
        <w:t>监测指标与数据要求</w:t>
      </w:r>
      <w:bookmarkEnd w:id="52"/>
    </w:p>
    <w:p w14:paraId="0C5BF1E4">
      <w:pPr>
        <w:pStyle w:val="105"/>
        <w:spacing w:before="120" w:after="120" w:line="360" w:lineRule="auto"/>
      </w:pPr>
      <w:r>
        <w:rPr>
          <w:rFonts w:hint="eastAsia"/>
        </w:rPr>
        <w:t>电气参数指标</w:t>
      </w:r>
    </w:p>
    <w:p w14:paraId="557B24A7">
      <w:pPr>
        <w:pStyle w:val="56"/>
        <w:spacing w:line="360" w:lineRule="auto"/>
        <w:ind w:firstLine="420"/>
      </w:pPr>
      <w:r>
        <w:rPr>
          <w:rFonts w:hint="eastAsia"/>
        </w:rPr>
        <w:t>包括一次电流、二次电流、变比误差、相位误差及负载响应特性等。监测应确保采集数据的精度满足电流互感器技术要求，并能够反映设备在不同负载条件下的运行状态。关键电气参数应进行连续采集和实时分析，以支持快速诊断和故障预警。</w:t>
      </w:r>
    </w:p>
    <w:p w14:paraId="67817690">
      <w:pPr>
        <w:pStyle w:val="105"/>
        <w:spacing w:before="120" w:after="120" w:line="360" w:lineRule="auto"/>
      </w:pPr>
      <w:r>
        <w:rPr>
          <w:rFonts w:hint="eastAsia"/>
        </w:rPr>
        <w:t>机械状态指标</w:t>
      </w:r>
    </w:p>
    <w:p w14:paraId="7E768214">
      <w:pPr>
        <w:pStyle w:val="56"/>
        <w:spacing w:line="360" w:lineRule="auto"/>
        <w:ind w:firstLine="420"/>
      </w:pPr>
      <w:r>
        <w:rPr>
          <w:rFonts w:hint="eastAsia"/>
        </w:rPr>
        <w:t>包括温度、振动、机械磨损及绝缘状态等。传感器应合理布设，确保关键部件的状态信息完整覆盖。采集数据应具有高时间分辨率和空间代表性，以便对设备潜在故障进行早期预警。</w:t>
      </w:r>
    </w:p>
    <w:p w14:paraId="3C4AEB6D">
      <w:pPr>
        <w:pStyle w:val="105"/>
        <w:spacing w:before="120" w:after="120" w:line="360" w:lineRule="auto"/>
      </w:pPr>
      <w:r>
        <w:rPr>
          <w:rFonts w:hint="eastAsia"/>
        </w:rPr>
        <w:t>环境影响指标</w:t>
      </w:r>
    </w:p>
    <w:p w14:paraId="1763FB9E">
      <w:pPr>
        <w:pStyle w:val="56"/>
        <w:spacing w:line="360" w:lineRule="auto"/>
        <w:ind w:firstLine="420"/>
      </w:pPr>
      <w:r>
        <w:rPr>
          <w:rFonts w:hint="eastAsia"/>
        </w:rPr>
        <w:t>包括周围环境温湿度、湿度梯度、污染等级及安装环境条件等。这些因素可能影响电流互感器的运行性能和监测数据准确性，应同步采集并纳入诊断分析。</w:t>
      </w:r>
    </w:p>
    <w:p w14:paraId="52CE01FE">
      <w:pPr>
        <w:pStyle w:val="105"/>
        <w:spacing w:before="120" w:after="120" w:line="360" w:lineRule="auto"/>
      </w:pPr>
      <w:r>
        <w:rPr>
          <w:rFonts w:hint="eastAsia"/>
        </w:rPr>
        <w:t>数据要求</w:t>
      </w:r>
    </w:p>
    <w:p w14:paraId="11F9A04C">
      <w:pPr>
        <w:pStyle w:val="165"/>
        <w:spacing w:line="360" w:lineRule="auto"/>
      </w:pPr>
      <w:r>
        <w:rPr>
          <w:rFonts w:hint="eastAsia"/>
        </w:rPr>
        <w:t>强调数据完整性、准确性和可比性。多源数据采集应统一时间基准、数据格式和坐标体系，避免因传输延迟或格式差异导致的数据不一致。</w:t>
      </w:r>
    </w:p>
    <w:p w14:paraId="57AC31D9">
      <w:pPr>
        <w:pStyle w:val="165"/>
        <w:spacing w:line="360" w:lineRule="auto"/>
      </w:pPr>
      <w:r>
        <w:rPr>
          <w:rFonts w:hint="eastAsia"/>
        </w:rPr>
        <w:t>数据预处理应包括异常值剔除、缺失值补全及校准处理，确保后续诊断和健康评估的可靠性。</w:t>
      </w:r>
    </w:p>
    <w:p w14:paraId="26E79613">
      <w:pPr>
        <w:pStyle w:val="165"/>
        <w:spacing w:line="360" w:lineRule="auto"/>
      </w:pPr>
      <w:r>
        <w:rPr>
          <w:rFonts w:hint="eastAsia"/>
        </w:rPr>
        <w:t>关键指标和重点设备应建立高频监测和多重验证机制，通过数据比对、重复测量和历史趋势分析，保证监测数据的稳定性和可追溯性，为远程诊断、健康评估和预测性维护提供科学依据。</w:t>
      </w:r>
    </w:p>
    <w:p w14:paraId="76B0E4C1">
      <w:pPr>
        <w:pStyle w:val="104"/>
        <w:spacing w:before="240" w:after="240" w:line="360" w:lineRule="auto"/>
      </w:pPr>
      <w:bookmarkStart w:id="53" w:name="_Toc209860087"/>
      <w:r>
        <w:rPr>
          <w:rFonts w:hint="eastAsia"/>
        </w:rPr>
        <w:t>数据采集与处理方法</w:t>
      </w:r>
      <w:bookmarkEnd w:id="53"/>
    </w:p>
    <w:p w14:paraId="3F063A7A">
      <w:pPr>
        <w:pStyle w:val="105"/>
        <w:spacing w:before="120" w:after="120" w:line="360" w:lineRule="auto"/>
      </w:pPr>
      <w:r>
        <w:rPr>
          <w:rFonts w:hint="eastAsia"/>
        </w:rPr>
        <w:t>传感器布设与采集</w:t>
      </w:r>
    </w:p>
    <w:p w14:paraId="6CFE235F">
      <w:pPr>
        <w:pStyle w:val="56"/>
        <w:spacing w:line="360" w:lineRule="auto"/>
        <w:ind w:firstLine="420"/>
      </w:pPr>
      <w:r>
        <w:rPr>
          <w:rFonts w:hint="eastAsia"/>
        </w:rPr>
        <w:t>监测系统应在电流互感器关键部位安装传感器，包括一次、二次绕组电流传感器、温度传感器、振动传感器及绝缘状态传感器。传感器布设应兼顾空间覆盖和代表性，保证关键参数的实时采集。采集周期应根据设备运行特性和诊断需求确定，对于关键参数建议采用高频采样，以捕捉瞬时异常信号。</w:t>
      </w:r>
    </w:p>
    <w:p w14:paraId="4FE81EB5">
      <w:pPr>
        <w:pStyle w:val="105"/>
        <w:spacing w:before="120" w:after="120" w:line="360" w:lineRule="auto"/>
      </w:pPr>
      <w:r>
        <w:rPr>
          <w:rFonts w:hint="eastAsia"/>
        </w:rPr>
        <w:t>数据传输</w:t>
      </w:r>
    </w:p>
    <w:p w14:paraId="16EEDACD">
      <w:pPr>
        <w:pStyle w:val="56"/>
        <w:spacing w:line="360" w:lineRule="auto"/>
        <w:ind w:firstLine="420"/>
      </w:pPr>
      <w:r>
        <w:rPr>
          <w:rFonts w:hint="eastAsia"/>
        </w:rPr>
        <w:t>采集数据通过有线或无线通信网络传输至监控中心或远程诊断系统。传输应保证数据完整性和实时性，采用加密传输和校验机制，防止数据丢失、篡改或延迟。对于多源数据，应采用统一时间戳和标准化数据格式，实现不同数据源的统一管理。</w:t>
      </w:r>
    </w:p>
    <w:p w14:paraId="6B42DA36">
      <w:pPr>
        <w:pStyle w:val="105"/>
        <w:spacing w:before="120" w:after="120" w:line="360" w:lineRule="auto"/>
      </w:pPr>
      <w:r>
        <w:rPr>
          <w:rFonts w:hint="eastAsia"/>
        </w:rPr>
        <w:t>数据预处理</w:t>
      </w:r>
    </w:p>
    <w:p w14:paraId="7EBA4C97">
      <w:pPr>
        <w:pStyle w:val="56"/>
        <w:spacing w:line="360" w:lineRule="auto"/>
        <w:ind w:firstLine="420"/>
      </w:pPr>
      <w:r>
        <w:rPr>
          <w:rFonts w:hint="eastAsia"/>
        </w:rPr>
        <w:t>传输到中心系统的数据应进行预处理，包括噪声滤除、异常值剔除、缺失值补全、信号平滑和校准处理。预处理后数据应保留原始信息的完整性，并生成可用于分析和诊断的标准化数据集。</w:t>
      </w:r>
    </w:p>
    <w:p w14:paraId="7C73DAC8">
      <w:pPr>
        <w:pStyle w:val="105"/>
        <w:spacing w:before="120" w:after="120" w:line="360" w:lineRule="auto"/>
      </w:pPr>
      <w:r>
        <w:rPr>
          <w:rFonts w:hint="eastAsia"/>
        </w:rPr>
        <w:t>多源数据融合</w:t>
      </w:r>
    </w:p>
    <w:p w14:paraId="039D3414">
      <w:pPr>
        <w:pStyle w:val="56"/>
        <w:spacing w:line="360" w:lineRule="auto"/>
        <w:ind w:firstLine="420"/>
      </w:pPr>
      <w:r>
        <w:rPr>
          <w:rFonts w:hint="eastAsia"/>
        </w:rPr>
        <w:t>对于同一设备或同一区域的多类数据，应进行融合处理。融合方法可包括加权平均、数据同化、模型融合或机器学习算法，以提高监测精度和诊断可靠性。融合过程应考虑数据来源的精度、采样频率及时间同步性，确保融合结果能够真实反映设备运行状态。</w:t>
      </w:r>
    </w:p>
    <w:p w14:paraId="76DE3FE6">
      <w:pPr>
        <w:pStyle w:val="105"/>
        <w:spacing w:before="120" w:after="120" w:line="360" w:lineRule="auto"/>
      </w:pPr>
      <w:r>
        <w:rPr>
          <w:rFonts w:hint="eastAsia"/>
        </w:rPr>
        <w:t>数据存储与管理</w:t>
      </w:r>
    </w:p>
    <w:p w14:paraId="47464E9E">
      <w:pPr>
        <w:pStyle w:val="56"/>
        <w:spacing w:line="360" w:lineRule="auto"/>
        <w:ind w:firstLine="420"/>
      </w:pPr>
      <w:r>
        <w:rPr>
          <w:rFonts w:hint="eastAsia"/>
        </w:rPr>
        <w:t>处理后的数据应按照统一规范进行存储和管理，包括数据库归档、文件命名、目录结构及备份策略。应建立元数据记录，包括采集时间、采集设备、传感器型号及校准信息，保证数据可追溯性。关键数据应定期备份，并建立访问权限和安全控制措施，确保数据安全和长期可用。</w:t>
      </w:r>
    </w:p>
    <w:p w14:paraId="7544E6C6">
      <w:pPr>
        <w:pStyle w:val="105"/>
        <w:spacing w:before="120" w:after="120" w:line="360" w:lineRule="auto"/>
      </w:pPr>
      <w:r>
        <w:rPr>
          <w:rFonts w:hint="eastAsia"/>
        </w:rPr>
        <w:t>数据质量控制</w:t>
      </w:r>
    </w:p>
    <w:p w14:paraId="102A2F99">
      <w:pPr>
        <w:pStyle w:val="56"/>
        <w:spacing w:line="360" w:lineRule="auto"/>
        <w:ind w:firstLine="420"/>
      </w:pPr>
      <w:r>
        <w:rPr>
          <w:rFonts w:hint="eastAsia"/>
        </w:rPr>
        <w:t>在数据采集、传输和处理的全过程中，应建立质量控制体系，包括传感器校准、数据完整性检查、重复采样验证、多源比对及异常数据分析。对关键指标和重点设备，应设置多级校验和监控机制，确保数据的准确性、稳定性和可靠性，为智能诊断和健康评估提供可靠依据。</w:t>
      </w:r>
    </w:p>
    <w:p w14:paraId="54734FDD">
      <w:pPr>
        <w:pStyle w:val="104"/>
        <w:spacing w:before="240" w:after="240" w:line="360" w:lineRule="auto"/>
      </w:pPr>
      <w:bookmarkStart w:id="54" w:name="_Toc209860088"/>
      <w:r>
        <w:rPr>
          <w:rFonts w:hint="eastAsia"/>
        </w:rPr>
        <w:t>远程诊断方法与流程</w:t>
      </w:r>
      <w:bookmarkEnd w:id="54"/>
    </w:p>
    <w:p w14:paraId="1CB04C01">
      <w:pPr>
        <w:pStyle w:val="105"/>
        <w:spacing w:before="120" w:after="120" w:line="360" w:lineRule="auto"/>
      </w:pPr>
      <w:r>
        <w:rPr>
          <w:rFonts w:hint="eastAsia"/>
        </w:rPr>
        <w:t>故障识别方法</w:t>
      </w:r>
    </w:p>
    <w:p w14:paraId="32607325">
      <w:pPr>
        <w:pStyle w:val="56"/>
        <w:spacing w:line="360" w:lineRule="auto"/>
        <w:ind w:firstLine="420"/>
      </w:pPr>
      <w:r>
        <w:rPr>
          <w:rFonts w:hint="eastAsia"/>
        </w:rPr>
        <w:t>远程诊断应采用多种方法对电流互感器异常状态进行识别，包括阈值判定、趋势分析、模式识别和机器学习算法。通过对关键指标的连续监测和历史数据对比，可以快速发现超载、绝缘下降、温升异常、振动过大及局部放电等潜在故障。</w:t>
      </w:r>
    </w:p>
    <w:p w14:paraId="3712E99F">
      <w:pPr>
        <w:pStyle w:val="105"/>
        <w:spacing w:before="120" w:after="120" w:line="360" w:lineRule="auto"/>
      </w:pPr>
      <w:r>
        <w:rPr>
          <w:rFonts w:hint="eastAsia"/>
        </w:rPr>
        <w:t>健康评估方法</w:t>
      </w:r>
    </w:p>
    <w:p w14:paraId="6B99397F">
      <w:pPr>
        <w:pStyle w:val="56"/>
        <w:spacing w:line="360" w:lineRule="auto"/>
        <w:ind w:firstLine="420"/>
      </w:pPr>
      <w:r>
        <w:rPr>
          <w:rFonts w:hint="eastAsia"/>
        </w:rPr>
        <w:t>健康评估应基于关键参数和历史运行数据，对电流互感器运行状态进行综合分析。评估方法可包括状态评分、风险等级划分和寿命预测模型。评估结果应明确设备健康等级，指出潜在风险和剩余寿命，为运维决策提供科学依据。</w:t>
      </w:r>
    </w:p>
    <w:p w14:paraId="57F3887D">
      <w:pPr>
        <w:pStyle w:val="105"/>
        <w:spacing w:before="120" w:after="120" w:line="360" w:lineRule="auto"/>
      </w:pPr>
      <w:r>
        <w:rPr>
          <w:rFonts w:hint="eastAsia"/>
        </w:rPr>
        <w:t>诊断流程</w:t>
      </w:r>
    </w:p>
    <w:p w14:paraId="34C814A1">
      <w:pPr>
        <w:pStyle w:val="56"/>
        <w:spacing w:line="360" w:lineRule="auto"/>
        <w:ind w:firstLine="420"/>
      </w:pPr>
      <w:r>
        <w:rPr>
          <w:rFonts w:hint="eastAsia"/>
        </w:rPr>
        <w:t>远程诊断流程包括数据采集与传输、数据预处理、多源数据融合、异常识别、健康评估和结果反馈。具体流程如下：</w:t>
      </w:r>
    </w:p>
    <w:p w14:paraId="0563B204">
      <w:pPr>
        <w:pStyle w:val="174"/>
        <w:spacing w:line="360" w:lineRule="auto"/>
      </w:pPr>
      <w:r>
        <w:rPr>
          <w:rFonts w:hint="eastAsia"/>
        </w:rPr>
        <w:t>数据采集：传感器实时获取电气参数、机械状态及环境指标；</w:t>
      </w:r>
    </w:p>
    <w:p w14:paraId="0A882AF3">
      <w:pPr>
        <w:pStyle w:val="174"/>
        <w:spacing w:line="360" w:lineRule="auto"/>
      </w:pPr>
      <w:r>
        <w:rPr>
          <w:rFonts w:hint="eastAsia"/>
        </w:rPr>
        <w:t>数据传输与预处理：将采集数据传输至监控中心，进行校正、滤波及标准化处理；</w:t>
      </w:r>
    </w:p>
    <w:p w14:paraId="67F543E3">
      <w:pPr>
        <w:pStyle w:val="174"/>
        <w:spacing w:line="360" w:lineRule="auto"/>
      </w:pPr>
      <w:r>
        <w:rPr>
          <w:rFonts w:hint="eastAsia"/>
        </w:rPr>
        <w:t>多源数据融合：整合不同传感器和数据来源的信息，提高诊断精度；</w:t>
      </w:r>
    </w:p>
    <w:p w14:paraId="225D5D81">
      <w:pPr>
        <w:pStyle w:val="174"/>
        <w:spacing w:line="360" w:lineRule="auto"/>
      </w:pPr>
      <w:r>
        <w:rPr>
          <w:rFonts w:hint="eastAsia"/>
        </w:rPr>
        <w:t>异常识别与诊断：利用阈值判定、趋势分析和算法模型识别异常状态；</w:t>
      </w:r>
    </w:p>
    <w:p w14:paraId="07B210EE">
      <w:pPr>
        <w:pStyle w:val="174"/>
        <w:spacing w:line="360" w:lineRule="auto"/>
      </w:pPr>
      <w:r>
        <w:rPr>
          <w:rFonts w:hint="eastAsia"/>
        </w:rPr>
        <w:t>健康评估：综合分析关键指标和历史数据，对设备运行状态进行评分和风险等级划分；</w:t>
      </w:r>
    </w:p>
    <w:p w14:paraId="1A4620D4">
      <w:pPr>
        <w:pStyle w:val="174"/>
        <w:spacing w:line="360" w:lineRule="auto"/>
      </w:pPr>
      <w:r>
        <w:rPr>
          <w:rFonts w:hint="eastAsia"/>
        </w:rPr>
        <w:t>结果反馈：将诊断结果及时传送给运维人员，生成报告并提供维护建议。</w:t>
      </w:r>
    </w:p>
    <w:p w14:paraId="5B8422E9">
      <w:pPr>
        <w:pStyle w:val="105"/>
        <w:spacing w:before="120" w:after="120" w:line="360" w:lineRule="auto"/>
      </w:pPr>
      <w:r>
        <w:rPr>
          <w:rFonts w:hint="eastAsia"/>
        </w:rPr>
        <w:t>预测性维护</w:t>
      </w:r>
    </w:p>
    <w:p w14:paraId="773C1A96">
      <w:pPr>
        <w:pStyle w:val="56"/>
        <w:spacing w:line="360" w:lineRule="auto"/>
        <w:ind w:firstLine="420"/>
      </w:pPr>
      <w:r>
        <w:rPr>
          <w:rFonts w:hint="eastAsia"/>
        </w:rPr>
        <w:t>基于远程诊断和健康评估结果，可实施预测性维护。通过提前识别潜在故障和风险，运维人员可合理安排检修或部件更换，避免设备故障引起的停运和安全事故。预测性维护应结合设备运行环境、历史故障数据及关键指标变化趋势，制定合理的维护计划。</w:t>
      </w:r>
    </w:p>
    <w:p w14:paraId="1AC08612">
      <w:pPr>
        <w:pStyle w:val="105"/>
        <w:spacing w:before="120" w:after="120" w:line="360" w:lineRule="auto"/>
      </w:pPr>
      <w:r>
        <w:rPr>
          <w:rFonts w:hint="eastAsia"/>
        </w:rPr>
        <w:t>诊断结果记录与管理</w:t>
      </w:r>
    </w:p>
    <w:p w14:paraId="0207870A">
      <w:pPr>
        <w:pStyle w:val="56"/>
        <w:spacing w:line="360" w:lineRule="auto"/>
        <w:ind w:firstLine="420"/>
      </w:pPr>
      <w:r>
        <w:rPr>
          <w:rFonts w:hint="eastAsia"/>
        </w:rPr>
        <w:t>所有诊断数据、异常事件及健康评估结果应形成标准化记录，建立数据库，便于后续分析和历史追踪。记录应包括数据采集时间、诊断方法、关键指标值、异常判定及处理措施，确保远程诊断的可追溯性和持续改进。</w:t>
      </w:r>
    </w:p>
    <w:p w14:paraId="4E6CCA09">
      <w:pPr>
        <w:pStyle w:val="104"/>
        <w:spacing w:before="240" w:after="240" w:line="360" w:lineRule="auto"/>
      </w:pPr>
      <w:bookmarkStart w:id="55" w:name="_Toc209860089"/>
      <w:r>
        <w:rPr>
          <w:rFonts w:hint="eastAsia"/>
        </w:rPr>
        <w:t>数据存储与管理</w:t>
      </w:r>
      <w:bookmarkEnd w:id="55"/>
    </w:p>
    <w:p w14:paraId="270191B5">
      <w:pPr>
        <w:pStyle w:val="56"/>
        <w:spacing w:line="360" w:lineRule="auto"/>
        <w:ind w:firstLine="420"/>
      </w:pPr>
      <w:r>
        <w:rPr>
          <w:rFonts w:hint="eastAsia"/>
        </w:rPr>
        <w:t>数据存储、管理与安全是电流互感器智能监测与远程诊断的重要保障环节，旨在确保监测和诊断数据的完整性、可靠性、可追溯性及信息安全。</w:t>
      </w:r>
    </w:p>
    <w:p w14:paraId="59AB6328">
      <w:pPr>
        <w:pStyle w:val="105"/>
        <w:spacing w:before="120" w:after="120" w:line="360" w:lineRule="auto"/>
      </w:pPr>
      <w:r>
        <w:rPr>
          <w:rFonts w:hint="eastAsia"/>
        </w:rPr>
        <w:t>数据存储规范</w:t>
      </w:r>
    </w:p>
    <w:p w14:paraId="1F07D12C">
      <w:pPr>
        <w:pStyle w:val="56"/>
        <w:spacing w:line="360" w:lineRule="auto"/>
        <w:ind w:firstLine="420"/>
      </w:pPr>
      <w:r>
        <w:rPr>
          <w:rFonts w:hint="eastAsia"/>
        </w:rPr>
        <w:t>监测和诊断数据应按统一格式进行存储，包括原始数据、预处理数据、融合结果及诊断报告。存储结构应清晰、可检索，数据文件命名规范，便于归档和管理。关键数据应采用冗余存储和定期备份策略，保证数据不丢失或损坏。</w:t>
      </w:r>
    </w:p>
    <w:p w14:paraId="63FCE722">
      <w:pPr>
        <w:pStyle w:val="105"/>
        <w:spacing w:before="120" w:after="120" w:line="360" w:lineRule="auto"/>
      </w:pPr>
      <w:r>
        <w:rPr>
          <w:rFonts w:hint="eastAsia"/>
        </w:rPr>
        <w:t>元数据管理</w:t>
      </w:r>
    </w:p>
    <w:p w14:paraId="783C01C1">
      <w:pPr>
        <w:pStyle w:val="56"/>
        <w:spacing w:line="360" w:lineRule="auto"/>
        <w:ind w:firstLine="420"/>
      </w:pPr>
      <w:r>
        <w:rPr>
          <w:rFonts w:hint="eastAsia"/>
        </w:rPr>
        <w:t>每一类数据应建立完整元数据记录，包括数据来源、采集时间、采集设备、传感器型号、采样频率及处理方法。元数据应与数据本体关联，确保数据可追溯、可复核，为分析、诊断和科研提供必要信息。</w:t>
      </w:r>
    </w:p>
    <w:p w14:paraId="21EB4024">
      <w:pPr>
        <w:pStyle w:val="105"/>
        <w:spacing w:before="120" w:after="120" w:line="360" w:lineRule="auto"/>
      </w:pPr>
      <w:r>
        <w:rPr>
          <w:rFonts w:hint="eastAsia"/>
        </w:rPr>
        <w:t>数据访问与权限控制</w:t>
      </w:r>
    </w:p>
    <w:p w14:paraId="5908783F">
      <w:pPr>
        <w:pStyle w:val="56"/>
        <w:spacing w:line="360" w:lineRule="auto"/>
        <w:ind w:firstLine="420"/>
      </w:pPr>
      <w:r>
        <w:rPr>
          <w:rFonts w:hint="eastAsia"/>
        </w:rPr>
        <w:t>为保障信息安全，应建立数据访问权限管理机制，明确不同用户和部门的数据访问范围。访问数据需采用身份认证和权限控制措施，防止未经授权的访问或篡改，确保数据安全和机密性。</w:t>
      </w:r>
    </w:p>
    <w:p w14:paraId="750DE21D">
      <w:pPr>
        <w:pStyle w:val="105"/>
        <w:spacing w:before="120" w:after="120" w:line="360" w:lineRule="auto"/>
      </w:pPr>
      <w:r>
        <w:rPr>
          <w:rFonts w:hint="eastAsia"/>
        </w:rPr>
        <w:t>数据质量控制</w:t>
      </w:r>
    </w:p>
    <w:p w14:paraId="30A86C25">
      <w:pPr>
        <w:pStyle w:val="56"/>
        <w:spacing w:line="360" w:lineRule="auto"/>
        <w:ind w:firstLine="420"/>
      </w:pPr>
      <w:r>
        <w:rPr>
          <w:rFonts w:hint="eastAsia"/>
        </w:rPr>
        <w:t>在数据存储与管理过程中，应对数据完整性、准确性和一致性进行检查。包括数据格式验证、异常值检测、重复记录校验及多源数据比对。关键指标数据应建立多级审查机制，确保诊断分析和健康评估结果的可靠性。</w:t>
      </w:r>
    </w:p>
    <w:p w14:paraId="4A9DA5C3">
      <w:pPr>
        <w:pStyle w:val="105"/>
        <w:spacing w:before="120" w:after="120" w:line="360" w:lineRule="auto"/>
      </w:pPr>
      <w:r>
        <w:rPr>
          <w:rFonts w:hint="eastAsia"/>
        </w:rPr>
        <w:t>信息安全保障</w:t>
      </w:r>
    </w:p>
    <w:p w14:paraId="1CECF957">
      <w:pPr>
        <w:pStyle w:val="56"/>
        <w:spacing w:line="360" w:lineRule="auto"/>
        <w:ind w:firstLine="420"/>
      </w:pPr>
      <w:r>
        <w:rPr>
          <w:rFonts w:hint="eastAsia"/>
        </w:rPr>
        <w:t>监测与诊断系统应符合国家和行业信息安全规范，采取防火墙、加密传输、入侵检测和日志审计等安全措施，保障数据在采集、传输、存储及分析各环节的安全性。对涉及关键电力设施的监测数据，应严格控制外部访问，防止敏感信息泄露。</w:t>
      </w:r>
    </w:p>
    <w:p w14:paraId="3A80D195">
      <w:pPr>
        <w:pStyle w:val="105"/>
        <w:spacing w:before="120" w:after="120" w:line="360" w:lineRule="auto"/>
      </w:pPr>
      <w:r>
        <w:rPr>
          <w:rFonts w:hint="eastAsia"/>
        </w:rPr>
        <w:t>长期管理与维护</w:t>
      </w:r>
    </w:p>
    <w:p w14:paraId="463FE2B1">
      <w:pPr>
        <w:pStyle w:val="56"/>
        <w:spacing w:line="360" w:lineRule="auto"/>
        <w:ind w:firstLine="420"/>
      </w:pPr>
      <w:r>
        <w:rPr>
          <w:rFonts w:hint="eastAsia"/>
        </w:rPr>
        <w:t>数据存储与管理应建立长期维护机制，定期检查数据完整性和存储设备状态，更新存储技术和备份方案，保证长期数据可用性。监测和诊断数据应可支持历史分析、趋势评估及持续改进，为电力设备智能运维提供稳定数据基础。</w:t>
      </w:r>
    </w:p>
    <w:p w14:paraId="791ED0AE">
      <w:pPr>
        <w:pStyle w:val="104"/>
        <w:spacing w:before="240" w:after="240" w:line="360" w:lineRule="auto"/>
      </w:pPr>
      <w:bookmarkStart w:id="56" w:name="_Toc209860090"/>
      <w:r>
        <w:rPr>
          <w:rFonts w:hint="eastAsia"/>
        </w:rPr>
        <w:t>报告生成与应用</w:t>
      </w:r>
      <w:bookmarkEnd w:id="56"/>
    </w:p>
    <w:p w14:paraId="4F015E52">
      <w:pPr>
        <w:pStyle w:val="56"/>
        <w:spacing w:line="360" w:lineRule="auto"/>
        <w:ind w:firstLine="420"/>
      </w:pPr>
      <w:r>
        <w:rPr>
          <w:rFonts w:hint="eastAsia"/>
        </w:rPr>
        <w:t>报告生成与应用是将智能监测和远程诊断数据转化为运维决策和科研成果的重要环节，旨在规范报告内容、展示方式及应用方法，提升数据利用价值和决策支持能力。</w:t>
      </w:r>
    </w:p>
    <w:p w14:paraId="5D66FAD6">
      <w:pPr>
        <w:pStyle w:val="105"/>
        <w:spacing w:before="120" w:after="120" w:line="360" w:lineRule="auto"/>
      </w:pPr>
      <w:r>
        <w:rPr>
          <w:rFonts w:hint="eastAsia"/>
        </w:rPr>
        <w:t>报告内容规范</w:t>
      </w:r>
    </w:p>
    <w:p w14:paraId="52B1CF57">
      <w:pPr>
        <w:pStyle w:val="56"/>
        <w:spacing w:line="360" w:lineRule="auto"/>
        <w:ind w:firstLine="420"/>
      </w:pPr>
      <w:r>
        <w:rPr>
          <w:rFonts w:hint="eastAsia"/>
        </w:rPr>
        <w:t>监测和诊断报告应包括监测目的、设备信息、采集和处理方法、关键参数数据、健康评估结果、异常事件记录及维护建议。报告应明确每项指标的测量结果、判定依据和分析结论，并附数据来源、采集时间及处理方法说明。报告内容应完整、准确、可复核。</w:t>
      </w:r>
    </w:p>
    <w:p w14:paraId="7226E83E">
      <w:pPr>
        <w:pStyle w:val="105"/>
        <w:spacing w:before="120" w:after="120" w:line="360" w:lineRule="auto"/>
      </w:pPr>
      <w:r>
        <w:rPr>
          <w:rFonts w:hint="eastAsia"/>
        </w:rPr>
        <w:t>结果可视化</w:t>
      </w:r>
    </w:p>
    <w:p w14:paraId="59A89400">
      <w:pPr>
        <w:pStyle w:val="56"/>
        <w:spacing w:line="360" w:lineRule="auto"/>
        <w:ind w:firstLine="420"/>
      </w:pPr>
      <w:r>
        <w:rPr>
          <w:rFonts w:hint="eastAsia"/>
        </w:rPr>
        <w:t>为便于理解和应用，报告应提供关键参数的图表、曲线、热力图和趋势图。可视化内容包括电气参数变化、温度和振动趋势、健康等级分布及潜在故障预测。可视化结果应清晰、直观，支持运维人员快速识别设备异常和重点关注区域。</w:t>
      </w:r>
    </w:p>
    <w:p w14:paraId="1CF61B0E">
      <w:pPr>
        <w:pStyle w:val="105"/>
        <w:spacing w:before="120" w:after="120" w:line="360" w:lineRule="auto"/>
      </w:pPr>
      <w:r>
        <w:rPr>
          <w:rFonts w:hint="eastAsia"/>
        </w:rPr>
        <w:t>运维应用</w:t>
      </w:r>
    </w:p>
    <w:p w14:paraId="2878BCAF">
      <w:pPr>
        <w:pStyle w:val="56"/>
        <w:spacing w:line="360" w:lineRule="auto"/>
        <w:ind w:firstLine="420"/>
      </w:pPr>
      <w:r>
        <w:rPr>
          <w:rFonts w:hint="eastAsia"/>
        </w:rPr>
        <w:t>报告生成后，应指导运维人员开展设备检查、维护和预测性维护。基于健康评估和异常报警信息，可合理安排检修计划、部件更换及运行优化方案，减少停运风险，提升设备可靠性和系统运行安全。</w:t>
      </w:r>
    </w:p>
    <w:p w14:paraId="6D62D49B">
      <w:pPr>
        <w:pStyle w:val="105"/>
        <w:spacing w:before="120" w:after="120" w:line="360" w:lineRule="auto"/>
      </w:pPr>
      <w:r>
        <w:rPr>
          <w:rFonts w:hint="eastAsia"/>
        </w:rPr>
        <w:t>科研与管理支持</w:t>
      </w:r>
    </w:p>
    <w:p w14:paraId="03833F0A">
      <w:pPr>
        <w:pStyle w:val="56"/>
        <w:spacing w:line="360" w:lineRule="auto"/>
        <w:ind w:firstLine="420"/>
      </w:pPr>
      <w:r>
        <w:rPr>
          <w:rFonts w:hint="eastAsia"/>
        </w:rPr>
        <w:t>报告数据可用于科研分析、电力设备性能评估及运维策略优化，为设备制造、设计改进和标准制定提供数据支持。同时，报告可作为长期运行记录，用于趋势分析、寿命预测及风险管理，为管理部门制定科学管理政策提供依据。</w:t>
      </w:r>
    </w:p>
    <w:p w14:paraId="33B6FDB5">
      <w:pPr>
        <w:pStyle w:val="105"/>
        <w:spacing w:before="120" w:after="120" w:line="360" w:lineRule="auto"/>
      </w:pPr>
      <w:r>
        <w:rPr>
          <w:rFonts w:hint="eastAsia"/>
        </w:rPr>
        <w:t>持续改进与反馈</w:t>
      </w:r>
    </w:p>
    <w:p w14:paraId="175F8345">
      <w:pPr>
        <w:pStyle w:val="56"/>
        <w:spacing w:line="360" w:lineRule="auto"/>
        <w:ind w:firstLine="420"/>
      </w:pPr>
      <w:r>
        <w:rPr>
          <w:rFonts w:hint="eastAsia"/>
        </w:rPr>
        <w:t>报告应建立反馈机制，根据运维实施效果、故障处理经验及数据分析结果，不断优化监测指标、数据处理方法和诊断算法，提高智能监测和远程诊断的精度与实用性，实现系统持续改进和智能化运维能力提升。</w:t>
      </w:r>
    </w:p>
    <w:bookmarkEnd w:id="26"/>
    <w:p w14:paraId="1A5CF230">
      <w:pPr>
        <w:pStyle w:val="56"/>
        <w:ind w:firstLine="0" w:firstLineChars="0"/>
        <w:jc w:val="center"/>
      </w:pPr>
      <w:bookmarkStart w:id="57" w:name="BookMark8"/>
      <w:r>
        <w:rPr>
          <w:rFonts w:hint="eastAsia"/>
        </w:rPr>
        <w:drawing>
          <wp:inline distT="0" distB="0" distL="0" distR="0">
            <wp:extent cx="1485900" cy="317500"/>
            <wp:effectExtent l="0" t="0" r="0" b="6350"/>
            <wp:docPr id="1369182525" name="图片 1"/>
            <wp:cNvGraphicFramePr/>
            <a:graphic xmlns:a="http://schemas.openxmlformats.org/drawingml/2006/main">
              <a:graphicData uri="http://schemas.openxmlformats.org/drawingml/2006/picture">
                <pic:pic xmlns:pic="http://schemas.openxmlformats.org/drawingml/2006/picture">
                  <pic:nvPicPr>
                    <pic:cNvPr id="1369182525"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F86F">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C5C1">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4FBF">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3CF54">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2BBB9">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6CF8">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722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D372">
    <w:pPr>
      <w:pStyle w:val="62"/>
    </w:pPr>
    <w:r>
      <w:fldChar w:fldCharType="begin"/>
    </w:r>
    <w:r>
      <w:instrText xml:space="preserve"> STYLEREF  标准文件_文件编号 \* MERGEFORMAT </w:instrText>
    </w:r>
    <w:r>
      <w:fldChar w:fldCharType="separate"/>
    </w:r>
    <w:r>
      <w:t>T/XJBX 0085—2025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804D">
    <w:pPr>
      <w:pStyle w:val="61"/>
    </w:pPr>
    <w:r>
      <w:fldChar w:fldCharType="begin"/>
    </w:r>
    <w:r>
      <w:instrText xml:space="preserve"> STYLEREF  标准文件_文件编号  \* MERGEFORMAT </w:instrText>
    </w:r>
    <w:r>
      <w:fldChar w:fldCharType="separate"/>
    </w:r>
    <w:r>
      <w:t>T/XJBX 0085—2025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C96C">
    <w:pPr>
      <w:pStyle w:val="62"/>
    </w:pPr>
    <w:r>
      <w:fldChar w:fldCharType="begin"/>
    </w:r>
    <w:r>
      <w:instrText xml:space="preserve"> STYLEREF  标准文件_文件编号 \* MERGEFORMAT </w:instrText>
    </w:r>
    <w:r>
      <w:fldChar w:fldCharType="separate"/>
    </w:r>
    <w:r>
      <w:t>T/XJBX 0085—2025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0085—2025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0085—2025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D167">
    <w:pPr>
      <w:pStyle w:val="61"/>
    </w:pPr>
    <w:r>
      <w:fldChar w:fldCharType="begin"/>
    </w:r>
    <w:r>
      <w:instrText xml:space="preserve"> STYLEREF  标准文件_文件编号  \* MERGEFORMAT </w:instrText>
    </w:r>
    <w:r>
      <w:fldChar w:fldCharType="separate"/>
    </w:r>
    <w:r>
      <w:t>T/XJBX 0085—2025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A998">
    <w:pPr>
      <w:pStyle w:val="62"/>
    </w:pPr>
    <w:r>
      <w:fldChar w:fldCharType="begin"/>
    </w:r>
    <w:r>
      <w:instrText xml:space="preserve"> STYLEREF  标准文件_文件编号 \* MERGEFORMAT </w:instrText>
    </w:r>
    <w:r>
      <w:fldChar w:fldCharType="separate"/>
    </w:r>
    <w:r>
      <w:t>T/XJBX 0085—2025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0B7B">
    <w:pPr>
      <w:pStyle w:val="61"/>
    </w:pPr>
    <w:r>
      <w:fldChar w:fldCharType="begin"/>
    </w:r>
    <w:r>
      <w:instrText xml:space="preserve"> STYLEREF  标准文件_文件编号  \* MERGEFORMAT </w:instrText>
    </w:r>
    <w:r>
      <w:fldChar w:fldCharType="separate"/>
    </w:r>
    <w:r>
      <w:t>T/XJBX 0085—2025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3668"/>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4E89"/>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5D3"/>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131"/>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D00"/>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4EF4"/>
    <w:rsid w:val="00E2552F"/>
    <w:rsid w:val="00E3137A"/>
    <w:rsid w:val="00E32CCF"/>
    <w:rsid w:val="00E34A98"/>
    <w:rsid w:val="00E35D1E"/>
    <w:rsid w:val="00E364F9"/>
    <w:rsid w:val="00E365FA"/>
    <w:rsid w:val="00E36789"/>
    <w:rsid w:val="00E44A83"/>
    <w:rsid w:val="00E47FAE"/>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C362434"/>
    <w:rsid w:val="6505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3CAA0803">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2E55DBC2">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6888C30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452114"/>
    <w:rsid w:val="006D08FF"/>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5673</Words>
  <Characters>5980</Characters>
  <Lines>51</Lines>
  <Paragraphs>14</Paragraphs>
  <TotalTime>35</TotalTime>
  <ScaleCrop>false</ScaleCrop>
  <LinksUpToDate>false</LinksUpToDate>
  <CharactersWithSpaces>6074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2025-09-28T03:18:16Z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5E3283987C884482916122559C2536D3_12</vt:lpwstr>
  </property>
</Properties>
</file>