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44D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B1A6CB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FC99B0B">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91.100.3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91.100.30</w:t>
            </w:r>
            <w:r>
              <w:rPr>
                <w:rFonts w:ascii="黑体" w:hAnsi="黑体" w:eastAsia="黑体"/>
                <w:sz w:val="21"/>
                <w:szCs w:val="21"/>
              </w:rPr>
              <w:fldChar w:fldCharType="end"/>
            </w:r>
            <w:bookmarkEnd w:id="0"/>
          </w:p>
        </w:tc>
      </w:tr>
      <w:tr w14:paraId="54C42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C37C91F">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76F0B8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632B83E0">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1A19399E">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Q 13"/>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Q 13</w:t>
            </w:r>
            <w:r>
              <w:rPr>
                <w:rFonts w:ascii="黑体" w:hAnsi="黑体" w:eastAsia="黑体"/>
                <w:sz w:val="21"/>
                <w:szCs w:val="21"/>
              </w:rPr>
              <w:fldChar w:fldCharType="end"/>
            </w:r>
            <w:bookmarkEnd w:id="2"/>
          </w:p>
        </w:tc>
      </w:tr>
    </w:tbl>
    <w:p w14:paraId="055F17D2">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2C21905B">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083"/>
            </w:textInput>
          </w:ffData>
        </w:fldChar>
      </w:r>
      <w:bookmarkStart w:id="6" w:name="NSTD_CODE_F"/>
      <w:r>
        <w:instrText xml:space="preserve"> FORMTEXT </w:instrText>
      </w:r>
      <w:r>
        <w:fldChar w:fldCharType="separate"/>
      </w:r>
      <w:r>
        <w:t>0083</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1EABCE53">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01702C5">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4DD21762">
      <w:pPr>
        <w:pStyle w:val="50"/>
        <w:framePr w:w="9639" w:h="6976" w:hRule="exact" w:hSpace="0" w:vSpace="0" w:wrap="around" w:hAnchor="page" w:y="6408"/>
        <w:jc w:val="center"/>
        <w:rPr>
          <w:rFonts w:ascii="黑体" w:hAnsi="黑体" w:eastAsia="黑体"/>
          <w:b w:val="0"/>
          <w:bCs w:val="0"/>
          <w:w w:val="100"/>
        </w:rPr>
      </w:pPr>
    </w:p>
    <w:p w14:paraId="0FD7DFF3">
      <w:pPr>
        <w:pStyle w:val="197"/>
        <w:framePr w:h="6974" w:hRule="exact" w:wrap="around" w:x="1419" w:anchorLock="1"/>
      </w:pPr>
      <w:r>
        <w:rPr>
          <w:rFonts w:hint="eastAsia"/>
        </w:rPr>
        <w:fldChar w:fldCharType="begin">
          <w:ffData>
            <w:name w:val="CSTD_NAME"/>
            <w:enabled/>
            <w:calcOnExit w:val="0"/>
            <w:textInput>
              <w:default w:val="低碳混凝土全生命周期碳排放评估规范"/>
            </w:textInput>
          </w:ffData>
        </w:fldChar>
      </w:r>
      <w:bookmarkStart w:id="9" w:name="CSTD_NAME"/>
      <w:r>
        <w:rPr>
          <w:rFonts w:hint="eastAsia"/>
        </w:rPr>
        <w:instrText xml:space="preserve"> FORMTEXT </w:instrText>
      </w:r>
      <w:r>
        <w:rPr>
          <w:rFonts w:hint="eastAsia"/>
        </w:rPr>
        <w:fldChar w:fldCharType="separate"/>
      </w:r>
      <w:r>
        <w:rPr>
          <w:rFonts w:hint="eastAsia"/>
        </w:rPr>
        <w:t>低碳混凝土全生命周期碳排放评估规范</w:t>
      </w:r>
      <w:r>
        <w:rPr>
          <w:rFonts w:hint="eastAsia"/>
        </w:rPr>
        <w:fldChar w:fldCharType="end"/>
      </w:r>
      <w:bookmarkEnd w:id="9"/>
    </w:p>
    <w:p w14:paraId="67B71C7B">
      <w:pPr>
        <w:framePr w:w="9639" w:h="6974" w:hRule="exact" w:wrap="around" w:vAnchor="page" w:hAnchor="page" w:x="1419" w:y="6408" w:anchorLock="1"/>
        <w:ind w:left="-1418"/>
      </w:pPr>
    </w:p>
    <w:p w14:paraId="76CC8527">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Specification for life cycle carbon emission assessment of low-carbon concrete"/>
            </w:textInput>
          </w:ffData>
        </w:fldChar>
      </w:r>
      <w:bookmarkStart w:id="10" w:name="ESTD_NAME"/>
      <w:r>
        <w:rPr>
          <w:rFonts w:hint="eastAsia" w:ascii="黑体" w:hAnsi="黑体" w:eastAsia="黑体"/>
          <w:szCs w:val="28"/>
        </w:rPr>
        <w:instrText xml:space="preserve"> </w:instrText>
      </w:r>
      <w:r>
        <w:rPr>
          <w:rFonts w:ascii="黑体" w:hAnsi="黑体" w:eastAsia="黑体"/>
          <w:szCs w:val="28"/>
        </w:rPr>
        <w:instrText xml:space="preserve">FORMTEXT</w:instrText>
      </w:r>
      <w:r>
        <w:rPr>
          <w:rFonts w:hint="eastAsia" w:ascii="黑体" w:hAnsi="黑体" w:eastAsia="黑体"/>
          <w:szCs w:val="28"/>
        </w:rPr>
        <w:instrText xml:space="preserve"> </w:instrText>
      </w:r>
      <w:r>
        <w:rPr>
          <w:rFonts w:hint="eastAsia" w:ascii="黑体" w:hAnsi="黑体" w:eastAsia="黑体"/>
          <w:szCs w:val="28"/>
        </w:rPr>
        <w:fldChar w:fldCharType="separate"/>
      </w:r>
      <w:r>
        <w:rPr>
          <w:rFonts w:hint="eastAsia" w:ascii="黑体" w:hAnsi="黑体" w:eastAsia="黑体"/>
          <w:szCs w:val="28"/>
        </w:rPr>
        <w:t>Specification for life cycle carbon emission assessment of low-carbon concrete</w:t>
      </w:r>
      <w:r>
        <w:rPr>
          <w:rFonts w:hint="eastAsia" w:ascii="黑体" w:hAnsi="黑体" w:eastAsia="黑体"/>
          <w:szCs w:val="28"/>
        </w:rPr>
        <w:fldChar w:fldCharType="end"/>
      </w:r>
      <w:bookmarkEnd w:id="10"/>
    </w:p>
    <w:p w14:paraId="1F1D2DA5">
      <w:pPr>
        <w:framePr w:w="9639" w:h="6974" w:hRule="exact" w:wrap="around" w:vAnchor="page" w:hAnchor="page" w:x="1419" w:y="6408" w:anchorLock="1"/>
        <w:spacing w:line="760" w:lineRule="exact"/>
        <w:ind w:left="-1418"/>
      </w:pPr>
    </w:p>
    <w:p w14:paraId="3D6CCBD0">
      <w:pPr>
        <w:pStyle w:val="125"/>
        <w:framePr w:w="9639" w:h="6974" w:hRule="exact" w:wrap="around" w:vAnchor="page" w:hAnchor="page" w:x="1419" w:y="6408" w:anchorLock="1"/>
        <w:textAlignment w:val="bottom"/>
        <w:rPr>
          <w:rFonts w:eastAsia="黑体"/>
          <w:szCs w:val="28"/>
        </w:rPr>
      </w:pPr>
    </w:p>
    <w:p w14:paraId="11D3BF3C">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5C1E0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7FF84249">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213EB9E">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1430B68">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041943C4">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8496568">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2336"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2336;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2E7036B3">
      <w:pPr>
        <w:pStyle w:val="91"/>
        <w:spacing w:after="360"/>
      </w:pPr>
      <w:bookmarkStart w:id="21" w:name="BookMark1"/>
      <w:r>
        <w:rPr>
          <w:rFonts w:hint="eastAsia"/>
          <w:spacing w:val="320"/>
        </w:rPr>
        <w:t>目</w:t>
      </w:r>
      <w:r>
        <w:rPr>
          <w:rFonts w:hint="eastAsia"/>
        </w:rPr>
        <w:t>次</w:t>
      </w:r>
    </w:p>
    <w:p w14:paraId="3A4488C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"_Toc209821028"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_Toc209821028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723F536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"_Toc209821029"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_Toc209821029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026FFAA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"_Toc209821030"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_Toc209821030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CEF96F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"_Toc209821031"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_Toc209821031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E7E267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"_Toc209821032"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_Toc209821032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8978E2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"_Toc209821033" </w:instrText>
      </w:r>
      <w:r>
        <w:fldChar w:fldCharType="separate"/>
      </w:r>
      <w:r>
        <w:rPr>
          <w:rStyle w:val="32"/>
          <w:rFonts w:hint="eastAsia"/>
        </w:rPr>
        <w:t>4</w:t>
      </w:r>
      <w:r>
        <w:rPr>
          <w:rStyle w:val="32"/>
        </w:rPr>
        <w:t xml:space="preserve"> </w:t>
      </w:r>
      <w:r>
        <w:rPr>
          <w:rStyle w:val="32"/>
          <w:rFonts w:hint="eastAsia"/>
        </w:rPr>
        <w:t xml:space="preserve"> 总体原则</w:t>
      </w:r>
      <w:r>
        <w:rPr>
          <w:rFonts w:hint="eastAsia"/>
        </w:rPr>
        <w:tab/>
      </w:r>
      <w:r>
        <w:rPr>
          <w:rFonts w:hint="eastAsia"/>
        </w:rPr>
        <w:fldChar w:fldCharType="begin"/>
      </w:r>
      <w:r>
        <w:rPr>
          <w:rFonts w:hint="eastAsia"/>
        </w:rPr>
        <w:instrText xml:space="preserve"> </w:instrText>
      </w:r>
      <w:r>
        <w:instrText xml:space="preserve">PAGEREF _Toc209821033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93675D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"_Toc209821034" </w:instrText>
      </w:r>
      <w:r>
        <w:fldChar w:fldCharType="separate"/>
      </w:r>
      <w:r>
        <w:rPr>
          <w:rStyle w:val="32"/>
          <w:rFonts w:hint="eastAsia"/>
        </w:rPr>
        <w:t>5</w:t>
      </w:r>
      <w:r>
        <w:rPr>
          <w:rStyle w:val="32"/>
        </w:rPr>
        <w:t xml:space="preserve"> </w:t>
      </w:r>
      <w:r>
        <w:rPr>
          <w:rStyle w:val="32"/>
          <w:rFonts w:hint="eastAsia"/>
        </w:rPr>
        <w:t xml:space="preserve"> 评价边界</w:t>
      </w:r>
      <w:r>
        <w:rPr>
          <w:rFonts w:hint="eastAsia"/>
        </w:rPr>
        <w:tab/>
      </w:r>
      <w:r>
        <w:rPr>
          <w:rFonts w:hint="eastAsia"/>
        </w:rPr>
        <w:fldChar w:fldCharType="begin"/>
      </w:r>
      <w:r>
        <w:rPr>
          <w:rFonts w:hint="eastAsia"/>
        </w:rPr>
        <w:instrText xml:space="preserve"> </w:instrText>
      </w:r>
      <w:r>
        <w:instrText xml:space="preserve">PAGEREF _Toc209821034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2952BD7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"_Toc209821035" </w:instrText>
      </w:r>
      <w:r>
        <w:fldChar w:fldCharType="separate"/>
      </w:r>
      <w:r>
        <w:rPr>
          <w:rStyle w:val="32"/>
          <w:rFonts w:hint="eastAsia"/>
        </w:rPr>
        <w:t>6</w:t>
      </w:r>
      <w:r>
        <w:rPr>
          <w:rStyle w:val="32"/>
        </w:rPr>
        <w:t xml:space="preserve"> </w:t>
      </w:r>
      <w:r>
        <w:rPr>
          <w:rStyle w:val="32"/>
          <w:rFonts w:hint="eastAsia"/>
        </w:rPr>
        <w:t xml:space="preserve"> 核算方法</w:t>
      </w:r>
      <w:r>
        <w:rPr>
          <w:rFonts w:hint="eastAsia"/>
        </w:rPr>
        <w:tab/>
      </w:r>
      <w:r>
        <w:rPr>
          <w:rFonts w:hint="eastAsia"/>
        </w:rPr>
        <w:fldChar w:fldCharType="begin"/>
      </w:r>
      <w:r>
        <w:rPr>
          <w:rFonts w:hint="eastAsia"/>
        </w:rPr>
        <w:instrText xml:space="preserve"> </w:instrText>
      </w:r>
      <w:r>
        <w:instrText xml:space="preserve">PAGEREF _Toc209821035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663BB00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"_Toc209821036" </w:instrText>
      </w:r>
      <w:r>
        <w:fldChar w:fldCharType="separate"/>
      </w:r>
      <w:r>
        <w:rPr>
          <w:rStyle w:val="32"/>
          <w:rFonts w:hint="eastAsia"/>
        </w:rPr>
        <w:t>7</w:t>
      </w:r>
      <w:r>
        <w:rPr>
          <w:rStyle w:val="32"/>
        </w:rPr>
        <w:t xml:space="preserve"> </w:t>
      </w:r>
      <w:r>
        <w:rPr>
          <w:rStyle w:val="32"/>
          <w:rFonts w:hint="eastAsia"/>
        </w:rPr>
        <w:t xml:space="preserve"> 数据要求</w:t>
      </w:r>
      <w:r>
        <w:rPr>
          <w:rFonts w:hint="eastAsia"/>
        </w:rPr>
        <w:tab/>
      </w:r>
      <w:r>
        <w:rPr>
          <w:rFonts w:hint="eastAsia"/>
        </w:rPr>
        <w:fldChar w:fldCharType="begin"/>
      </w:r>
      <w:r>
        <w:rPr>
          <w:rFonts w:hint="eastAsia"/>
        </w:rPr>
        <w:instrText xml:space="preserve"> </w:instrText>
      </w:r>
      <w:r>
        <w:instrText xml:space="preserve">PAGEREF _Toc209821036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1ADD246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"_Toc209821037" </w:instrText>
      </w:r>
      <w:r>
        <w:fldChar w:fldCharType="separate"/>
      </w:r>
      <w:r>
        <w:rPr>
          <w:rStyle w:val="32"/>
          <w:rFonts w:hint="eastAsia"/>
        </w:rPr>
        <w:t>8</w:t>
      </w:r>
      <w:r>
        <w:rPr>
          <w:rStyle w:val="32"/>
        </w:rPr>
        <w:t xml:space="preserve"> </w:t>
      </w:r>
      <w:r>
        <w:rPr>
          <w:rStyle w:val="32"/>
          <w:rFonts w:hint="eastAsia"/>
        </w:rPr>
        <w:t xml:space="preserve"> 结果表达</w:t>
      </w:r>
      <w:r>
        <w:rPr>
          <w:rFonts w:hint="eastAsia"/>
        </w:rPr>
        <w:tab/>
      </w:r>
      <w:r>
        <w:rPr>
          <w:rFonts w:hint="eastAsia"/>
        </w:rPr>
        <w:fldChar w:fldCharType="begin"/>
      </w:r>
      <w:r>
        <w:rPr>
          <w:rFonts w:hint="eastAsia"/>
        </w:rPr>
        <w:instrText xml:space="preserve"> </w:instrText>
      </w:r>
      <w:r>
        <w:instrText xml:space="preserve">PAGEREF _Toc209821037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30C998A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"_Toc209821038" </w:instrText>
      </w:r>
      <w:r>
        <w:fldChar w:fldCharType="separate"/>
      </w:r>
      <w:r>
        <w:rPr>
          <w:rStyle w:val="32"/>
          <w:rFonts w:hint="eastAsia"/>
        </w:rPr>
        <w:t>9</w:t>
      </w:r>
      <w:r>
        <w:rPr>
          <w:rStyle w:val="32"/>
        </w:rPr>
        <w:t xml:space="preserve"> </w:t>
      </w:r>
      <w:r>
        <w:rPr>
          <w:rStyle w:val="32"/>
          <w:rFonts w:hint="eastAsia"/>
        </w:rPr>
        <w:t xml:space="preserve"> 应用管理</w:t>
      </w:r>
      <w:r>
        <w:rPr>
          <w:rFonts w:hint="eastAsia"/>
        </w:rPr>
        <w:tab/>
      </w:r>
      <w:r>
        <w:rPr>
          <w:rFonts w:hint="eastAsia"/>
        </w:rPr>
        <w:fldChar w:fldCharType="begin"/>
      </w:r>
      <w:r>
        <w:rPr>
          <w:rFonts w:hint="eastAsia"/>
        </w:rPr>
        <w:instrText xml:space="preserve"> </w:instrText>
      </w:r>
      <w:r>
        <w:instrText xml:space="preserve">PAGEREF _Toc209821038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40F1D20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"_Toc209821039" </w:instrText>
      </w:r>
      <w:r>
        <w:fldChar w:fldCharType="separate"/>
      </w:r>
      <w:r>
        <w:rPr>
          <w:rStyle w:val="32"/>
          <w:rFonts w:hint="eastAsia"/>
        </w:rPr>
        <w:t>10</w:t>
      </w:r>
      <w:r>
        <w:rPr>
          <w:rStyle w:val="32"/>
        </w:rPr>
        <w:t xml:space="preserve"> </w:t>
      </w:r>
      <w:r>
        <w:rPr>
          <w:rStyle w:val="32"/>
          <w:rFonts w:hint="eastAsia"/>
        </w:rPr>
        <w:t xml:space="preserve"> 监督改进</w:t>
      </w:r>
      <w:r>
        <w:rPr>
          <w:rFonts w:hint="eastAsia"/>
        </w:rPr>
        <w:tab/>
      </w:r>
      <w:r>
        <w:rPr>
          <w:rFonts w:hint="eastAsia"/>
        </w:rPr>
        <w:fldChar w:fldCharType="begin"/>
      </w:r>
      <w:r>
        <w:rPr>
          <w:rFonts w:hint="eastAsia"/>
        </w:rPr>
        <w:instrText xml:space="preserve"> </w:instrText>
      </w:r>
      <w:r>
        <w:instrText xml:space="preserve">PAGEREF _Toc209821039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6C0EE6E6">
      <w:pPr>
        <w:pStyle w:val="91"/>
        <w:spacing w:after="360"/>
        <w:sectPr>
          <w:headerReference r:id="rId13" w:type="first"/>
          <w:headerReference r:id="rId11" w:type="default"/>
          <w:footerReference r:id="rId14" w:type="default"/>
          <w:headerReference r:id="rId12" w:type="even"/>
          <w:footerReference r:id="rId15"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355CEC1D">
      <w:pPr>
        <w:pStyle w:val="89"/>
        <w:spacing w:before="900" w:after="360"/>
      </w:pPr>
      <w:bookmarkStart w:id="22" w:name="_Toc209821028"/>
      <w:bookmarkStart w:id="23" w:name="BookMark2"/>
      <w:r>
        <w:rPr>
          <w:spacing w:val="320"/>
        </w:rPr>
        <w:t>前</w:t>
      </w:r>
      <w:r>
        <w:t>言</w:t>
      </w:r>
      <w:bookmarkEnd w:id="22"/>
    </w:p>
    <w:p w14:paraId="35AC2FAA">
      <w:pPr>
        <w:pStyle w:val="56"/>
        <w:spacing w:line="360" w:lineRule="auto"/>
        <w:ind w:firstLine="420"/>
      </w:pPr>
      <w:r>
        <w:rPr>
          <w:rFonts w:hint="eastAsia"/>
        </w:rPr>
        <w:t>本文件按照GB/T 1.1—2020《标准化工作导则  第1部分：标准化文件的结构和起草规则》的规定起草。</w:t>
      </w:r>
    </w:p>
    <w:p w14:paraId="6BB17D8D">
      <w:pPr>
        <w:pStyle w:val="56"/>
        <w:spacing w:line="360" w:lineRule="auto"/>
        <w:ind w:firstLine="420"/>
      </w:pPr>
      <w:r>
        <w:rPr>
          <w:rFonts w:hint="eastAsia"/>
        </w:rPr>
        <w:t>请注意本文件的某些内容可能涉及专利。本文件的发布机构不承担识别专利的责任。</w:t>
      </w:r>
    </w:p>
    <w:p w14:paraId="79EFE827">
      <w:pPr>
        <w:pStyle w:val="56"/>
        <w:spacing w:line="360" w:lineRule="auto"/>
        <w:ind w:firstLine="420"/>
      </w:pPr>
      <w:r>
        <w:rPr>
          <w:rFonts w:hint="eastAsia"/>
        </w:rPr>
        <w:t>本文件由西安市计量标准检测认证协会提出并归口。</w:t>
      </w:r>
    </w:p>
    <w:p w14:paraId="7718CD44">
      <w:pPr>
        <w:pStyle w:val="56"/>
        <w:spacing w:line="360" w:lineRule="auto"/>
        <w:ind w:firstLine="420"/>
      </w:pPr>
      <w:r>
        <w:rPr>
          <w:rFonts w:hint="eastAsia"/>
        </w:rPr>
        <w:t>本文件起草单位：四川雄洲建设集团有限公司。</w:t>
      </w:r>
    </w:p>
    <w:p w14:paraId="42BC1C2C">
      <w:pPr>
        <w:pStyle w:val="56"/>
        <w:spacing w:line="360" w:lineRule="auto"/>
        <w:ind w:firstLine="420"/>
      </w:pPr>
      <w:r>
        <w:rPr>
          <w:rFonts w:hint="eastAsia"/>
        </w:rPr>
        <w:t>本文件主要起草人：张 雪。</w:t>
      </w:r>
    </w:p>
    <w:p w14:paraId="4F59AFA1">
      <w:pPr>
        <w:pStyle w:val="56"/>
        <w:ind w:firstLine="420"/>
      </w:pPr>
    </w:p>
    <w:p w14:paraId="43B1A6EE">
      <w:pPr>
        <w:pStyle w:val="56"/>
        <w:ind w:firstLine="420"/>
        <w:sectPr>
          <w:headerReference r:id="rId16" w:type="default"/>
          <w:footerReference r:id="rId18" w:type="default"/>
          <w:headerReference r:id="rId17" w:type="even"/>
          <w:footerReference r:id="rId19" w:type="even"/>
          <w:pgSz w:w="11906" w:h="16838"/>
          <w:pgMar w:top="1928" w:right="1134" w:bottom="1134" w:left="1134" w:header="1418" w:footer="1134" w:gutter="284"/>
          <w:pgNumType w:fmt="upperRoman" w:start="3"/>
          <w:cols w:space="425" w:num="1"/>
          <w:formProt w:val="0"/>
          <w:docGrid w:linePitch="312" w:charSpace="0"/>
        </w:sectPr>
      </w:pPr>
      <w:bookmarkStart w:id="59" w:name="_GoBack"/>
      <w:bookmarkEnd w:id="59"/>
    </w:p>
    <w:bookmarkEnd w:id="23"/>
    <w:p w14:paraId="4104DD8B">
      <w:pPr>
        <w:pStyle w:val="89"/>
        <w:spacing w:after="360"/>
      </w:pPr>
      <w:bookmarkStart w:id="24" w:name="_Toc209821029"/>
      <w:bookmarkStart w:id="25" w:name="BookMark3"/>
      <w:r>
        <w:rPr>
          <w:spacing w:val="320"/>
        </w:rPr>
        <w:t>引</w:t>
      </w:r>
      <w:r>
        <w:t>言</w:t>
      </w:r>
      <w:bookmarkEnd w:id="24"/>
    </w:p>
    <w:p w14:paraId="2D2B4953">
      <w:pPr>
        <w:pStyle w:val="56"/>
        <w:spacing w:line="360" w:lineRule="auto"/>
        <w:ind w:firstLine="420"/>
      </w:pPr>
      <w:r>
        <w:rPr>
          <w:rFonts w:hint="eastAsia"/>
        </w:rPr>
        <w:t>随着全球应对气候变化和推动可持续发展的需求日益迫切，建筑行业作为能源消耗与碳排放的重要领域，面临着显著的低碳转型压力。混凝土作为世界上使用量最大的建筑材料，其在原材料生产、运输、施工、使用与拆除处置等全生命周期过程中均会产生碳排放，对温室气体排放总量影响巨大。开展混凝土全生命周期碳排放评估，是推动低碳建材研发、绿色建筑推广与碳达峰、碳中和目标实现的重要支撑手段。</w:t>
      </w:r>
    </w:p>
    <w:p w14:paraId="142899D5">
      <w:pPr>
        <w:pStyle w:val="56"/>
        <w:spacing w:line="360" w:lineRule="auto"/>
        <w:ind w:firstLine="420"/>
      </w:pPr>
      <w:r>
        <w:rPr>
          <w:rFonts w:hint="eastAsia"/>
        </w:rPr>
        <w:t>目前，国际上已形成了较为完善的生命周期评价（Life Cycle Assessment, LCA）方法体系。我国也陆续发布了碳排放核算、建筑材料碳足迹和绿色建筑评价的相关标准文件。但针对混凝土这一特殊材料，其组成复杂、应用广泛、区域差异性显著，现有方法在数据获取、边界划定、结果对比与应用指导等方面仍存在不足，亟需制定统一、规范、可操作性强的评估方法。</w:t>
      </w:r>
    </w:p>
    <w:p w14:paraId="42EAE8EF">
      <w:pPr>
        <w:pStyle w:val="56"/>
        <w:spacing w:line="360" w:lineRule="auto"/>
        <w:ind w:firstLine="420"/>
      </w:pPr>
      <w:r>
        <w:rPr>
          <w:rFonts w:hint="eastAsia"/>
        </w:rPr>
        <w:t>本文件旨在为低碳混凝土的全生命周期碳排放评估提供系统化的规范，明确评估的边界、方法、指标与结果表达方式，促进混凝土产业链上下游的碳减排协同与绿色转型。本文件适用于低碳混凝土产品研发、设计、生产、施工、运营及回收利用等各环节的碳排放评估与管理，同时也可为政府政策制定、行业对标评价和绿色建筑认证提供依据。</w:t>
      </w:r>
    </w:p>
    <w:p w14:paraId="50D9A392">
      <w:pPr>
        <w:pStyle w:val="56"/>
        <w:ind w:firstLine="420"/>
      </w:pPr>
    </w:p>
    <w:p w14:paraId="1F60BA12">
      <w:pPr>
        <w:pStyle w:val="56"/>
        <w:ind w:firstLine="420"/>
        <w:sectPr>
          <w:headerReference r:id="rId20" w:type="default"/>
          <w:footerReference r:id="rId22" w:type="default"/>
          <w:headerReference r:id="rId21" w:type="even"/>
          <w:footerReference r:id="rId23" w:type="even"/>
          <w:pgSz w:w="11906" w:h="16838"/>
          <w:pgMar w:top="1928" w:right="1134" w:bottom="1134" w:left="1134" w:header="1418" w:footer="1134" w:gutter="284"/>
          <w:pgNumType w:fmt="upperRoman" w:start="5"/>
          <w:cols w:space="425" w:num="1"/>
          <w:formProt w:val="0"/>
          <w:docGrid w:linePitch="312" w:charSpace="0"/>
        </w:sectPr>
      </w:pPr>
    </w:p>
    <w:bookmarkEnd w:id="25"/>
    <w:p w14:paraId="12C43CC1">
      <w:pPr>
        <w:spacing w:line="20" w:lineRule="exact"/>
        <w:jc w:val="center"/>
        <w:rPr>
          <w:rFonts w:ascii="黑体" w:hAnsi="黑体" w:eastAsia="黑体"/>
          <w:sz w:val="32"/>
          <w:szCs w:val="32"/>
        </w:rPr>
      </w:pPr>
      <w:bookmarkStart w:id="26" w:name="BookMark4"/>
    </w:p>
    <w:p w14:paraId="0D5B76E8">
      <w:pPr>
        <w:spacing w:line="20" w:lineRule="exact"/>
        <w:jc w:val="center"/>
        <w:rPr>
          <w:rFonts w:ascii="黑体" w:hAnsi="黑体" w:eastAsia="黑体"/>
          <w:sz w:val="32"/>
          <w:szCs w:val="32"/>
        </w:rPr>
      </w:pPr>
    </w:p>
    <w:sdt>
      <w:sdtPr>
        <w:tag w:val="NEW_STAND_NAME"/>
        <w:id w:val="595910757"/>
        <w:lock w:val="sdtLocked"/>
        <w:placeholder>
          <w:docPart w:val="428A614B804142AE8BDBB50A8A79792D"/>
        </w:placeholder>
      </w:sdtPr>
      <w:sdtContent>
        <w:p w14:paraId="08ED5E01">
          <w:pPr>
            <w:pStyle w:val="177"/>
            <w:spacing w:after="0" w:line="240" w:lineRule="exact"/>
          </w:pPr>
          <w:bookmarkStart w:id="27" w:name="NEW_STAND_NAME"/>
          <w:r>
            <w:rPr>
              <w:rFonts w:hint="eastAsia"/>
            </w:rPr>
            <w:t>低碳混凝土全生命周期碳排放评估规范</w:t>
          </w:r>
        </w:p>
      </w:sdtContent>
    </w:sdt>
    <w:bookmarkEnd w:id="27"/>
    <w:p w14:paraId="153BF6ED">
      <w:pPr>
        <w:pStyle w:val="104"/>
        <w:spacing w:before="240" w:after="240" w:line="360" w:lineRule="auto"/>
      </w:pPr>
      <w:bookmarkStart w:id="28" w:name="_Toc24884211"/>
      <w:bookmarkStart w:id="29" w:name="_Toc26718930"/>
      <w:bookmarkStart w:id="30" w:name="_Toc26986530"/>
      <w:bookmarkStart w:id="31" w:name="_Toc17233333"/>
      <w:bookmarkStart w:id="32" w:name="_Toc209821030"/>
      <w:bookmarkStart w:id="33" w:name="_Toc24884218"/>
      <w:bookmarkStart w:id="34" w:name="_Toc26648465"/>
      <w:bookmarkStart w:id="35" w:name="_Toc26986771"/>
      <w:bookmarkStart w:id="36" w:name="_Toc97192964"/>
      <w:bookmarkStart w:id="37" w:name="_Toc17233325"/>
      <w:r>
        <w:rPr>
          <w:rFonts w:hint="eastAsia"/>
        </w:rPr>
        <w:t>范围</w:t>
      </w:r>
      <w:bookmarkEnd w:id="28"/>
      <w:bookmarkEnd w:id="29"/>
      <w:bookmarkEnd w:id="30"/>
      <w:bookmarkEnd w:id="31"/>
      <w:bookmarkEnd w:id="32"/>
      <w:bookmarkEnd w:id="33"/>
      <w:bookmarkEnd w:id="34"/>
      <w:bookmarkEnd w:id="35"/>
      <w:bookmarkEnd w:id="36"/>
      <w:bookmarkEnd w:id="37"/>
    </w:p>
    <w:p w14:paraId="3A0431BC">
      <w:pPr>
        <w:pStyle w:val="56"/>
        <w:spacing w:line="360" w:lineRule="auto"/>
        <w:ind w:firstLine="420"/>
      </w:pPr>
      <w:bookmarkStart w:id="38" w:name="_Toc17233326"/>
      <w:bookmarkStart w:id="39" w:name="_Toc17233334"/>
      <w:bookmarkStart w:id="40" w:name="_Toc24884212"/>
      <w:bookmarkStart w:id="41" w:name="_Toc24884219"/>
      <w:bookmarkStart w:id="42" w:name="_Toc26648466"/>
      <w:r>
        <w:rPr>
          <w:rFonts w:hint="eastAsia"/>
        </w:rPr>
        <w:t>本文件规定了低碳混凝土全生命周期碳排放评估的总体原则、评价边界、核算方法、数据要求、结果表达、应用管理及监督改进等内容。</w:t>
      </w:r>
    </w:p>
    <w:p w14:paraId="387C9C2B">
      <w:pPr>
        <w:pStyle w:val="56"/>
        <w:spacing w:line="360" w:lineRule="auto"/>
        <w:ind w:firstLine="420"/>
      </w:pPr>
      <w:r>
        <w:rPr>
          <w:rFonts w:hint="eastAsia"/>
        </w:rPr>
        <w:t>本文件适用于低碳混凝土在原材料获取、生产制造、运输、施工、使用维护以及拆除回收等全生命周期阶段的碳排放评估。本文件不适用于非混凝土材料的碳排放评价，但其方法可供其他建材产品参考。</w:t>
      </w:r>
    </w:p>
    <w:p w14:paraId="1F7FEEB2">
      <w:pPr>
        <w:pStyle w:val="104"/>
        <w:spacing w:before="240" w:after="240" w:line="360" w:lineRule="auto"/>
      </w:pPr>
      <w:bookmarkStart w:id="43" w:name="_Toc97192965"/>
      <w:bookmarkStart w:id="44" w:name="_Toc209821031"/>
      <w:bookmarkStart w:id="45" w:name="_Toc26986772"/>
      <w:bookmarkStart w:id="46" w:name="_Toc26718931"/>
      <w:bookmarkStart w:id="47" w:name="_Toc26986531"/>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E937BECAD2B34860A158A768CA921C5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9F4EAAC">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381DC99">
      <w:pPr>
        <w:pStyle w:val="56"/>
        <w:spacing w:line="360" w:lineRule="auto"/>
        <w:ind w:firstLine="420"/>
      </w:pPr>
      <w:r>
        <w:rPr>
          <w:rFonts w:hint="eastAsia"/>
        </w:rPr>
        <w:t>GB/T 24040—2008 环境管理  生命周期评价  原则与框架</w:t>
      </w:r>
    </w:p>
    <w:p w14:paraId="37F8B8F8">
      <w:pPr>
        <w:pStyle w:val="56"/>
        <w:spacing w:line="360" w:lineRule="auto"/>
        <w:ind w:firstLine="420"/>
      </w:pPr>
      <w:r>
        <w:rPr>
          <w:rFonts w:hint="eastAsia"/>
        </w:rPr>
        <w:t>GB/T 24044—2008 环境管理  生命周期评价  要求与指南</w:t>
      </w:r>
    </w:p>
    <w:p w14:paraId="5BDCC9CC">
      <w:pPr>
        <w:pStyle w:val="56"/>
        <w:spacing w:line="360" w:lineRule="auto"/>
        <w:ind w:firstLine="420"/>
      </w:pPr>
      <w:r>
        <w:rPr>
          <w:rFonts w:hint="eastAsia"/>
        </w:rPr>
        <w:t>GB/T 51366—2019 建筑碳排放计算标准</w:t>
      </w:r>
    </w:p>
    <w:p w14:paraId="403690CB">
      <w:pPr>
        <w:pStyle w:val="56"/>
        <w:spacing w:line="360" w:lineRule="auto"/>
        <w:ind w:firstLine="420"/>
      </w:pPr>
      <w:r>
        <w:rPr>
          <w:rFonts w:hint="eastAsia"/>
        </w:rPr>
        <w:t>GB/T 44716—2024 建筑材料低碳评估方法</w:t>
      </w:r>
    </w:p>
    <w:p w14:paraId="13DB9151">
      <w:pPr>
        <w:pStyle w:val="56"/>
        <w:spacing w:line="360" w:lineRule="auto"/>
        <w:ind w:firstLine="420"/>
      </w:pPr>
      <w:r>
        <w:rPr>
          <w:rFonts w:hint="eastAsia"/>
        </w:rPr>
        <w:t>T/GXAS 919—2024 产品碳足迹核算及碳中和评价指南</w:t>
      </w:r>
    </w:p>
    <w:p w14:paraId="6962992E">
      <w:pPr>
        <w:pStyle w:val="104"/>
        <w:spacing w:before="240" w:after="240" w:line="360" w:lineRule="auto"/>
      </w:pPr>
      <w:bookmarkStart w:id="48" w:name="_Toc209821032"/>
      <w:bookmarkStart w:id="49" w:name="_Toc97192966"/>
      <w:r>
        <w:rPr>
          <w:rFonts w:hint="eastAsia"/>
          <w:szCs w:val="21"/>
        </w:rPr>
        <w:t>术语和定义</w:t>
      </w:r>
      <w:bookmarkEnd w:id="48"/>
      <w:bookmarkEnd w:id="49"/>
    </w:p>
    <w:sdt>
      <w:sdtPr>
        <w:id w:val="-1909835108"/>
        <w:placeholder>
          <w:docPart w:val="7D0407537AFA4EBFB7447D8BB1E4BCD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69B61DD">
          <w:pPr>
            <w:pStyle w:val="56"/>
            <w:spacing w:line="360" w:lineRule="auto"/>
            <w:ind w:firstLine="420"/>
          </w:pPr>
          <w:bookmarkStart w:id="50" w:name="_Toc26986532"/>
          <w:bookmarkEnd w:id="50"/>
          <w:r>
            <w:t>下列术语和定义适用于本文件。</w:t>
          </w:r>
        </w:p>
      </w:sdtContent>
    </w:sdt>
    <w:p w14:paraId="7529EE7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全生命周期 </w:t>
      </w:r>
      <w:r>
        <w:rPr>
          <w:rFonts w:ascii="黑体" w:hAnsi="黑体" w:eastAsia="黑体"/>
        </w:rPr>
        <w:t>life cycle</w:t>
      </w:r>
    </w:p>
    <w:p w14:paraId="64ADE035">
      <w:pPr>
        <w:pStyle w:val="56"/>
        <w:spacing w:line="360" w:lineRule="auto"/>
        <w:ind w:firstLine="420"/>
      </w:pPr>
      <w:r>
        <w:rPr>
          <w:rFonts w:hint="eastAsia"/>
        </w:rPr>
        <w:t>产品从原材料获取、生产、运输、施工、使用、维护、拆除直至废弃或回收处理的全过程。</w:t>
      </w:r>
    </w:p>
    <w:p w14:paraId="734B6C0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生命周期评价 </w:t>
      </w:r>
      <w:r>
        <w:rPr>
          <w:rFonts w:ascii="黑体" w:hAnsi="黑体" w:eastAsia="黑体"/>
        </w:rPr>
        <w:t>life cycle assessment</w:t>
      </w:r>
    </w:p>
    <w:p w14:paraId="2F7C236F">
      <w:pPr>
        <w:pStyle w:val="56"/>
        <w:spacing w:line="360" w:lineRule="auto"/>
        <w:ind w:firstLine="420"/>
      </w:pPr>
      <w:r>
        <w:rPr>
          <w:rFonts w:hint="eastAsia"/>
        </w:rPr>
        <w:t>按照规定方法，对产品或过程在其全生命周期内的资源消耗和环境排放进行量化和评价的方法。</w:t>
      </w:r>
    </w:p>
    <w:p w14:paraId="63D9E61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碳排放 </w:t>
      </w:r>
      <w:r>
        <w:rPr>
          <w:rFonts w:ascii="黑体" w:hAnsi="黑体" w:eastAsia="黑体"/>
        </w:rPr>
        <w:t>carbon emission</w:t>
      </w:r>
    </w:p>
    <w:p w14:paraId="395C41CB">
      <w:pPr>
        <w:pStyle w:val="56"/>
        <w:spacing w:line="360" w:lineRule="auto"/>
        <w:ind w:firstLine="420"/>
      </w:pPr>
      <w:r>
        <w:rPr>
          <w:rFonts w:hint="eastAsia"/>
        </w:rPr>
        <w:t>在产品全生命周期过程中，由能源消耗、原材料生产、运输、施工、使用和处置等环节产生的温室气体排放量，以二氧化碳当量表示。</w:t>
      </w:r>
    </w:p>
    <w:p w14:paraId="363D62F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碳足迹 </w:t>
      </w:r>
      <w:r>
        <w:rPr>
          <w:rFonts w:ascii="黑体" w:hAnsi="黑体" w:eastAsia="黑体"/>
        </w:rPr>
        <w:t>carbon footprint</w:t>
      </w:r>
    </w:p>
    <w:p w14:paraId="6C0B15AA">
      <w:pPr>
        <w:pStyle w:val="56"/>
        <w:spacing w:line="360" w:lineRule="auto"/>
        <w:ind w:firstLine="420"/>
      </w:pPr>
      <w:r>
        <w:rPr>
          <w:rFonts w:hint="eastAsia"/>
        </w:rPr>
        <w:t>与产品、服务或组织相关的温室气体排放的总量，通常基于生命周期评价方法计算。</w:t>
      </w:r>
    </w:p>
    <w:p w14:paraId="17EAD5D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低碳混凝土 </w:t>
      </w:r>
      <w:r>
        <w:rPr>
          <w:rFonts w:ascii="黑体" w:hAnsi="黑体" w:eastAsia="黑体"/>
        </w:rPr>
        <w:t>low-carbon concrete</w:t>
      </w:r>
    </w:p>
    <w:p w14:paraId="271B3AEE">
      <w:pPr>
        <w:pStyle w:val="56"/>
        <w:spacing w:line="360" w:lineRule="auto"/>
        <w:ind w:firstLine="420"/>
      </w:pPr>
      <w:r>
        <w:rPr>
          <w:rFonts w:hint="eastAsia"/>
        </w:rPr>
        <w:t>通过优化配合比设计、替代胶凝材料使用、能源效率提升和碳捕集等技术手段，在满足工程性能要求的前提下，碳排放量显著低于传统普通混凝土的混凝土材料。</w:t>
      </w:r>
    </w:p>
    <w:p w14:paraId="5350E81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边界 </w:t>
      </w:r>
      <w:r>
        <w:rPr>
          <w:rFonts w:ascii="黑体" w:hAnsi="黑体" w:eastAsia="黑体"/>
        </w:rPr>
        <w:t>system boundary</w:t>
      </w:r>
    </w:p>
    <w:p w14:paraId="61E5A455">
      <w:pPr>
        <w:pStyle w:val="56"/>
        <w:spacing w:line="360" w:lineRule="auto"/>
        <w:ind w:firstLine="420"/>
      </w:pPr>
      <w:r>
        <w:rPr>
          <w:rFonts w:hint="eastAsia"/>
        </w:rPr>
        <w:t>界定全生命周期评价所覆盖的过程、环节和活动的范围。</w:t>
      </w:r>
    </w:p>
    <w:p w14:paraId="5CC0F5B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功能单位 </w:t>
      </w:r>
      <w:r>
        <w:rPr>
          <w:rFonts w:ascii="黑体" w:hAnsi="黑体" w:eastAsia="黑体"/>
        </w:rPr>
        <w:t>functional unit</w:t>
      </w:r>
    </w:p>
    <w:p w14:paraId="719F1B7C">
      <w:pPr>
        <w:pStyle w:val="56"/>
        <w:spacing w:line="360" w:lineRule="auto"/>
        <w:ind w:firstLine="420"/>
      </w:pPr>
      <w:r>
        <w:rPr>
          <w:rFonts w:hint="eastAsia"/>
        </w:rPr>
        <w:t>在生命周期评价中，为保证结果可比性而定义的量化服务或性能基准，如“1m³混凝土的生产与使用”。</w:t>
      </w:r>
    </w:p>
    <w:p w14:paraId="15B12A67">
      <w:pPr>
        <w:pStyle w:val="104"/>
        <w:spacing w:before="240" w:after="240" w:line="360" w:lineRule="auto"/>
      </w:pPr>
      <w:bookmarkStart w:id="51" w:name="_Toc209821033"/>
      <w:r>
        <w:rPr>
          <w:rFonts w:hint="eastAsia"/>
        </w:rPr>
        <w:t>总体原则</w:t>
      </w:r>
      <w:bookmarkEnd w:id="51"/>
    </w:p>
    <w:p w14:paraId="48B481AA">
      <w:pPr>
        <w:pStyle w:val="105"/>
        <w:spacing w:before="120" w:after="120" w:line="360" w:lineRule="auto"/>
      </w:pPr>
      <w:r>
        <w:rPr>
          <w:rFonts w:hint="eastAsia"/>
        </w:rPr>
        <w:t>科学性</w:t>
      </w:r>
    </w:p>
    <w:p w14:paraId="436EABB0">
      <w:pPr>
        <w:pStyle w:val="56"/>
        <w:spacing w:line="360" w:lineRule="auto"/>
        <w:ind w:firstLine="420"/>
      </w:pPr>
      <w:r>
        <w:rPr>
          <w:rFonts w:hint="eastAsia"/>
        </w:rPr>
        <w:t>全生命周期碳排放评估应基于科学的方法体系和国际通行的评价标准，确保计算过程透明、可验证，结果具有可靠性和可比性。</w:t>
      </w:r>
    </w:p>
    <w:p w14:paraId="0895DE5A">
      <w:pPr>
        <w:pStyle w:val="105"/>
        <w:spacing w:before="120" w:after="120" w:line="360" w:lineRule="auto"/>
      </w:pPr>
      <w:r>
        <w:rPr>
          <w:rFonts w:hint="eastAsia"/>
        </w:rPr>
        <w:t>系统性</w:t>
      </w:r>
    </w:p>
    <w:p w14:paraId="5D842DEB">
      <w:pPr>
        <w:pStyle w:val="56"/>
        <w:spacing w:line="360" w:lineRule="auto"/>
        <w:ind w:firstLine="420"/>
      </w:pPr>
      <w:r>
        <w:rPr>
          <w:rFonts w:hint="eastAsia"/>
        </w:rPr>
        <w:t>评估应覆盖低碳混凝土从原材料获取、生产、运输、施工、使用、维护到拆除和回收的全过程，避免阶段性或局部性结果导致偏差。</w:t>
      </w:r>
    </w:p>
    <w:p w14:paraId="369802AE">
      <w:pPr>
        <w:pStyle w:val="105"/>
        <w:spacing w:before="120" w:after="120" w:line="360" w:lineRule="auto"/>
      </w:pPr>
      <w:r>
        <w:rPr>
          <w:rFonts w:hint="eastAsia"/>
        </w:rPr>
        <w:t>可比性</w:t>
      </w:r>
    </w:p>
    <w:p w14:paraId="55AFDE53">
      <w:pPr>
        <w:pStyle w:val="56"/>
        <w:spacing w:line="360" w:lineRule="auto"/>
        <w:ind w:firstLine="420"/>
      </w:pPr>
      <w:r>
        <w:rPr>
          <w:rFonts w:hint="eastAsia"/>
        </w:rPr>
        <w:t>应采用统一的功能单位和系统边界，保证不同混凝土产品或项目间的结果具有可比性。若存在差异，应在报告中予以说明。</w:t>
      </w:r>
    </w:p>
    <w:p w14:paraId="731A0D15">
      <w:pPr>
        <w:pStyle w:val="105"/>
        <w:spacing w:before="120" w:after="120" w:line="360" w:lineRule="auto"/>
      </w:pPr>
      <w:r>
        <w:rPr>
          <w:rFonts w:hint="eastAsia"/>
        </w:rPr>
        <w:t>可追溯性</w:t>
      </w:r>
    </w:p>
    <w:p w14:paraId="1F98F0F7">
      <w:pPr>
        <w:pStyle w:val="56"/>
        <w:spacing w:line="360" w:lineRule="auto"/>
        <w:ind w:firstLine="420"/>
      </w:pPr>
      <w:r>
        <w:rPr>
          <w:rFonts w:hint="eastAsia"/>
        </w:rPr>
        <w:t>数据来源、计算方法及假设条件应清晰记录，便于第三方审核与追溯，确保结果的透明度。</w:t>
      </w:r>
    </w:p>
    <w:p w14:paraId="2647C5C8">
      <w:pPr>
        <w:pStyle w:val="105"/>
        <w:spacing w:before="120" w:after="120" w:line="360" w:lineRule="auto"/>
      </w:pPr>
      <w:r>
        <w:rPr>
          <w:rFonts w:hint="eastAsia"/>
        </w:rPr>
        <w:t>动态性</w:t>
      </w:r>
    </w:p>
    <w:p w14:paraId="5629E469">
      <w:pPr>
        <w:pStyle w:val="56"/>
        <w:spacing w:line="360" w:lineRule="auto"/>
        <w:ind w:firstLine="420"/>
      </w:pPr>
      <w:r>
        <w:rPr>
          <w:rFonts w:hint="eastAsia"/>
        </w:rPr>
        <w:t>应结合行业技术进步和碳减排措施的更新，定期修订和完善碳排放评估方法，以适应低碳发展要求。</w:t>
      </w:r>
    </w:p>
    <w:p w14:paraId="620D642D">
      <w:pPr>
        <w:pStyle w:val="105"/>
        <w:spacing w:before="120" w:after="120" w:line="360" w:lineRule="auto"/>
      </w:pPr>
      <w:r>
        <w:rPr>
          <w:rFonts w:hint="eastAsia"/>
        </w:rPr>
        <w:t>协同性</w:t>
      </w:r>
    </w:p>
    <w:p w14:paraId="332FDF37">
      <w:pPr>
        <w:pStyle w:val="56"/>
        <w:spacing w:line="360" w:lineRule="auto"/>
        <w:ind w:firstLine="420"/>
      </w:pPr>
      <w:r>
        <w:rPr>
          <w:rFonts w:hint="eastAsia"/>
        </w:rPr>
        <w:t>评估结果应为低碳混凝土设计优化、产业链协同减排和绿色建筑政策提供支撑，推动碳减排目标在不同环节的协同实现。</w:t>
      </w:r>
    </w:p>
    <w:p w14:paraId="0B567112">
      <w:pPr>
        <w:pStyle w:val="104"/>
        <w:spacing w:before="240" w:after="240" w:line="360" w:lineRule="auto"/>
      </w:pPr>
      <w:bookmarkStart w:id="52" w:name="_Toc209821034"/>
      <w:r>
        <w:rPr>
          <w:rFonts w:hint="eastAsia"/>
        </w:rPr>
        <w:t>评价边界</w:t>
      </w:r>
      <w:bookmarkEnd w:id="52"/>
    </w:p>
    <w:p w14:paraId="0E3C6708">
      <w:pPr>
        <w:pStyle w:val="105"/>
        <w:spacing w:before="120" w:after="120" w:line="360" w:lineRule="auto"/>
      </w:pPr>
      <w:r>
        <w:rPr>
          <w:rFonts w:hint="eastAsia"/>
        </w:rPr>
        <w:t>一般规定</w:t>
      </w:r>
    </w:p>
    <w:p w14:paraId="1C2EA083">
      <w:pPr>
        <w:pStyle w:val="56"/>
        <w:spacing w:line="360" w:lineRule="auto"/>
        <w:ind w:firstLine="420"/>
      </w:pPr>
      <w:r>
        <w:rPr>
          <w:rFonts w:hint="eastAsia"/>
        </w:rPr>
        <w:t>低碳混凝土全生命周期碳排放评估应明确系统边界。边界应涵盖从原材料获取到最终处置或回收的全过程，避免阶段遗漏。若评估仅限于部分生命周期，应在报告中说明并注明原因。</w:t>
      </w:r>
    </w:p>
    <w:p w14:paraId="2FEE35ED">
      <w:pPr>
        <w:pStyle w:val="105"/>
        <w:spacing w:before="120" w:after="120" w:line="360" w:lineRule="auto"/>
      </w:pPr>
      <w:r>
        <w:rPr>
          <w:rFonts w:hint="eastAsia"/>
        </w:rPr>
        <w:t>生命周期阶段划分</w:t>
      </w:r>
    </w:p>
    <w:p w14:paraId="31496AED">
      <w:pPr>
        <w:pStyle w:val="56"/>
        <w:spacing w:line="360" w:lineRule="auto"/>
        <w:ind w:firstLine="420"/>
      </w:pPr>
      <w:r>
        <w:rPr>
          <w:rFonts w:hint="eastAsia"/>
        </w:rPr>
        <w:t>低碳混凝土全生命周期碳排放评估应至少包括以下阶段：</w:t>
      </w:r>
    </w:p>
    <w:p w14:paraId="216EDA4A">
      <w:pPr>
        <w:pStyle w:val="174"/>
        <w:spacing w:line="360" w:lineRule="auto"/>
      </w:pPr>
      <w:r>
        <w:rPr>
          <w:rFonts w:hint="eastAsia"/>
        </w:rPr>
        <w:t>原材料阶段：涵盖水泥、矿物掺合料、骨料、外加剂及水等原材料的开采、加工与运输；</w:t>
      </w:r>
    </w:p>
    <w:p w14:paraId="34B91190">
      <w:pPr>
        <w:pStyle w:val="174"/>
        <w:spacing w:line="360" w:lineRule="auto"/>
      </w:pPr>
      <w:r>
        <w:rPr>
          <w:rFonts w:hint="eastAsia"/>
        </w:rPr>
        <w:t>生产阶段：涵盖混凝土搅拌、试验检测、生产设备运行和厂内能耗；</w:t>
      </w:r>
    </w:p>
    <w:p w14:paraId="3AE3A27F">
      <w:pPr>
        <w:pStyle w:val="174"/>
        <w:spacing w:line="360" w:lineRule="auto"/>
      </w:pPr>
      <w:r>
        <w:rPr>
          <w:rFonts w:hint="eastAsia"/>
        </w:rPr>
        <w:t>运输阶段：涵盖混凝土及其组成材料运输至施工现场的过程；</w:t>
      </w:r>
    </w:p>
    <w:p w14:paraId="49DDAC2A">
      <w:pPr>
        <w:pStyle w:val="174"/>
        <w:spacing w:line="360" w:lineRule="auto"/>
      </w:pPr>
      <w:r>
        <w:rPr>
          <w:rFonts w:hint="eastAsia"/>
        </w:rPr>
        <w:t>施工阶段：涵盖浇筑、振捣、养护、施工机械运行及施工能耗；</w:t>
      </w:r>
    </w:p>
    <w:p w14:paraId="5822B2C7">
      <w:pPr>
        <w:pStyle w:val="174"/>
        <w:spacing w:line="360" w:lineRule="auto"/>
      </w:pPr>
      <w:r>
        <w:rPr>
          <w:rFonts w:hint="eastAsia"/>
        </w:rPr>
        <w:t>使用与维护阶段：涵盖混凝土构件在使用寿命内的维护、修复、能耗和相关排放；</w:t>
      </w:r>
    </w:p>
    <w:p w14:paraId="46316F3C">
      <w:pPr>
        <w:pStyle w:val="174"/>
        <w:spacing w:line="360" w:lineRule="auto"/>
      </w:pPr>
      <w:r>
        <w:rPr>
          <w:rFonts w:hint="eastAsia"/>
        </w:rPr>
        <w:t>拆除与处置阶段：涵盖建筑物或构件的拆除、废弃物运输、处置、回收和再利用。</w:t>
      </w:r>
    </w:p>
    <w:p w14:paraId="1AAAD8F2">
      <w:pPr>
        <w:pStyle w:val="105"/>
        <w:spacing w:before="120" w:after="120" w:line="360" w:lineRule="auto"/>
      </w:pPr>
      <w:r>
        <w:rPr>
          <w:rFonts w:hint="eastAsia"/>
        </w:rPr>
        <w:t>空间边界</w:t>
      </w:r>
    </w:p>
    <w:p w14:paraId="79FD2311">
      <w:pPr>
        <w:pStyle w:val="56"/>
        <w:spacing w:line="360" w:lineRule="auto"/>
        <w:ind w:firstLine="420"/>
      </w:pPr>
      <w:r>
        <w:rPr>
          <w:rFonts w:hint="eastAsia"/>
        </w:rPr>
        <w:t>评估应覆盖项目所在地实际条件，包括能源结构、运输距离、施工工艺和区域气候等。必要时可结合不同区域情况进行差异化调整。</w:t>
      </w:r>
    </w:p>
    <w:p w14:paraId="04718563">
      <w:pPr>
        <w:pStyle w:val="105"/>
        <w:spacing w:before="120" w:after="120" w:line="360" w:lineRule="auto"/>
      </w:pPr>
      <w:r>
        <w:rPr>
          <w:rFonts w:hint="eastAsia"/>
        </w:rPr>
        <w:t>时间边界</w:t>
      </w:r>
    </w:p>
    <w:p w14:paraId="136A9FD8">
      <w:pPr>
        <w:pStyle w:val="56"/>
        <w:spacing w:line="360" w:lineRule="auto"/>
        <w:ind w:firstLine="420"/>
      </w:pPr>
      <w:r>
        <w:rPr>
          <w:rFonts w:hint="eastAsia"/>
        </w:rPr>
        <w:t>评估的时间范围应覆盖混凝土预期的设计使用年限，并考虑维护、修复及再利用等时间因素。若采用简化边界，应说明时间假设条件。</w:t>
      </w:r>
    </w:p>
    <w:p w14:paraId="43F08569">
      <w:pPr>
        <w:pStyle w:val="105"/>
        <w:spacing w:before="120" w:after="120" w:line="360" w:lineRule="auto"/>
      </w:pPr>
      <w:r>
        <w:rPr>
          <w:rFonts w:hint="eastAsia"/>
        </w:rPr>
        <w:t>排放源界定</w:t>
      </w:r>
    </w:p>
    <w:p w14:paraId="591513B3">
      <w:pPr>
        <w:pStyle w:val="56"/>
        <w:spacing w:line="360" w:lineRule="auto"/>
        <w:ind w:firstLine="420"/>
      </w:pPr>
      <w:r>
        <w:rPr>
          <w:rFonts w:hint="eastAsia"/>
        </w:rPr>
        <w:t>应涵盖二氧化碳（</w:t>
      </w:r>
      <w:r>
        <w:t>CO₂</w:t>
      </w:r>
      <w:r>
        <w:rPr>
          <w:rFonts w:hint="eastAsia"/>
        </w:rPr>
        <w:t>）、甲烷（</w:t>
      </w:r>
      <w:r>
        <w:t>CH₄</w:t>
      </w:r>
      <w:r>
        <w:rPr>
          <w:rFonts w:hint="eastAsia"/>
        </w:rPr>
        <w:t>）、氧化亚氮（</w:t>
      </w:r>
      <w:r>
        <w:t>N₂O</w:t>
      </w:r>
      <w:r>
        <w:rPr>
          <w:rFonts w:hint="eastAsia"/>
        </w:rPr>
        <w:t>）等温室气体排放。必要时可包括其他与混凝土生命周期相关的重要温室气体。</w:t>
      </w:r>
    </w:p>
    <w:p w14:paraId="0A47F699">
      <w:pPr>
        <w:pStyle w:val="105"/>
        <w:spacing w:before="120" w:after="120" w:line="360" w:lineRule="auto"/>
      </w:pPr>
      <w:r>
        <w:rPr>
          <w:rFonts w:hint="eastAsia"/>
        </w:rPr>
        <w:t>边界假设</w:t>
      </w:r>
    </w:p>
    <w:p w14:paraId="6AFEA939">
      <w:pPr>
        <w:pStyle w:val="56"/>
        <w:spacing w:line="360" w:lineRule="auto"/>
        <w:ind w:firstLine="420"/>
      </w:pPr>
      <w:r>
        <w:rPr>
          <w:rFonts w:hint="eastAsia"/>
        </w:rPr>
        <w:t>若在系统边界设定中存在简化或假设，应在报告中清晰说明，包括排放因子选择、运输距离假设、能耗结构假设等内容。</w:t>
      </w:r>
    </w:p>
    <w:p w14:paraId="69060AE1">
      <w:pPr>
        <w:pStyle w:val="104"/>
        <w:spacing w:before="240" w:after="240" w:line="360" w:lineRule="auto"/>
      </w:pPr>
      <w:bookmarkStart w:id="53" w:name="_Toc209821035"/>
      <w:r>
        <w:rPr>
          <w:rFonts w:hint="eastAsia"/>
        </w:rPr>
        <w:t>核算方法</w:t>
      </w:r>
      <w:bookmarkEnd w:id="53"/>
    </w:p>
    <w:p w14:paraId="27DC57D8">
      <w:pPr>
        <w:pStyle w:val="105"/>
        <w:spacing w:before="120" w:after="120" w:line="360" w:lineRule="auto"/>
      </w:pPr>
      <w:r>
        <w:rPr>
          <w:rFonts w:hint="eastAsia"/>
        </w:rPr>
        <w:t>一般规定</w:t>
      </w:r>
    </w:p>
    <w:p w14:paraId="10598329">
      <w:pPr>
        <w:pStyle w:val="56"/>
        <w:spacing w:line="360" w:lineRule="auto"/>
        <w:ind w:firstLine="420"/>
      </w:pPr>
      <w:r>
        <w:rPr>
          <w:rFonts w:hint="eastAsia"/>
        </w:rPr>
        <w:t>碳排放核算应遵循量化、透明、一致和可比的原则，采用生命周期评价方法，结合定量数据和必要的假设，计算低碳混凝土全生命周期的温室气体排放。</w:t>
      </w:r>
    </w:p>
    <w:p w14:paraId="6872251E">
      <w:pPr>
        <w:pStyle w:val="105"/>
        <w:spacing w:before="120" w:after="120" w:line="360" w:lineRule="auto"/>
      </w:pPr>
      <w:r>
        <w:rPr>
          <w:rFonts w:hint="eastAsia"/>
        </w:rPr>
        <w:t>功能单位</w:t>
      </w:r>
    </w:p>
    <w:p w14:paraId="695B9C74">
      <w:pPr>
        <w:pStyle w:val="56"/>
        <w:spacing w:line="360" w:lineRule="auto"/>
        <w:ind w:firstLine="420"/>
      </w:pPr>
      <w:r>
        <w:rPr>
          <w:rFonts w:hint="eastAsia"/>
        </w:rPr>
        <w:t>核算应以明确的功能单位为基准。常用功能单位为 1m³混凝土 的生产、运输、施工、使用及处置全过程。若采用其他功能单位，应在报告中说明。</w:t>
      </w:r>
    </w:p>
    <w:p w14:paraId="35256A86">
      <w:pPr>
        <w:pStyle w:val="105"/>
        <w:spacing w:before="120" w:after="120" w:line="360" w:lineRule="auto"/>
      </w:pPr>
      <w:r>
        <w:rPr>
          <w:rFonts w:hint="eastAsia"/>
        </w:rPr>
        <w:t>计算公式</w:t>
      </w:r>
    </w:p>
    <w:p w14:paraId="472A85B7">
      <w:pPr>
        <w:pStyle w:val="56"/>
        <w:spacing w:line="360" w:lineRule="auto"/>
        <w:ind w:firstLine="420"/>
      </w:pPr>
      <w:r>
        <w:rPr>
          <w:rFonts w:hint="eastAsia"/>
        </w:rPr>
        <w:t>低碳混凝土全生命周期碳排放量应按以下公式计算：</w:t>
      </w:r>
    </w:p>
    <w:p w14:paraId="09AFFFC7">
      <w:pPr>
        <w:pStyle w:val="113"/>
        <w:spacing w:line="360" w:lineRule="auto"/>
      </w:pPr>
      <w:r>
        <w:tab/>
      </w:r>
      <m:oMath>
        <m:r>
          <m:rPr/>
          <w:rPr>
            <w:rFonts w:ascii="Cambria Math" w:hAnsi="Cambria Math"/>
          </w:rPr>
          <m:t>E=</m:t>
        </m:r>
        <m:nary>
          <m:naryPr>
            <m:chr m:val="∑"/>
            <m:limLoc m:val="undOvr"/>
            <m:ctrlPr>
              <w:rPr>
                <w:rFonts w:ascii="Cambria Math" w:hAnsi="Cambria Math"/>
                <w:i/>
              </w:rPr>
            </m:ctrlPr>
          </m:naryPr>
          <m:sub>
            <m:r>
              <m:rPr/>
              <w:rPr>
                <w:rFonts w:ascii="Cambria Math" w:hAnsi="Cambria Math"/>
              </w:rPr>
              <m:t>i=1</m:t>
            </m:r>
            <m:ctrlPr>
              <w:rPr>
                <w:rFonts w:ascii="Cambria Math" w:hAnsi="Cambria Math"/>
                <w:i/>
              </w:rPr>
            </m:ctrlPr>
          </m:sub>
          <m:sup>
            <m:r>
              <m:rPr/>
              <w:rPr>
                <w:rFonts w:hint="eastAsia" w:ascii="Cambria Math" w:hAnsi="Cambria Math"/>
              </w:rPr>
              <m:t>n</m:t>
            </m:r>
            <m:ctrlPr>
              <w:rPr>
                <w:rFonts w:ascii="Cambria Math" w:hAnsi="Cambria Math"/>
                <w:i/>
              </w:rPr>
            </m:ctrlPr>
          </m:sup>
          <m:e>
            <m:r>
              <m:rPr/>
              <w:rPr>
                <w:rFonts w:ascii="Cambria Math" w:hAnsi="Cambria Math"/>
              </w:rPr>
              <m:t>(</m:t>
            </m:r>
            <m:sSub>
              <m:sSubPr>
                <m:ctrlPr>
                  <w:rPr>
                    <w:rFonts w:ascii="Cambria Math" w:hAnsi="Cambria Math"/>
                    <w:i/>
                  </w:rPr>
                </m:ctrlPr>
              </m:sSubPr>
              <m:e>
                <m:r>
                  <m:rPr/>
                  <w:rPr>
                    <w:rFonts w:ascii="Cambria Math" w:hAnsi="Cambria Math"/>
                  </w:rPr>
                  <m:t>A</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×E</m:t>
            </m:r>
            <m:sSub>
              <m:sSubPr>
                <m:ctrlPr>
                  <w:rPr>
                    <w:rFonts w:ascii="Cambria Math" w:hAnsi="Cambria Math"/>
                    <w:i/>
                  </w:rPr>
                </m:ctrlPr>
              </m:sSubPr>
              <m:e>
                <m:r>
                  <m:rPr/>
                  <w:rPr>
                    <w:rFonts w:ascii="Cambria Math" w:hAnsi="Cambria Math"/>
                  </w:rPr>
                  <m:t>F</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m:t>
            </m:r>
            <m:ctrlPr>
              <w:rPr>
                <w:rFonts w:ascii="Cambria Math" w:hAnsi="Cambria Math"/>
                <w:i/>
              </w:rPr>
            </m:ctrlPr>
          </m:e>
        </m:nary>
      </m:oMath>
      <w:r>
        <w:rPr>
          <w:rFonts w:ascii="微软雅黑" w:eastAsia="微软雅黑"/>
        </w:rPr>
        <w:tab/>
      </w:r>
      <w:r>
        <w:t>(</w:t>
      </w:r>
      <w:r>
        <w:fldChar w:fldCharType="begin"/>
      </w:r>
      <w:r>
        <w:instrText xml:space="preserve"> AUTONUM </w:instrText>
      </w:r>
      <w:r>
        <w:fldChar w:fldCharType="end"/>
      </w:r>
      <w:r>
        <w:t>)</w:t>
      </w:r>
    </w:p>
    <w:p w14:paraId="209EA025">
      <w:pPr>
        <w:pStyle w:val="55"/>
        <w:spacing w:line="360" w:lineRule="auto"/>
        <w:ind w:firstLine="420"/>
        <w:rPr>
          <w:rFonts w:hint="eastAsia"/>
        </w:rPr>
      </w:pPr>
      <w:r>
        <w:rPr>
          <w:rFonts w:hint="eastAsia"/>
        </w:rPr>
        <w:t>式中：</w:t>
      </w:r>
    </w:p>
    <w:tbl>
      <w:tblPr>
        <w:tblStyle w:val="27"/>
        <w:tblW w:w="0" w:type="auto"/>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83"/>
        <w:gridCol w:w="454"/>
        <w:gridCol w:w="7525"/>
      </w:tblGrid>
      <w:tr w14:paraId="0D8F8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83" w:type="dxa"/>
            <w:vAlign w:val="center"/>
          </w:tcPr>
          <w:p w14:paraId="35F15B4C">
            <w:pPr>
              <w:pStyle w:val="56"/>
              <w:spacing w:line="360" w:lineRule="auto"/>
              <w:ind w:firstLine="0" w:firstLineChars="0"/>
              <w:jc w:val="right"/>
            </w:pPr>
            <m:oMathPara>
              <m:oMath>
                <m:r>
                  <m:rPr/>
                  <w:rPr>
                    <w:rFonts w:ascii="Cambria Math" w:hAnsi="Cambria Math"/>
                  </w:rPr>
                  <m:t>E</m:t>
                </m:r>
              </m:oMath>
            </m:oMathPara>
          </w:p>
        </w:tc>
        <w:tc>
          <w:tcPr>
            <w:tcW w:w="454" w:type="dxa"/>
            <w:vAlign w:val="center"/>
          </w:tcPr>
          <w:p w14:paraId="07484961">
            <w:pPr>
              <w:pStyle w:val="56"/>
              <w:spacing w:line="360" w:lineRule="auto"/>
              <w:ind w:firstLine="0" w:firstLineChars="0"/>
            </w:pPr>
            <w:r>
              <w:rPr>
                <w:rFonts w:hint="eastAsia"/>
              </w:rPr>
              <w:t>——</w:t>
            </w:r>
          </w:p>
        </w:tc>
        <w:tc>
          <w:tcPr>
            <w:tcW w:w="7525" w:type="dxa"/>
          </w:tcPr>
          <w:p w14:paraId="7B33CEC0">
            <w:pPr>
              <w:pStyle w:val="56"/>
              <w:spacing w:line="360" w:lineRule="auto"/>
              <w:ind w:firstLine="0" w:firstLineChars="0"/>
            </w:pPr>
            <w:r>
              <w:rPr>
                <w:rFonts w:hint="eastAsia"/>
              </w:rPr>
              <w:t>全生命周期碳排放量，单位为kgCO</w:t>
            </w:r>
            <w:r>
              <w:rPr>
                <w:rFonts w:hint="eastAsia"/>
                <w:vertAlign w:val="subscript"/>
              </w:rPr>
              <w:t>2</w:t>
            </w:r>
            <w:r>
              <w:rPr>
                <w:rFonts w:hint="eastAsia"/>
              </w:rPr>
              <w:t>e；</w:t>
            </w:r>
          </w:p>
        </w:tc>
      </w:tr>
      <w:tr w14:paraId="456C2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83" w:type="dxa"/>
            <w:vAlign w:val="center"/>
          </w:tcPr>
          <w:p w14:paraId="55E0B988">
            <w:pPr>
              <w:pStyle w:val="56"/>
              <w:spacing w:line="360" w:lineRule="auto"/>
              <w:ind w:firstLine="0" w:firstLineChars="0"/>
              <w:jc w:val="right"/>
            </w:pPr>
            <m:oMathPara>
              <m:oMath>
                <m:sSub>
                  <m:sSubPr>
                    <m:ctrlPr>
                      <w:rPr>
                        <w:rFonts w:ascii="Cambria Math" w:hAnsi="Cambria Math"/>
                        <w:i/>
                        <w:kern w:val="2"/>
                        <w:szCs w:val="21"/>
                      </w:rPr>
                    </m:ctrlPr>
                  </m:sSubPr>
                  <m:e>
                    <m:r>
                      <m:rPr/>
                      <w:rPr>
                        <w:rFonts w:ascii="Cambria Math" w:hAnsi="Cambria Math"/>
                      </w:rPr>
                      <m:t>A</m:t>
                    </m:r>
                    <m:ctrlPr>
                      <w:rPr>
                        <w:rFonts w:ascii="Cambria Math" w:hAnsi="Cambria Math"/>
                        <w:i/>
                        <w:kern w:val="2"/>
                        <w:szCs w:val="21"/>
                      </w:rPr>
                    </m:ctrlPr>
                  </m:e>
                  <m:sub>
                    <m:r>
                      <m:rPr/>
                      <w:rPr>
                        <w:rFonts w:ascii="Cambria Math" w:hAnsi="Cambria Math"/>
                      </w:rPr>
                      <m:t>i</m:t>
                    </m:r>
                    <m:ctrlPr>
                      <w:rPr>
                        <w:rFonts w:ascii="Cambria Math" w:hAnsi="Cambria Math"/>
                        <w:i/>
                        <w:kern w:val="2"/>
                        <w:szCs w:val="21"/>
                      </w:rPr>
                    </m:ctrlPr>
                  </m:sub>
                </m:sSub>
              </m:oMath>
            </m:oMathPara>
          </w:p>
        </w:tc>
        <w:tc>
          <w:tcPr>
            <w:tcW w:w="454" w:type="dxa"/>
            <w:vAlign w:val="center"/>
          </w:tcPr>
          <w:p w14:paraId="293A7F75">
            <w:pPr>
              <w:pStyle w:val="56"/>
              <w:spacing w:line="360" w:lineRule="auto"/>
              <w:ind w:firstLine="0" w:firstLineChars="0"/>
            </w:pPr>
            <w:r>
              <w:rPr>
                <w:rFonts w:hint="eastAsia"/>
              </w:rPr>
              <w:t>——</w:t>
            </w:r>
          </w:p>
        </w:tc>
        <w:tc>
          <w:tcPr>
            <w:tcW w:w="7525" w:type="dxa"/>
          </w:tcPr>
          <w:p w14:paraId="4438784E">
            <w:pPr>
              <w:pStyle w:val="56"/>
              <w:spacing w:line="360" w:lineRule="auto"/>
              <w:ind w:firstLine="0" w:firstLineChars="0"/>
            </w:pPr>
            <w:r>
              <w:rPr>
                <w:rFonts w:hint="eastAsia"/>
              </w:rPr>
              <w:t>第i活动数据，如材料用量、能耗量、运输距离等；</w:t>
            </w:r>
          </w:p>
        </w:tc>
      </w:tr>
      <w:tr w14:paraId="4BEA8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83" w:type="dxa"/>
            <w:vAlign w:val="center"/>
          </w:tcPr>
          <w:p w14:paraId="61733DFE">
            <w:pPr>
              <w:pStyle w:val="56"/>
              <w:spacing w:line="360" w:lineRule="auto"/>
              <w:ind w:firstLine="0" w:firstLineChars="0"/>
              <w:jc w:val="right"/>
            </w:pPr>
            <m:oMathPara>
              <m:oMath>
                <m:r>
                  <m:rPr/>
                  <w:rPr>
                    <w:rFonts w:ascii="Cambria Math" w:hAnsi="Cambria Math"/>
                  </w:rPr>
                  <m:t>E</m:t>
                </m:r>
                <m:sSub>
                  <m:sSubPr>
                    <m:ctrlPr>
                      <w:rPr>
                        <w:rFonts w:ascii="Cambria Math" w:hAnsi="Cambria Math"/>
                        <w:i/>
                        <w:kern w:val="2"/>
                        <w:szCs w:val="21"/>
                      </w:rPr>
                    </m:ctrlPr>
                  </m:sSubPr>
                  <m:e>
                    <m:r>
                      <m:rPr/>
                      <w:rPr>
                        <w:rFonts w:ascii="Cambria Math" w:hAnsi="Cambria Math"/>
                      </w:rPr>
                      <m:t>F</m:t>
                    </m:r>
                    <m:ctrlPr>
                      <w:rPr>
                        <w:rFonts w:ascii="Cambria Math" w:hAnsi="Cambria Math"/>
                        <w:i/>
                        <w:kern w:val="2"/>
                        <w:szCs w:val="21"/>
                      </w:rPr>
                    </m:ctrlPr>
                  </m:e>
                  <m:sub>
                    <m:r>
                      <m:rPr/>
                      <w:rPr>
                        <w:rFonts w:ascii="Cambria Math" w:hAnsi="Cambria Math"/>
                      </w:rPr>
                      <m:t>i</m:t>
                    </m:r>
                    <m:ctrlPr>
                      <w:rPr>
                        <w:rFonts w:ascii="Cambria Math" w:hAnsi="Cambria Math"/>
                        <w:i/>
                        <w:kern w:val="2"/>
                        <w:szCs w:val="21"/>
                      </w:rPr>
                    </m:ctrlPr>
                  </m:sub>
                </m:sSub>
              </m:oMath>
            </m:oMathPara>
          </w:p>
        </w:tc>
        <w:tc>
          <w:tcPr>
            <w:tcW w:w="454" w:type="dxa"/>
            <w:vAlign w:val="center"/>
          </w:tcPr>
          <w:p w14:paraId="1D1E130A">
            <w:pPr>
              <w:pStyle w:val="56"/>
              <w:spacing w:line="360" w:lineRule="auto"/>
              <w:ind w:firstLine="0" w:firstLineChars="0"/>
            </w:pPr>
            <w:r>
              <w:rPr>
                <w:rFonts w:hint="eastAsia"/>
              </w:rPr>
              <w:t>——</w:t>
            </w:r>
          </w:p>
        </w:tc>
        <w:tc>
          <w:tcPr>
            <w:tcW w:w="7525" w:type="dxa"/>
          </w:tcPr>
          <w:p w14:paraId="25CD3157">
            <w:pPr>
              <w:pStyle w:val="56"/>
              <w:spacing w:line="360" w:lineRule="auto"/>
              <w:ind w:firstLine="0" w:firstLineChars="0"/>
            </w:pPr>
            <w:r>
              <w:rPr>
                <w:rFonts w:hint="eastAsia"/>
              </w:rPr>
              <w:t>第i排放因子，单位为kgCO</w:t>
            </w:r>
            <w:r>
              <w:rPr>
                <w:rFonts w:hint="eastAsia"/>
                <w:vertAlign w:val="subscript"/>
              </w:rPr>
              <w:t>2</w:t>
            </w:r>
            <w:r>
              <w:rPr>
                <w:rFonts w:hint="eastAsia"/>
              </w:rPr>
              <w:t>e/活动单位；</w:t>
            </w:r>
          </w:p>
        </w:tc>
      </w:tr>
      <w:tr w14:paraId="0246C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83" w:type="dxa"/>
            <w:vAlign w:val="center"/>
          </w:tcPr>
          <w:p w14:paraId="004CF2F8">
            <w:pPr>
              <w:pStyle w:val="56"/>
              <w:spacing w:line="360" w:lineRule="auto"/>
              <w:ind w:firstLine="0" w:firstLineChars="0"/>
              <w:jc w:val="right"/>
              <w:rPr>
                <w:i/>
                <w:iCs/>
              </w:rPr>
            </w:pPr>
            <m:oMathPara>
              <m:oMath>
                <m:r>
                  <m:rPr/>
                  <w:rPr>
                    <w:rFonts w:hint="eastAsia" w:ascii="Cambria Math" w:hAnsi="Cambria Math"/>
                  </w:rPr>
                  <m:t>n</m:t>
                </m:r>
              </m:oMath>
            </m:oMathPara>
          </w:p>
        </w:tc>
        <w:tc>
          <w:tcPr>
            <w:tcW w:w="454" w:type="dxa"/>
            <w:vAlign w:val="center"/>
          </w:tcPr>
          <w:p w14:paraId="2311BD02">
            <w:pPr>
              <w:pStyle w:val="56"/>
              <w:spacing w:line="360" w:lineRule="auto"/>
              <w:ind w:firstLine="0" w:firstLineChars="0"/>
            </w:pPr>
            <w:r>
              <w:rPr>
                <w:rFonts w:hint="eastAsia"/>
              </w:rPr>
              <w:t>——</w:t>
            </w:r>
          </w:p>
        </w:tc>
        <w:tc>
          <w:tcPr>
            <w:tcW w:w="7525" w:type="dxa"/>
          </w:tcPr>
          <w:p w14:paraId="7A8CAFF2">
            <w:pPr>
              <w:pStyle w:val="56"/>
              <w:spacing w:line="360" w:lineRule="auto"/>
              <w:ind w:firstLine="0" w:firstLineChars="0"/>
            </w:pPr>
            <w:r>
              <w:rPr>
                <w:rFonts w:hint="eastAsia"/>
              </w:rPr>
              <w:t>活动环节总数。</w:t>
            </w:r>
          </w:p>
        </w:tc>
      </w:tr>
    </w:tbl>
    <w:p w14:paraId="1C7215BE">
      <w:pPr>
        <w:pStyle w:val="105"/>
        <w:spacing w:before="120" w:after="120" w:line="360" w:lineRule="auto"/>
      </w:pPr>
      <w:r>
        <w:rPr>
          <w:rFonts w:hint="eastAsia"/>
        </w:rPr>
        <w:t>核算环节</w:t>
      </w:r>
    </w:p>
    <w:p w14:paraId="53F4C807">
      <w:pPr>
        <w:pStyle w:val="56"/>
        <w:spacing w:line="360" w:lineRule="auto"/>
        <w:ind w:firstLine="420"/>
      </w:pPr>
      <w:r>
        <w:rPr>
          <w:rFonts w:hint="eastAsia"/>
        </w:rPr>
        <w:t>碳排放核算应包括以下主要环节：</w:t>
      </w:r>
    </w:p>
    <w:p w14:paraId="70AA94D3">
      <w:pPr>
        <w:pStyle w:val="174"/>
        <w:numPr>
          <w:ilvl w:val="0"/>
          <w:numId w:val="32"/>
        </w:numPr>
        <w:spacing w:line="360" w:lineRule="auto"/>
      </w:pPr>
      <w:r>
        <w:rPr>
          <w:rFonts w:hint="eastAsia"/>
        </w:rPr>
        <w:t>原材料生产排放：水泥、矿物掺合料、骨料、外加剂及水等；</w:t>
      </w:r>
    </w:p>
    <w:p w14:paraId="5B1C4C26">
      <w:pPr>
        <w:pStyle w:val="174"/>
        <w:spacing w:line="360" w:lineRule="auto"/>
      </w:pPr>
      <w:r>
        <w:rPr>
          <w:rFonts w:hint="eastAsia"/>
        </w:rPr>
        <w:t>混凝土生产排放：搅拌能耗、设备运行、厂区损耗等；</w:t>
      </w:r>
    </w:p>
    <w:p w14:paraId="67A2446A">
      <w:pPr>
        <w:pStyle w:val="174"/>
        <w:spacing w:line="360" w:lineRule="auto"/>
      </w:pPr>
      <w:r>
        <w:rPr>
          <w:rFonts w:hint="eastAsia"/>
        </w:rPr>
        <w:t>运输排放：原材料及混凝土运输过程燃料消耗产生的排放；</w:t>
      </w:r>
    </w:p>
    <w:p w14:paraId="572784F3">
      <w:pPr>
        <w:pStyle w:val="174"/>
        <w:spacing w:line="360" w:lineRule="auto"/>
      </w:pPr>
      <w:r>
        <w:rPr>
          <w:rFonts w:hint="eastAsia"/>
        </w:rPr>
        <w:t>施工排放：施工机械、养护能耗、施工耗材等排放；</w:t>
      </w:r>
    </w:p>
    <w:p w14:paraId="22245471">
      <w:pPr>
        <w:pStyle w:val="174"/>
        <w:spacing w:line="360" w:lineRule="auto"/>
      </w:pPr>
      <w:r>
        <w:rPr>
          <w:rFonts w:hint="eastAsia"/>
        </w:rPr>
        <w:t>使用与维护排放：结构修复、养护及相关能耗的排放；</w:t>
      </w:r>
    </w:p>
    <w:p w14:paraId="66C837AF">
      <w:pPr>
        <w:pStyle w:val="174"/>
        <w:spacing w:line="360" w:lineRule="auto"/>
      </w:pPr>
      <w:r>
        <w:rPr>
          <w:rFonts w:hint="eastAsia"/>
        </w:rPr>
        <w:t>拆除与处置排放：拆除机械能耗、废弃物运输与处置排放；</w:t>
      </w:r>
    </w:p>
    <w:p w14:paraId="2A0D1D1A">
      <w:pPr>
        <w:pStyle w:val="174"/>
        <w:spacing w:line="360" w:lineRule="auto"/>
      </w:pPr>
      <w:r>
        <w:rPr>
          <w:rFonts w:hint="eastAsia"/>
        </w:rPr>
        <w:t>再利用与回收减排：包括骨料回收利用、替代材料应用带来的减排量。</w:t>
      </w:r>
    </w:p>
    <w:p w14:paraId="3EB832AC">
      <w:pPr>
        <w:pStyle w:val="105"/>
        <w:spacing w:before="120" w:after="120" w:line="360" w:lineRule="auto"/>
      </w:pPr>
      <w:r>
        <w:rPr>
          <w:rFonts w:hint="eastAsia"/>
        </w:rPr>
        <w:t>数据要求</w:t>
      </w:r>
    </w:p>
    <w:p w14:paraId="3B2E9D90">
      <w:pPr>
        <w:pStyle w:val="165"/>
        <w:spacing w:line="360" w:lineRule="auto"/>
      </w:pPr>
      <w:r>
        <w:rPr>
          <w:rFonts w:hint="eastAsia"/>
        </w:rPr>
        <w:t>优先采用实测数据、企业生产数据及国家/行业权威数据库。</w:t>
      </w:r>
    </w:p>
    <w:p w14:paraId="13C4AEE0">
      <w:pPr>
        <w:pStyle w:val="165"/>
        <w:spacing w:line="360" w:lineRule="auto"/>
      </w:pPr>
      <w:r>
        <w:rPr>
          <w:rFonts w:hint="eastAsia"/>
        </w:rPr>
        <w:t>当缺乏直接数据时，可采用相关标准或国际数据库中的排放因子。</w:t>
      </w:r>
    </w:p>
    <w:p w14:paraId="64643576">
      <w:pPr>
        <w:pStyle w:val="165"/>
        <w:spacing w:line="360" w:lineRule="auto"/>
      </w:pPr>
      <w:r>
        <w:rPr>
          <w:rFonts w:hint="eastAsia"/>
        </w:rPr>
        <w:t>所有数据应注明来源、时间范围和适用条件。</w:t>
      </w:r>
    </w:p>
    <w:p w14:paraId="58EFD763">
      <w:pPr>
        <w:pStyle w:val="105"/>
        <w:spacing w:before="120" w:after="120" w:line="360" w:lineRule="auto"/>
      </w:pPr>
      <w:r>
        <w:rPr>
          <w:rFonts w:hint="eastAsia"/>
        </w:rPr>
        <w:t>排放因子选择</w:t>
      </w:r>
    </w:p>
    <w:p w14:paraId="635D37AF">
      <w:pPr>
        <w:pStyle w:val="56"/>
        <w:spacing w:line="360" w:lineRule="auto"/>
        <w:ind w:firstLine="420"/>
      </w:pPr>
      <w:r>
        <w:rPr>
          <w:rFonts w:hint="eastAsia"/>
        </w:rPr>
        <w:t>应优先采用国家公布的温室气体排放因子。无国家排放因子时，可参考国际标准或数据库。所选排放因子应与评估系统边界和区域能源结构相匹配。</w:t>
      </w:r>
    </w:p>
    <w:p w14:paraId="279A9FC3">
      <w:pPr>
        <w:pStyle w:val="105"/>
        <w:spacing w:before="120" w:after="120" w:line="360" w:lineRule="auto"/>
      </w:pPr>
      <w:r>
        <w:rPr>
          <w:rFonts w:hint="eastAsia"/>
        </w:rPr>
        <w:t>不确定性分析</w:t>
      </w:r>
    </w:p>
    <w:p w14:paraId="345A3A00">
      <w:pPr>
        <w:pStyle w:val="56"/>
        <w:spacing w:line="360" w:lineRule="auto"/>
        <w:ind w:firstLine="420"/>
      </w:pPr>
      <w:r>
        <w:rPr>
          <w:rFonts w:hint="eastAsia"/>
        </w:rPr>
        <w:t>核算结果应进行不确定性分析，评估数据缺失、假设条件及排放因子差异对最终结果的影响。</w:t>
      </w:r>
    </w:p>
    <w:p w14:paraId="55A3BB6D">
      <w:pPr>
        <w:pStyle w:val="104"/>
        <w:spacing w:before="240" w:after="240" w:line="360" w:lineRule="auto"/>
      </w:pPr>
      <w:bookmarkStart w:id="54" w:name="_Toc209821036"/>
      <w:r>
        <w:rPr>
          <w:rFonts w:hint="eastAsia"/>
        </w:rPr>
        <w:t>数据要求</w:t>
      </w:r>
      <w:bookmarkEnd w:id="54"/>
    </w:p>
    <w:p w14:paraId="055A3A04">
      <w:pPr>
        <w:pStyle w:val="105"/>
        <w:spacing w:before="120" w:after="120" w:line="360" w:lineRule="auto"/>
      </w:pPr>
      <w:r>
        <w:rPr>
          <w:rFonts w:hint="eastAsia"/>
        </w:rPr>
        <w:t>一般规定</w:t>
      </w:r>
    </w:p>
    <w:p w14:paraId="7CD75A92">
      <w:pPr>
        <w:pStyle w:val="56"/>
        <w:spacing w:line="360" w:lineRule="auto"/>
        <w:ind w:firstLine="420"/>
      </w:pPr>
      <w:r>
        <w:rPr>
          <w:rFonts w:hint="eastAsia"/>
        </w:rPr>
        <w:t>碳排放评估所使用的数据应真实、完整、可追溯，并符合本文件规定的精度要求。数据来源应优先选择权威数据库、实测数据或经验证的统计资料。</w:t>
      </w:r>
    </w:p>
    <w:p w14:paraId="4E5EAFDF">
      <w:pPr>
        <w:pStyle w:val="105"/>
        <w:spacing w:before="120" w:after="120" w:line="360" w:lineRule="auto"/>
      </w:pPr>
      <w:r>
        <w:rPr>
          <w:rFonts w:hint="eastAsia"/>
        </w:rPr>
        <w:t>数据类型</w:t>
      </w:r>
    </w:p>
    <w:p w14:paraId="59F4D3FC">
      <w:pPr>
        <w:pStyle w:val="56"/>
        <w:spacing w:line="360" w:lineRule="auto"/>
        <w:ind w:firstLine="420"/>
      </w:pPr>
      <w:r>
        <w:rPr>
          <w:rFonts w:hint="eastAsia"/>
        </w:rPr>
        <w:t>为确保核算的系统性和准确性，评估过程所需数据可分为以下几类：</w:t>
      </w:r>
    </w:p>
    <w:p w14:paraId="207561C3">
      <w:pPr>
        <w:pStyle w:val="132"/>
        <w:spacing w:line="360" w:lineRule="auto"/>
      </w:pPr>
      <w:r>
        <w:rPr>
          <w:rFonts w:hint="eastAsia"/>
        </w:rPr>
        <w:t>活动数据：能源消耗量、原材料用量、运输距离、施工工艺参数、设备运行时间等；</w:t>
      </w:r>
    </w:p>
    <w:p w14:paraId="523428F1">
      <w:pPr>
        <w:pStyle w:val="132"/>
        <w:spacing w:line="360" w:lineRule="auto"/>
      </w:pPr>
      <w:r>
        <w:rPr>
          <w:rFonts w:hint="eastAsia"/>
        </w:rPr>
        <w:t>排放因子：能源燃烧、原材料生产与运输、施工与处置过程产生的温室气体排放因子；</w:t>
      </w:r>
    </w:p>
    <w:p w14:paraId="36137ABF">
      <w:pPr>
        <w:pStyle w:val="132"/>
        <w:spacing w:line="360" w:lineRule="auto"/>
      </w:pPr>
      <w:r>
        <w:rPr>
          <w:rFonts w:hint="eastAsia"/>
        </w:rPr>
        <w:t>背景数据：能源结构、区域环境条件、平均运输效率、再生材料利用率等。</w:t>
      </w:r>
    </w:p>
    <w:p w14:paraId="7ABEC12A">
      <w:pPr>
        <w:pStyle w:val="105"/>
        <w:spacing w:before="120" w:after="120" w:line="360" w:lineRule="auto"/>
      </w:pPr>
      <w:r>
        <w:rPr>
          <w:rFonts w:hint="eastAsia"/>
        </w:rPr>
        <w:t>数据来源</w:t>
      </w:r>
    </w:p>
    <w:p w14:paraId="020C629D">
      <w:pPr>
        <w:pStyle w:val="56"/>
        <w:spacing w:line="360" w:lineRule="auto"/>
        <w:ind w:firstLine="420"/>
      </w:pPr>
      <w:r>
        <w:rPr>
          <w:rFonts w:hint="eastAsia"/>
        </w:rPr>
        <w:t>数据应基于权威、可靠的渠道获取，主要包括：</w:t>
      </w:r>
    </w:p>
    <w:p w14:paraId="37B61A37">
      <w:pPr>
        <w:pStyle w:val="132"/>
        <w:spacing w:line="360" w:lineRule="auto"/>
      </w:pPr>
      <w:r>
        <w:rPr>
          <w:rFonts w:hint="eastAsia"/>
        </w:rPr>
        <w:t>企业生产和运营的实测数据；</w:t>
      </w:r>
    </w:p>
    <w:p w14:paraId="27DC556E">
      <w:pPr>
        <w:pStyle w:val="132"/>
        <w:spacing w:line="360" w:lineRule="auto"/>
      </w:pPr>
      <w:r>
        <w:rPr>
          <w:rFonts w:hint="eastAsia"/>
        </w:rPr>
        <w:t>国家和行业标准数据库；</w:t>
      </w:r>
    </w:p>
    <w:p w14:paraId="2D825291">
      <w:pPr>
        <w:pStyle w:val="132"/>
        <w:spacing w:line="360" w:lineRule="auto"/>
      </w:pPr>
      <w:r>
        <w:rPr>
          <w:rFonts w:hint="eastAsia"/>
        </w:rPr>
        <w:t>国际数据库；</w:t>
      </w:r>
    </w:p>
    <w:p w14:paraId="340CB319">
      <w:pPr>
        <w:pStyle w:val="132"/>
        <w:spacing w:line="360" w:lineRule="auto"/>
      </w:pPr>
      <w:r>
        <w:rPr>
          <w:rFonts w:hint="eastAsia"/>
        </w:rPr>
        <w:t>科学研究成果或经验证的公开文献。</w:t>
      </w:r>
    </w:p>
    <w:p w14:paraId="306B837A">
      <w:pPr>
        <w:pStyle w:val="105"/>
        <w:spacing w:before="120" w:after="120" w:line="360" w:lineRule="auto"/>
      </w:pPr>
      <w:r>
        <w:rPr>
          <w:rFonts w:hint="eastAsia"/>
        </w:rPr>
        <w:t>数据质量要求</w:t>
      </w:r>
    </w:p>
    <w:p w14:paraId="36866072">
      <w:pPr>
        <w:pStyle w:val="56"/>
        <w:spacing w:line="360" w:lineRule="auto"/>
        <w:ind w:firstLine="420"/>
      </w:pPr>
      <w:r>
        <w:rPr>
          <w:rFonts w:hint="eastAsia"/>
        </w:rPr>
        <w:t>为了确保评估结果的科学性和可比性，数据应满足以下质量要求：</w:t>
      </w:r>
    </w:p>
    <w:p w14:paraId="5C2EC5A9">
      <w:pPr>
        <w:pStyle w:val="132"/>
        <w:spacing w:line="360" w:lineRule="auto"/>
      </w:pPr>
      <w:r>
        <w:rPr>
          <w:rFonts w:hint="eastAsia"/>
        </w:rPr>
        <w:t>代表性：数据应能反映评估对象的实际情况，涵盖时间、地域和技术特征；</w:t>
      </w:r>
    </w:p>
    <w:p w14:paraId="0961D2D8">
      <w:pPr>
        <w:pStyle w:val="132"/>
        <w:spacing w:line="360" w:lineRule="auto"/>
      </w:pPr>
      <w:r>
        <w:rPr>
          <w:rFonts w:hint="eastAsia"/>
        </w:rPr>
        <w:t>完整性：评估应尽可能覆盖所有相关环节，避免关键数据缺失；</w:t>
      </w:r>
    </w:p>
    <w:p w14:paraId="08E251E8">
      <w:pPr>
        <w:pStyle w:val="132"/>
        <w:spacing w:line="360" w:lineRule="auto"/>
      </w:pPr>
      <w:r>
        <w:rPr>
          <w:rFonts w:hint="eastAsia"/>
        </w:rPr>
        <w:t>一致性：不同阶段和不同对象的评估应采用相同或可比的数据处理方法；</w:t>
      </w:r>
    </w:p>
    <w:p w14:paraId="6D6CF5EA">
      <w:pPr>
        <w:pStyle w:val="132"/>
        <w:spacing w:line="360" w:lineRule="auto"/>
      </w:pPr>
      <w:r>
        <w:rPr>
          <w:rFonts w:hint="eastAsia"/>
        </w:rPr>
        <w:t>可验证性：所有数据均应有明确来源和记录，以便第三方审核；</w:t>
      </w:r>
    </w:p>
    <w:p w14:paraId="0822FA89">
      <w:pPr>
        <w:pStyle w:val="132"/>
        <w:spacing w:line="360" w:lineRule="auto"/>
      </w:pPr>
      <w:r>
        <w:rPr>
          <w:rFonts w:hint="eastAsia"/>
        </w:rPr>
        <w:t>时效性：数据应尽量反映最近的生产与运营水平，一般不超过5年。</w:t>
      </w:r>
    </w:p>
    <w:p w14:paraId="2331E1B2">
      <w:pPr>
        <w:pStyle w:val="105"/>
        <w:spacing w:before="120" w:after="120" w:line="360" w:lineRule="auto"/>
      </w:pPr>
      <w:r>
        <w:rPr>
          <w:rFonts w:hint="eastAsia"/>
        </w:rPr>
        <w:t>数据不确定性</w:t>
      </w:r>
    </w:p>
    <w:p w14:paraId="27CC5E63">
      <w:pPr>
        <w:pStyle w:val="56"/>
        <w:spacing w:line="360" w:lineRule="auto"/>
        <w:ind w:firstLine="420"/>
      </w:pPr>
      <w:r>
        <w:rPr>
          <w:rFonts w:hint="eastAsia"/>
        </w:rPr>
        <w:t>在部分情况下，数据可能存在不确定性。应采取敏感性分析、不确定性区间估算等方法进行处理，并在报告中明确说明不确定性范围及其影响。</w:t>
      </w:r>
    </w:p>
    <w:p w14:paraId="4EE2C19E">
      <w:pPr>
        <w:pStyle w:val="105"/>
        <w:spacing w:before="120" w:after="120" w:line="360" w:lineRule="auto"/>
      </w:pPr>
      <w:r>
        <w:rPr>
          <w:rFonts w:hint="eastAsia"/>
        </w:rPr>
        <w:t>数据更新</w:t>
      </w:r>
    </w:p>
    <w:p w14:paraId="443C0C6F">
      <w:pPr>
        <w:pStyle w:val="56"/>
        <w:spacing w:line="360" w:lineRule="auto"/>
        <w:ind w:firstLine="420"/>
      </w:pPr>
      <w:r>
        <w:rPr>
          <w:rFonts w:hint="eastAsia"/>
        </w:rPr>
        <w:t>为保证评估结果与行业实际保持一致，企业或机构在长期开展碳排放管理时，应根据技术进步、能源结构变化和原材料更新情况，定期更新数据。</w:t>
      </w:r>
    </w:p>
    <w:p w14:paraId="2C4EE7E5">
      <w:pPr>
        <w:pStyle w:val="104"/>
        <w:spacing w:before="240" w:after="240" w:line="360" w:lineRule="auto"/>
      </w:pPr>
      <w:bookmarkStart w:id="55" w:name="_Toc209821037"/>
      <w:r>
        <w:rPr>
          <w:rFonts w:hint="eastAsia"/>
        </w:rPr>
        <w:t>结果表达</w:t>
      </w:r>
      <w:bookmarkEnd w:id="55"/>
    </w:p>
    <w:p w14:paraId="6A2314E7">
      <w:pPr>
        <w:pStyle w:val="105"/>
        <w:spacing w:before="120" w:after="120" w:line="360" w:lineRule="auto"/>
      </w:pPr>
      <w:r>
        <w:rPr>
          <w:rFonts w:hint="eastAsia"/>
        </w:rPr>
        <w:t>一般规定</w:t>
      </w:r>
    </w:p>
    <w:p w14:paraId="347C8CCC">
      <w:pPr>
        <w:pStyle w:val="56"/>
        <w:spacing w:line="360" w:lineRule="auto"/>
        <w:ind w:firstLine="420"/>
      </w:pPr>
      <w:r>
        <w:rPr>
          <w:rFonts w:hint="eastAsia"/>
        </w:rPr>
        <w:t>碳排放评估结果应以统一、清晰、可比的形式进行表达。结果不仅要呈现全生命周期的碳排放总量，还应分阶段、分环节展示，确保数据透明、可追溯，便于不同主体进行横向对比和纵向改进。</w:t>
      </w:r>
    </w:p>
    <w:p w14:paraId="0669E4B3">
      <w:pPr>
        <w:pStyle w:val="105"/>
        <w:spacing w:before="120" w:after="120" w:line="360" w:lineRule="auto"/>
      </w:pPr>
      <w:r>
        <w:rPr>
          <w:rFonts w:hint="eastAsia"/>
        </w:rPr>
        <w:t>表达形式</w:t>
      </w:r>
    </w:p>
    <w:p w14:paraId="27176CB6">
      <w:pPr>
        <w:pStyle w:val="56"/>
        <w:spacing w:line="360" w:lineRule="auto"/>
        <w:ind w:firstLine="420"/>
      </w:pPr>
      <w:r>
        <w:rPr>
          <w:rFonts w:hint="eastAsia"/>
        </w:rPr>
        <w:t>评估结果的表达应包含定量结果和定性说明两部分。其中，定量结果用于提供准确的碳排放数值，定性说明用于解释方法、边界条件及不确定性。具体应包括：</w:t>
      </w:r>
    </w:p>
    <w:p w14:paraId="48B25237">
      <w:pPr>
        <w:pStyle w:val="132"/>
        <w:spacing w:line="360" w:lineRule="auto"/>
      </w:pPr>
      <w:r>
        <w:rPr>
          <w:rFonts w:hint="eastAsia"/>
        </w:rPr>
        <w:t>总量结果：以功能单位为基准的全生命周期碳排放总量，单位为</w:t>
      </w:r>
      <w:r>
        <w:t>kgCO₂e</w:t>
      </w:r>
      <w:r>
        <w:rPr>
          <w:rFonts w:hint="eastAsia"/>
        </w:rPr>
        <w:t>或</w:t>
      </w:r>
      <w:r>
        <w:t>tCO₂e</w:t>
      </w:r>
      <w:r>
        <w:rPr>
          <w:rFonts w:hint="eastAsia"/>
        </w:rPr>
        <w:t>；</w:t>
      </w:r>
    </w:p>
    <w:p w14:paraId="7C08E87C">
      <w:pPr>
        <w:pStyle w:val="132"/>
        <w:spacing w:line="360" w:lineRule="auto"/>
      </w:pPr>
      <w:r>
        <w:rPr>
          <w:rFonts w:hint="eastAsia"/>
        </w:rPr>
        <w:t>阶段分布：明确各生命周期阶段的碳排放量，便于识别排放热点环节；</w:t>
      </w:r>
    </w:p>
    <w:p w14:paraId="7CCBDB73">
      <w:pPr>
        <w:pStyle w:val="132"/>
        <w:spacing w:line="360" w:lineRule="auto"/>
      </w:pPr>
      <w:r>
        <w:rPr>
          <w:rFonts w:hint="eastAsia"/>
        </w:rPr>
        <w:t>环节占比：计算并列示各环节碳排放量占总量的比例，用于明确主要贡献源；</w:t>
      </w:r>
    </w:p>
    <w:p w14:paraId="33AEB51A">
      <w:pPr>
        <w:pStyle w:val="132"/>
        <w:spacing w:line="360" w:lineRule="auto"/>
      </w:pPr>
      <w:r>
        <w:rPr>
          <w:rFonts w:hint="eastAsia"/>
        </w:rPr>
        <w:t>对比分析：对不同配合比、不同工艺或不同运输方式下的结果进行对比，展示减排潜力；</w:t>
      </w:r>
    </w:p>
    <w:p w14:paraId="506676B1">
      <w:pPr>
        <w:pStyle w:val="132"/>
        <w:spacing w:line="360" w:lineRule="auto"/>
      </w:pPr>
      <w:r>
        <w:rPr>
          <w:rFonts w:hint="eastAsia"/>
        </w:rPr>
        <w:t>不确定性说明：阐述数据来源、计算假设及其对最终结果可能造成的偏差范围。</w:t>
      </w:r>
    </w:p>
    <w:p w14:paraId="23473930">
      <w:pPr>
        <w:pStyle w:val="105"/>
        <w:spacing w:before="120" w:after="120" w:line="360" w:lineRule="auto"/>
      </w:pPr>
      <w:r>
        <w:rPr>
          <w:rFonts w:hint="eastAsia"/>
        </w:rPr>
        <w:t>单位与换算</w:t>
      </w:r>
    </w:p>
    <w:p w14:paraId="36D4BA11">
      <w:pPr>
        <w:pStyle w:val="165"/>
        <w:spacing w:line="360" w:lineRule="auto"/>
      </w:pPr>
      <w:r>
        <w:rPr>
          <w:rFonts w:hint="eastAsia"/>
        </w:rPr>
        <w:t>评估结果的数值应统一采用二氧化碳当量（</w:t>
      </w:r>
      <w:r>
        <w:t>CO₂e</w:t>
      </w:r>
      <w:r>
        <w:rPr>
          <w:rFonts w:hint="eastAsia"/>
        </w:rPr>
        <w:t>）表示。单位通常为</w:t>
      </w:r>
      <w:r>
        <w:t>kgCO₂e</w:t>
      </w:r>
      <w:r>
        <w:rPr>
          <w:rFonts w:hint="eastAsia"/>
        </w:rPr>
        <w:t>或</w:t>
      </w:r>
      <w:r>
        <w:t>tCO₂e</w:t>
      </w:r>
      <w:r>
        <w:rPr>
          <w:rFonts w:hint="eastAsia"/>
        </w:rPr>
        <w:t>。</w:t>
      </w:r>
    </w:p>
    <w:p w14:paraId="15A0AB7A">
      <w:pPr>
        <w:pStyle w:val="165"/>
        <w:spacing w:line="360" w:lineRule="auto"/>
      </w:pPr>
      <w:r>
        <w:rPr>
          <w:rFonts w:hint="eastAsia"/>
        </w:rPr>
        <w:t>涉及小规模样品或实验室研究时，宜使用</w:t>
      </w:r>
      <w:r>
        <w:t xml:space="preserve"> kgCO₂e</w:t>
      </w:r>
      <w:r>
        <w:rPr>
          <w:rFonts w:hint="eastAsia"/>
        </w:rPr>
        <w:t>。</w:t>
      </w:r>
    </w:p>
    <w:p w14:paraId="3FF9746A">
      <w:pPr>
        <w:pStyle w:val="165"/>
        <w:spacing w:line="360" w:lineRule="auto"/>
      </w:pPr>
      <w:r>
        <w:rPr>
          <w:rFonts w:hint="eastAsia"/>
        </w:rPr>
        <w:t>涉及工程项目或年度排放核算时，宜使用</w:t>
      </w:r>
      <w:r>
        <w:t xml:space="preserve"> tCO₂e</w:t>
      </w:r>
      <w:r>
        <w:rPr>
          <w:rFonts w:hint="eastAsia"/>
        </w:rPr>
        <w:t>。</w:t>
      </w:r>
    </w:p>
    <w:p w14:paraId="2B84F5E6">
      <w:pPr>
        <w:pStyle w:val="165"/>
        <w:spacing w:line="360" w:lineRule="auto"/>
      </w:pPr>
      <w:r>
        <w:rPr>
          <w:rFonts w:hint="eastAsia"/>
        </w:rPr>
        <w:t>若使用其他单位，应同时给出换算关系和数据说明。</w:t>
      </w:r>
    </w:p>
    <w:p w14:paraId="204D01BA">
      <w:pPr>
        <w:pStyle w:val="105"/>
        <w:spacing w:before="120" w:after="120" w:line="360" w:lineRule="auto"/>
      </w:pPr>
      <w:r>
        <w:rPr>
          <w:rFonts w:hint="eastAsia"/>
        </w:rPr>
        <w:t>图表表达</w:t>
      </w:r>
    </w:p>
    <w:p w14:paraId="784E9A4C">
      <w:pPr>
        <w:pStyle w:val="56"/>
        <w:spacing w:line="360" w:lineRule="auto"/>
        <w:ind w:firstLine="420"/>
      </w:pPr>
      <w:r>
        <w:rPr>
          <w:rFonts w:hint="eastAsia"/>
        </w:rPr>
        <w:t>为了便于结果的对比、分析和交流，评估结果应以图表形式进行补充说明。常见的图表类型包括：</w:t>
      </w:r>
    </w:p>
    <w:p w14:paraId="753F9D03">
      <w:pPr>
        <w:pStyle w:val="132"/>
        <w:spacing w:line="360" w:lineRule="auto"/>
      </w:pPr>
      <w:r>
        <w:rPr>
          <w:rFonts w:hint="eastAsia"/>
        </w:rPr>
        <w:t>柱状图：用于展示各生命周期阶段碳排放量的绝对值；</w:t>
      </w:r>
    </w:p>
    <w:p w14:paraId="1777D488">
      <w:pPr>
        <w:pStyle w:val="132"/>
        <w:spacing w:line="360" w:lineRule="auto"/>
      </w:pPr>
      <w:r>
        <w:rPr>
          <w:rFonts w:hint="eastAsia"/>
        </w:rPr>
        <w:t>饼图：用于展示各环节碳排放占比；</w:t>
      </w:r>
    </w:p>
    <w:p w14:paraId="6E9C5517">
      <w:pPr>
        <w:pStyle w:val="132"/>
        <w:spacing w:line="360" w:lineRule="auto"/>
      </w:pPr>
      <w:r>
        <w:rPr>
          <w:rFonts w:hint="eastAsia"/>
        </w:rPr>
        <w:t>折线图：用于对比不同工艺路线或不同材料方案的碳排放变化趋势；</w:t>
      </w:r>
    </w:p>
    <w:p w14:paraId="0FD7E314">
      <w:pPr>
        <w:pStyle w:val="132"/>
        <w:spacing w:line="360" w:lineRule="auto"/>
      </w:pPr>
      <w:r>
        <w:rPr>
          <w:rFonts w:hint="eastAsia"/>
        </w:rPr>
        <w:t>敏感性分析图：用于展示关键参数变化对总排放量的影响程度。</w:t>
      </w:r>
    </w:p>
    <w:p w14:paraId="7552A4D4">
      <w:pPr>
        <w:pStyle w:val="105"/>
        <w:spacing w:before="120" w:after="120" w:line="360" w:lineRule="auto"/>
      </w:pPr>
      <w:r>
        <w:rPr>
          <w:rFonts w:hint="eastAsia"/>
        </w:rPr>
        <w:t>报告要求</w:t>
      </w:r>
    </w:p>
    <w:p w14:paraId="1C59CD6C">
      <w:pPr>
        <w:pStyle w:val="56"/>
        <w:spacing w:line="360" w:lineRule="auto"/>
        <w:ind w:firstLine="420"/>
      </w:pPr>
      <w:r>
        <w:rPr>
          <w:rFonts w:hint="eastAsia"/>
        </w:rPr>
        <w:t>碳排放评估结果报告应完整、详实，并能支撑管理决策与政策应用。报告至少应包含以下内容：</w:t>
      </w:r>
    </w:p>
    <w:p w14:paraId="3C2A5FC2">
      <w:pPr>
        <w:pStyle w:val="132"/>
        <w:spacing w:line="360" w:lineRule="auto"/>
      </w:pPr>
      <w:r>
        <w:rPr>
          <w:rFonts w:hint="eastAsia"/>
        </w:rPr>
        <w:t>评估对象及功能单位：说明评估的混凝土类型、用途和功能单位；</w:t>
      </w:r>
    </w:p>
    <w:p w14:paraId="40A85FCE">
      <w:pPr>
        <w:pStyle w:val="132"/>
        <w:spacing w:line="360" w:lineRule="auto"/>
      </w:pPr>
      <w:r>
        <w:rPr>
          <w:rFonts w:hint="eastAsia"/>
        </w:rPr>
        <w:t>系统边界说明：阐述评估覆盖的生命周期阶段及任何排除环节；</w:t>
      </w:r>
    </w:p>
    <w:p w14:paraId="167042DF">
      <w:pPr>
        <w:pStyle w:val="132"/>
        <w:spacing w:line="360" w:lineRule="auto"/>
      </w:pPr>
      <w:r>
        <w:rPr>
          <w:rFonts w:hint="eastAsia"/>
        </w:rPr>
        <w:t>数据与假设：列明数据来源、数据收集方法以及主要假设条件；</w:t>
      </w:r>
    </w:p>
    <w:p w14:paraId="6BC2211A">
      <w:pPr>
        <w:pStyle w:val="132"/>
        <w:spacing w:line="360" w:lineRule="auto"/>
      </w:pPr>
      <w:r>
        <w:rPr>
          <w:rFonts w:hint="eastAsia"/>
        </w:rPr>
        <w:t>计算结果：包括总量结果、分阶段结果和关键环节占比；</w:t>
      </w:r>
    </w:p>
    <w:p w14:paraId="117CD636">
      <w:pPr>
        <w:pStyle w:val="132"/>
        <w:spacing w:line="360" w:lineRule="auto"/>
      </w:pPr>
      <w:r>
        <w:rPr>
          <w:rFonts w:hint="eastAsia"/>
        </w:rPr>
        <w:t>对比与分析：不同方案、不同区域或不同年份的对比结果；</w:t>
      </w:r>
    </w:p>
    <w:p w14:paraId="7D32A184">
      <w:pPr>
        <w:pStyle w:val="132"/>
        <w:spacing w:line="360" w:lineRule="auto"/>
      </w:pPr>
      <w:r>
        <w:rPr>
          <w:rFonts w:hint="eastAsia"/>
        </w:rPr>
        <w:t>不确定性与敏感性分析：明确不确定性范围和关键影响因素；</w:t>
      </w:r>
    </w:p>
    <w:p w14:paraId="1A6B453C">
      <w:pPr>
        <w:pStyle w:val="132"/>
        <w:spacing w:line="360" w:lineRule="auto"/>
      </w:pPr>
      <w:r>
        <w:rPr>
          <w:rFonts w:hint="eastAsia"/>
        </w:rPr>
        <w:t>结论与改进建议：结合结果提出低碳优化措施。</w:t>
      </w:r>
    </w:p>
    <w:p w14:paraId="153ACB2C">
      <w:pPr>
        <w:pStyle w:val="105"/>
        <w:spacing w:before="120" w:after="120" w:line="360" w:lineRule="auto"/>
      </w:pPr>
      <w:r>
        <w:rPr>
          <w:rFonts w:hint="eastAsia"/>
        </w:rPr>
        <w:t>附加要求</w:t>
      </w:r>
    </w:p>
    <w:p w14:paraId="5A5BB3B9">
      <w:pPr>
        <w:pStyle w:val="56"/>
        <w:spacing w:line="360" w:lineRule="auto"/>
        <w:ind w:firstLine="420"/>
      </w:pPr>
      <w:r>
        <w:rPr>
          <w:rFonts w:hint="eastAsia"/>
        </w:rPr>
        <w:t>在特定场景下，结果表达还应包括以下扩展内容：</w:t>
      </w:r>
    </w:p>
    <w:p w14:paraId="315A094F">
      <w:pPr>
        <w:pStyle w:val="132"/>
        <w:spacing w:line="360" w:lineRule="auto"/>
      </w:pPr>
      <w:r>
        <w:rPr>
          <w:rFonts w:hint="eastAsia"/>
        </w:rPr>
        <w:t>基准线对比：与行业基准值或国家标准值进行对比，体现低碳优势；</w:t>
      </w:r>
    </w:p>
    <w:p w14:paraId="091FE862">
      <w:pPr>
        <w:pStyle w:val="132"/>
        <w:spacing w:line="360" w:lineRule="auto"/>
      </w:pPr>
      <w:r>
        <w:rPr>
          <w:rFonts w:hint="eastAsia"/>
        </w:rPr>
        <w:t>动态趋势：对长期项目，给出不同时点或不同寿命阶段的碳排放变化趋势；</w:t>
      </w:r>
    </w:p>
    <w:p w14:paraId="543AF93F">
      <w:pPr>
        <w:pStyle w:val="132"/>
        <w:spacing w:line="360" w:lineRule="auto"/>
      </w:pPr>
      <w:r>
        <w:rPr>
          <w:rFonts w:hint="eastAsia"/>
        </w:rPr>
        <w:t>减排贡献：若采用碳捕集、替代材料或循环利用，应单独列示其减排效果；</w:t>
      </w:r>
    </w:p>
    <w:p w14:paraId="59CC0627">
      <w:pPr>
        <w:pStyle w:val="132"/>
        <w:spacing w:line="360" w:lineRule="auto"/>
      </w:pPr>
      <w:r>
        <w:rPr>
          <w:rFonts w:hint="eastAsia"/>
        </w:rPr>
        <w:t>情景分析：在不同政策、能源结构或技术进步情景下的预测结果。</w:t>
      </w:r>
    </w:p>
    <w:p w14:paraId="579CE13E">
      <w:pPr>
        <w:pStyle w:val="105"/>
        <w:spacing w:before="120" w:after="120" w:line="360" w:lineRule="auto"/>
      </w:pPr>
      <w:r>
        <w:rPr>
          <w:rFonts w:hint="eastAsia"/>
        </w:rPr>
        <w:t>示例表格</w:t>
      </w:r>
    </w:p>
    <w:p w14:paraId="39AD1D17">
      <w:pPr>
        <w:pStyle w:val="56"/>
        <w:spacing w:line="360" w:lineRule="auto"/>
        <w:ind w:firstLine="420"/>
      </w:pPr>
      <w:r>
        <w:rPr>
          <w:rFonts w:hint="eastAsia"/>
        </w:rPr>
        <w:t>为便于结果展示和应用，可采用表格形式汇总全生命周期碳排放核算结果，如表1。</w:t>
      </w:r>
    </w:p>
    <w:p w14:paraId="51213379">
      <w:pPr>
        <w:pStyle w:val="112"/>
        <w:spacing w:before="120" w:after="120" w:line="360" w:lineRule="auto"/>
      </w:pPr>
      <w:r>
        <w:rPr>
          <w:rFonts w:hint="eastAsia"/>
        </w:rPr>
        <w:t>某低碳混凝土全生命周期碳排放结果示例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34"/>
        <w:gridCol w:w="2333"/>
        <w:gridCol w:w="2333"/>
        <w:gridCol w:w="2334"/>
      </w:tblGrid>
      <w:tr w14:paraId="65468E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334" w:type="dxa"/>
            <w:tcBorders>
              <w:top w:val="single" w:color="auto" w:sz="8" w:space="0"/>
              <w:bottom w:val="single" w:color="auto" w:sz="8" w:space="0"/>
            </w:tcBorders>
          </w:tcPr>
          <w:p w14:paraId="675EDFC1">
            <w:pPr>
              <w:pStyle w:val="178"/>
            </w:pPr>
            <w:r>
              <w:rPr>
                <w:rFonts w:hint="eastAsia"/>
              </w:rPr>
              <w:t>生命周期阶段</w:t>
            </w:r>
          </w:p>
        </w:tc>
        <w:tc>
          <w:tcPr>
            <w:tcW w:w="2333" w:type="dxa"/>
            <w:tcBorders>
              <w:top w:val="single" w:color="auto" w:sz="8" w:space="0"/>
              <w:bottom w:val="single" w:color="auto" w:sz="8" w:space="0"/>
            </w:tcBorders>
          </w:tcPr>
          <w:p w14:paraId="3DBACB0D">
            <w:pPr>
              <w:pStyle w:val="178"/>
            </w:pPr>
            <w:r>
              <w:rPr>
                <w:rFonts w:hint="eastAsia"/>
              </w:rPr>
              <w:t>排放量</w:t>
            </w:r>
            <w:r>
              <w:t xml:space="preserve"> (kgCO</w:t>
            </w:r>
            <w:r>
              <w:rPr>
                <w:rFonts w:ascii="Cambria Math" w:hAnsi="Cambria Math" w:cs="Cambria Math"/>
              </w:rPr>
              <w:t>₂</w:t>
            </w:r>
            <w:r>
              <w:t>e/m</w:t>
            </w:r>
            <w:r>
              <w:rPr>
                <w:rFonts w:hint="eastAsia" w:ascii="等线" w:hAnsi="等线" w:eastAsia="等线" w:cs="等线"/>
              </w:rPr>
              <w:t>³</w:t>
            </w:r>
            <w:r>
              <w:t>)</w:t>
            </w:r>
          </w:p>
        </w:tc>
        <w:tc>
          <w:tcPr>
            <w:tcW w:w="2333" w:type="dxa"/>
            <w:tcBorders>
              <w:top w:val="single" w:color="auto" w:sz="8" w:space="0"/>
              <w:bottom w:val="single" w:color="auto" w:sz="8" w:space="0"/>
            </w:tcBorders>
          </w:tcPr>
          <w:p w14:paraId="420C86B1">
            <w:pPr>
              <w:pStyle w:val="178"/>
            </w:pPr>
            <w:r>
              <w:rPr>
                <w:rFonts w:hint="eastAsia"/>
              </w:rPr>
              <w:t>占比</w:t>
            </w:r>
            <w:r>
              <w:t xml:space="preserve"> (%)</w:t>
            </w:r>
          </w:p>
        </w:tc>
        <w:tc>
          <w:tcPr>
            <w:tcW w:w="2334" w:type="dxa"/>
            <w:tcBorders>
              <w:top w:val="single" w:color="auto" w:sz="8" w:space="0"/>
              <w:bottom w:val="single" w:color="auto" w:sz="8" w:space="0"/>
            </w:tcBorders>
          </w:tcPr>
          <w:p w14:paraId="75980D63">
            <w:pPr>
              <w:pStyle w:val="178"/>
            </w:pPr>
            <w:r>
              <w:rPr>
                <w:rFonts w:hint="eastAsia"/>
              </w:rPr>
              <w:t>备注</w:t>
            </w:r>
          </w:p>
        </w:tc>
      </w:tr>
      <w:tr w14:paraId="6D0E28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tcBorders>
              <w:top w:val="single" w:color="auto" w:sz="8" w:space="0"/>
            </w:tcBorders>
          </w:tcPr>
          <w:p w14:paraId="5EC4183B">
            <w:pPr>
              <w:pStyle w:val="178"/>
            </w:pPr>
            <w:r>
              <w:rPr>
                <w:rFonts w:hint="eastAsia"/>
              </w:rPr>
              <w:t>原材料生产阶段</w:t>
            </w:r>
          </w:p>
        </w:tc>
        <w:tc>
          <w:tcPr>
            <w:tcW w:w="2333" w:type="dxa"/>
            <w:tcBorders>
              <w:top w:val="single" w:color="auto" w:sz="8" w:space="0"/>
            </w:tcBorders>
          </w:tcPr>
          <w:p w14:paraId="23E28047">
            <w:pPr>
              <w:pStyle w:val="178"/>
            </w:pPr>
            <w:r>
              <w:rPr>
                <w:rFonts w:hint="eastAsia"/>
              </w:rPr>
              <w:t>180</w:t>
            </w:r>
          </w:p>
        </w:tc>
        <w:tc>
          <w:tcPr>
            <w:tcW w:w="2333" w:type="dxa"/>
            <w:tcBorders>
              <w:top w:val="single" w:color="auto" w:sz="8" w:space="0"/>
            </w:tcBorders>
          </w:tcPr>
          <w:p w14:paraId="435FEC66">
            <w:pPr>
              <w:pStyle w:val="178"/>
            </w:pPr>
            <w:r>
              <w:rPr>
                <w:rFonts w:hint="eastAsia"/>
              </w:rPr>
              <w:t>55</w:t>
            </w:r>
          </w:p>
        </w:tc>
        <w:tc>
          <w:tcPr>
            <w:tcW w:w="2334" w:type="dxa"/>
            <w:tcBorders>
              <w:top w:val="single" w:color="auto" w:sz="8" w:space="0"/>
            </w:tcBorders>
          </w:tcPr>
          <w:p w14:paraId="51FCDF45">
            <w:pPr>
              <w:pStyle w:val="178"/>
            </w:pPr>
            <w:r>
              <w:rPr>
                <w:rFonts w:hint="eastAsia"/>
              </w:rPr>
              <w:t>水泥、矿物掺合料等</w:t>
            </w:r>
          </w:p>
        </w:tc>
      </w:tr>
      <w:tr w14:paraId="599849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tcPr>
          <w:p w14:paraId="5329B121">
            <w:pPr>
              <w:pStyle w:val="178"/>
            </w:pPr>
            <w:r>
              <w:rPr>
                <w:rFonts w:hint="eastAsia"/>
              </w:rPr>
              <w:t>混凝土生产阶段</w:t>
            </w:r>
          </w:p>
        </w:tc>
        <w:tc>
          <w:tcPr>
            <w:tcW w:w="2333" w:type="dxa"/>
          </w:tcPr>
          <w:p w14:paraId="017D0F3E">
            <w:pPr>
              <w:pStyle w:val="178"/>
            </w:pPr>
            <w:r>
              <w:rPr>
                <w:rFonts w:hint="eastAsia"/>
              </w:rPr>
              <w:t>25</w:t>
            </w:r>
          </w:p>
        </w:tc>
        <w:tc>
          <w:tcPr>
            <w:tcW w:w="2333" w:type="dxa"/>
          </w:tcPr>
          <w:p w14:paraId="35BE5F3E">
            <w:pPr>
              <w:pStyle w:val="178"/>
            </w:pPr>
            <w:r>
              <w:rPr>
                <w:rFonts w:hint="eastAsia"/>
              </w:rPr>
              <w:t>8</w:t>
            </w:r>
          </w:p>
        </w:tc>
        <w:tc>
          <w:tcPr>
            <w:tcW w:w="2334" w:type="dxa"/>
          </w:tcPr>
          <w:p w14:paraId="63589D52">
            <w:pPr>
              <w:pStyle w:val="178"/>
            </w:pPr>
            <w:r>
              <w:rPr>
                <w:rFonts w:hint="eastAsia"/>
              </w:rPr>
              <w:t>搅拌能耗、设备运行</w:t>
            </w:r>
          </w:p>
        </w:tc>
      </w:tr>
      <w:tr w14:paraId="4F0958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tcPr>
          <w:p w14:paraId="423EFCC2">
            <w:pPr>
              <w:pStyle w:val="178"/>
            </w:pPr>
            <w:r>
              <w:rPr>
                <w:rFonts w:hint="eastAsia"/>
              </w:rPr>
              <w:t>运输阶段</w:t>
            </w:r>
          </w:p>
        </w:tc>
        <w:tc>
          <w:tcPr>
            <w:tcW w:w="2333" w:type="dxa"/>
          </w:tcPr>
          <w:p w14:paraId="05737685">
            <w:pPr>
              <w:pStyle w:val="178"/>
            </w:pPr>
            <w:r>
              <w:rPr>
                <w:rFonts w:hint="eastAsia"/>
              </w:rPr>
              <w:t>30</w:t>
            </w:r>
          </w:p>
        </w:tc>
        <w:tc>
          <w:tcPr>
            <w:tcW w:w="2333" w:type="dxa"/>
          </w:tcPr>
          <w:p w14:paraId="39969034">
            <w:pPr>
              <w:pStyle w:val="178"/>
            </w:pPr>
            <w:r>
              <w:rPr>
                <w:rFonts w:hint="eastAsia"/>
              </w:rPr>
              <w:t>9</w:t>
            </w:r>
          </w:p>
        </w:tc>
        <w:tc>
          <w:tcPr>
            <w:tcW w:w="2334" w:type="dxa"/>
          </w:tcPr>
          <w:p w14:paraId="6026E418">
            <w:pPr>
              <w:pStyle w:val="178"/>
            </w:pPr>
            <w:r>
              <w:rPr>
                <w:rFonts w:hint="eastAsia"/>
              </w:rPr>
              <w:t>原材料与成品运输</w:t>
            </w:r>
          </w:p>
        </w:tc>
      </w:tr>
      <w:tr w14:paraId="23A13C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tcPr>
          <w:p w14:paraId="348DEEF9">
            <w:pPr>
              <w:pStyle w:val="178"/>
            </w:pPr>
            <w:r>
              <w:rPr>
                <w:rFonts w:hint="eastAsia"/>
              </w:rPr>
              <w:t>施工阶段</w:t>
            </w:r>
          </w:p>
        </w:tc>
        <w:tc>
          <w:tcPr>
            <w:tcW w:w="2333" w:type="dxa"/>
          </w:tcPr>
          <w:p w14:paraId="44158E3D">
            <w:pPr>
              <w:pStyle w:val="178"/>
            </w:pPr>
            <w:r>
              <w:rPr>
                <w:rFonts w:hint="eastAsia"/>
              </w:rPr>
              <w:t>20</w:t>
            </w:r>
          </w:p>
        </w:tc>
        <w:tc>
          <w:tcPr>
            <w:tcW w:w="2333" w:type="dxa"/>
          </w:tcPr>
          <w:p w14:paraId="09FE9474">
            <w:pPr>
              <w:pStyle w:val="178"/>
            </w:pPr>
            <w:r>
              <w:rPr>
                <w:rFonts w:hint="eastAsia"/>
              </w:rPr>
              <w:t>6</w:t>
            </w:r>
          </w:p>
        </w:tc>
        <w:tc>
          <w:tcPr>
            <w:tcW w:w="2334" w:type="dxa"/>
          </w:tcPr>
          <w:p w14:paraId="0691D4E6">
            <w:pPr>
              <w:pStyle w:val="178"/>
            </w:pPr>
            <w:r>
              <w:rPr>
                <w:rFonts w:hint="eastAsia"/>
              </w:rPr>
              <w:t>浇筑、养护及施工能耗</w:t>
            </w:r>
          </w:p>
        </w:tc>
      </w:tr>
      <w:tr w14:paraId="6C22C8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tcPr>
          <w:p w14:paraId="7B9000D0">
            <w:pPr>
              <w:pStyle w:val="178"/>
            </w:pPr>
            <w:r>
              <w:rPr>
                <w:rFonts w:hint="eastAsia"/>
              </w:rPr>
              <w:t>使用与维护阶段</w:t>
            </w:r>
          </w:p>
        </w:tc>
        <w:tc>
          <w:tcPr>
            <w:tcW w:w="2333" w:type="dxa"/>
          </w:tcPr>
          <w:p w14:paraId="5E7C2EE9">
            <w:pPr>
              <w:pStyle w:val="178"/>
            </w:pPr>
            <w:r>
              <w:rPr>
                <w:rFonts w:hint="eastAsia"/>
              </w:rPr>
              <w:t>40</w:t>
            </w:r>
          </w:p>
        </w:tc>
        <w:tc>
          <w:tcPr>
            <w:tcW w:w="2333" w:type="dxa"/>
          </w:tcPr>
          <w:p w14:paraId="5D208A84">
            <w:pPr>
              <w:pStyle w:val="178"/>
            </w:pPr>
            <w:r>
              <w:rPr>
                <w:rFonts w:hint="eastAsia"/>
              </w:rPr>
              <w:t>12</w:t>
            </w:r>
          </w:p>
        </w:tc>
        <w:tc>
          <w:tcPr>
            <w:tcW w:w="2334" w:type="dxa"/>
          </w:tcPr>
          <w:p w14:paraId="446EDD0B">
            <w:pPr>
              <w:pStyle w:val="178"/>
            </w:pPr>
            <w:r>
              <w:rPr>
                <w:rFonts w:hint="eastAsia"/>
              </w:rPr>
              <w:t>修复与养护</w:t>
            </w:r>
          </w:p>
        </w:tc>
      </w:tr>
      <w:tr w14:paraId="631F6B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tcPr>
          <w:p w14:paraId="0D7F8B6B">
            <w:pPr>
              <w:pStyle w:val="178"/>
            </w:pPr>
            <w:r>
              <w:rPr>
                <w:rFonts w:hint="eastAsia"/>
              </w:rPr>
              <w:t>拆除与处置阶段</w:t>
            </w:r>
          </w:p>
        </w:tc>
        <w:tc>
          <w:tcPr>
            <w:tcW w:w="2333" w:type="dxa"/>
          </w:tcPr>
          <w:p w14:paraId="71143B0B">
            <w:pPr>
              <w:pStyle w:val="178"/>
            </w:pPr>
            <w:r>
              <w:rPr>
                <w:rFonts w:hint="eastAsia"/>
              </w:rPr>
              <w:t>15</w:t>
            </w:r>
          </w:p>
        </w:tc>
        <w:tc>
          <w:tcPr>
            <w:tcW w:w="2333" w:type="dxa"/>
          </w:tcPr>
          <w:p w14:paraId="302A1786">
            <w:pPr>
              <w:pStyle w:val="178"/>
            </w:pPr>
            <w:r>
              <w:rPr>
                <w:rFonts w:hint="eastAsia"/>
              </w:rPr>
              <w:t>5</w:t>
            </w:r>
          </w:p>
        </w:tc>
        <w:tc>
          <w:tcPr>
            <w:tcW w:w="2334" w:type="dxa"/>
          </w:tcPr>
          <w:p w14:paraId="59D53357">
            <w:pPr>
              <w:pStyle w:val="178"/>
            </w:pPr>
            <w:r>
              <w:rPr>
                <w:rFonts w:hint="eastAsia"/>
              </w:rPr>
              <w:t>拆除能耗及废弃物处理</w:t>
            </w:r>
          </w:p>
        </w:tc>
      </w:tr>
      <w:tr w14:paraId="1B7E18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tcPr>
          <w:p w14:paraId="476307AA">
            <w:pPr>
              <w:pStyle w:val="178"/>
            </w:pPr>
            <w:r>
              <w:rPr>
                <w:rFonts w:hint="eastAsia"/>
              </w:rPr>
              <w:t>再利用与回收减排</w:t>
            </w:r>
          </w:p>
        </w:tc>
        <w:tc>
          <w:tcPr>
            <w:tcW w:w="2333" w:type="dxa"/>
          </w:tcPr>
          <w:p w14:paraId="3D29D72E">
            <w:pPr>
              <w:pStyle w:val="178"/>
            </w:pPr>
            <w:r>
              <w:rPr>
                <w:rFonts w:hint="eastAsia"/>
              </w:rPr>
              <w:t>-10</w:t>
            </w:r>
          </w:p>
        </w:tc>
        <w:tc>
          <w:tcPr>
            <w:tcW w:w="2333" w:type="dxa"/>
          </w:tcPr>
          <w:p w14:paraId="0930D210">
            <w:pPr>
              <w:pStyle w:val="178"/>
            </w:pPr>
            <w:r>
              <w:rPr>
                <w:rFonts w:hint="eastAsia"/>
              </w:rPr>
              <w:t>-3</w:t>
            </w:r>
          </w:p>
        </w:tc>
        <w:tc>
          <w:tcPr>
            <w:tcW w:w="2334" w:type="dxa"/>
          </w:tcPr>
          <w:p w14:paraId="30F754D4">
            <w:pPr>
              <w:pStyle w:val="178"/>
            </w:pPr>
            <w:r>
              <w:rPr>
                <w:rFonts w:hint="eastAsia"/>
              </w:rPr>
              <w:t>骨料回收利用替代减排</w:t>
            </w:r>
          </w:p>
        </w:tc>
      </w:tr>
      <w:tr w14:paraId="3774FC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tcBorders>
              <w:bottom w:val="single" w:color="auto" w:sz="8" w:space="0"/>
            </w:tcBorders>
          </w:tcPr>
          <w:p w14:paraId="4F7F4F14">
            <w:pPr>
              <w:pStyle w:val="178"/>
            </w:pPr>
            <w:r>
              <w:rPr>
                <w:rFonts w:hint="eastAsia"/>
              </w:rPr>
              <w:t>合计</w:t>
            </w:r>
          </w:p>
        </w:tc>
        <w:tc>
          <w:tcPr>
            <w:tcW w:w="2333" w:type="dxa"/>
            <w:tcBorders>
              <w:bottom w:val="single" w:color="auto" w:sz="8" w:space="0"/>
            </w:tcBorders>
          </w:tcPr>
          <w:p w14:paraId="620984E9">
            <w:pPr>
              <w:pStyle w:val="178"/>
            </w:pPr>
            <w:r>
              <w:rPr>
                <w:rFonts w:hint="eastAsia"/>
              </w:rPr>
              <w:t>300</w:t>
            </w:r>
          </w:p>
        </w:tc>
        <w:tc>
          <w:tcPr>
            <w:tcW w:w="2333" w:type="dxa"/>
            <w:tcBorders>
              <w:bottom w:val="single" w:color="auto" w:sz="8" w:space="0"/>
            </w:tcBorders>
          </w:tcPr>
          <w:p w14:paraId="223CC5E6">
            <w:pPr>
              <w:pStyle w:val="178"/>
            </w:pPr>
            <w:r>
              <w:rPr>
                <w:rFonts w:hint="eastAsia"/>
              </w:rPr>
              <w:t>100</w:t>
            </w:r>
          </w:p>
        </w:tc>
        <w:tc>
          <w:tcPr>
            <w:tcW w:w="2334" w:type="dxa"/>
            <w:tcBorders>
              <w:bottom w:val="single" w:color="auto" w:sz="8" w:space="0"/>
            </w:tcBorders>
          </w:tcPr>
          <w:p w14:paraId="1080C793">
            <w:pPr>
              <w:pStyle w:val="178"/>
            </w:pPr>
          </w:p>
        </w:tc>
      </w:tr>
      <w:tr w14:paraId="7BCF7C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4"/>
            <w:tcBorders>
              <w:top w:val="single" w:color="auto" w:sz="8" w:space="0"/>
              <w:bottom w:val="single" w:color="auto" w:sz="8" w:space="0"/>
            </w:tcBorders>
            <w:vAlign w:val="center"/>
          </w:tcPr>
          <w:p w14:paraId="11942802">
            <w:pPr>
              <w:pStyle w:val="179"/>
            </w:pPr>
            <w:r>
              <w:rPr>
                <w:rFonts w:hint="eastAsia"/>
              </w:rPr>
              <w:t>以上数据仅为示例，实际核算结果应根据项目数据和评估边界确定。</w:t>
            </w:r>
          </w:p>
        </w:tc>
      </w:tr>
    </w:tbl>
    <w:p w14:paraId="75E642D5">
      <w:pPr>
        <w:pStyle w:val="104"/>
        <w:spacing w:before="240" w:after="240" w:line="360" w:lineRule="auto"/>
      </w:pPr>
      <w:bookmarkStart w:id="56" w:name="_Toc209821038"/>
      <w:r>
        <w:rPr>
          <w:rFonts w:hint="eastAsia"/>
        </w:rPr>
        <w:t>应用管理</w:t>
      </w:r>
      <w:bookmarkEnd w:id="56"/>
    </w:p>
    <w:p w14:paraId="1D9EEC67">
      <w:pPr>
        <w:pStyle w:val="105"/>
        <w:spacing w:before="120" w:after="120" w:line="360" w:lineRule="auto"/>
      </w:pPr>
      <w:r>
        <w:rPr>
          <w:rFonts w:hint="eastAsia"/>
        </w:rPr>
        <w:t>一般规定</w:t>
      </w:r>
    </w:p>
    <w:p w14:paraId="4D4E33A7">
      <w:pPr>
        <w:pStyle w:val="56"/>
        <w:spacing w:line="360" w:lineRule="auto"/>
        <w:ind w:firstLine="420"/>
      </w:pPr>
      <w:r>
        <w:rPr>
          <w:rFonts w:hint="eastAsia"/>
        </w:rPr>
        <w:t>碳排放评估结果不仅是环境管理和政策制定的重要依据，也是推动低碳混凝土产业链优化和绿色建筑发展的关键工具。评估结果应当在产品研发、项目实施和行业管理中得到充分应用，并形成持续改进机制。</w:t>
      </w:r>
    </w:p>
    <w:p w14:paraId="14579F12">
      <w:pPr>
        <w:pStyle w:val="105"/>
        <w:spacing w:before="120" w:after="120" w:line="360" w:lineRule="auto"/>
      </w:pPr>
      <w:r>
        <w:rPr>
          <w:rFonts w:hint="eastAsia"/>
        </w:rPr>
        <w:t>应用领域</w:t>
      </w:r>
    </w:p>
    <w:p w14:paraId="050EF813">
      <w:pPr>
        <w:pStyle w:val="56"/>
        <w:spacing w:line="360" w:lineRule="auto"/>
        <w:ind w:firstLine="420"/>
      </w:pPr>
      <w:r>
        <w:rPr>
          <w:rFonts w:hint="eastAsia"/>
        </w:rPr>
        <w:t>碳排放评估结果的应用应覆盖多个层面，主要包括：</w:t>
      </w:r>
    </w:p>
    <w:p w14:paraId="2A4FA4AE">
      <w:pPr>
        <w:pStyle w:val="132"/>
        <w:spacing w:line="360" w:lineRule="auto"/>
      </w:pPr>
      <w:r>
        <w:rPr>
          <w:rFonts w:hint="eastAsia"/>
        </w:rPr>
        <w:t>产品研发与优化：为低碳混凝土配合比设计、材料替代和生产工艺改进提供依据；</w:t>
      </w:r>
    </w:p>
    <w:p w14:paraId="4C6D79E4">
      <w:pPr>
        <w:pStyle w:val="132"/>
        <w:spacing w:line="360" w:lineRule="auto"/>
      </w:pPr>
      <w:r>
        <w:rPr>
          <w:rFonts w:hint="eastAsia"/>
        </w:rPr>
        <w:t>工程项目评价：作为绿色建筑认证、低碳工程评估和施工方案比选的重要指标；</w:t>
      </w:r>
    </w:p>
    <w:p w14:paraId="1EE9EFBE">
      <w:pPr>
        <w:pStyle w:val="132"/>
        <w:spacing w:line="360" w:lineRule="auto"/>
      </w:pPr>
      <w:r>
        <w:rPr>
          <w:rFonts w:hint="eastAsia"/>
        </w:rPr>
        <w:t>行业基准制定：支撑行业碳排放基准值和对标体系的建立，推动技术进步；</w:t>
      </w:r>
    </w:p>
    <w:p w14:paraId="0F9F07F8">
      <w:pPr>
        <w:pStyle w:val="132"/>
        <w:spacing w:line="360" w:lineRule="auto"/>
      </w:pPr>
      <w:r>
        <w:rPr>
          <w:rFonts w:hint="eastAsia"/>
        </w:rPr>
        <w:t>政策制定与监管：为政府制定减排政策、标准限额和激励机制提供数据支撑；</w:t>
      </w:r>
    </w:p>
    <w:p w14:paraId="6301748E">
      <w:pPr>
        <w:pStyle w:val="132"/>
        <w:spacing w:line="360" w:lineRule="auto"/>
      </w:pPr>
      <w:r>
        <w:rPr>
          <w:rFonts w:hint="eastAsia"/>
        </w:rPr>
        <w:t>市场信息披露：用于绿色建材标识、碳足迹标识及企业社会责任报告。</w:t>
      </w:r>
    </w:p>
    <w:p w14:paraId="6713A003">
      <w:pPr>
        <w:pStyle w:val="105"/>
        <w:spacing w:before="120" w:after="120" w:line="360" w:lineRule="auto"/>
      </w:pPr>
      <w:r>
        <w:rPr>
          <w:rFonts w:hint="eastAsia"/>
        </w:rPr>
        <w:t>管理要求</w:t>
      </w:r>
    </w:p>
    <w:p w14:paraId="355406EF">
      <w:pPr>
        <w:pStyle w:val="56"/>
        <w:spacing w:line="360" w:lineRule="auto"/>
        <w:ind w:firstLine="420"/>
      </w:pPr>
      <w:r>
        <w:rPr>
          <w:rFonts w:hint="eastAsia"/>
        </w:rPr>
        <w:t>为了确保评估结果的科学性和应用效果，相关单位应在管理上做到以下几点：</w:t>
      </w:r>
    </w:p>
    <w:p w14:paraId="739ACD45">
      <w:pPr>
        <w:pStyle w:val="132"/>
        <w:spacing w:line="360" w:lineRule="auto"/>
      </w:pPr>
      <w:r>
        <w:rPr>
          <w:rFonts w:hint="eastAsia"/>
        </w:rPr>
        <w:t>建立碳排放评估与质量控制体系，明确责任部门与工作流程；</w:t>
      </w:r>
    </w:p>
    <w:p w14:paraId="14C1D717">
      <w:pPr>
        <w:pStyle w:val="132"/>
        <w:spacing w:line="360" w:lineRule="auto"/>
      </w:pPr>
      <w:r>
        <w:rPr>
          <w:rFonts w:hint="eastAsia"/>
        </w:rPr>
        <w:t>定期开展碳排放数据收集与更新，保持结果的时效性；</w:t>
      </w:r>
    </w:p>
    <w:p w14:paraId="6B654D1E">
      <w:pPr>
        <w:pStyle w:val="132"/>
        <w:spacing w:line="360" w:lineRule="auto"/>
      </w:pPr>
      <w:r>
        <w:rPr>
          <w:rFonts w:hint="eastAsia"/>
        </w:rPr>
        <w:t>采用信息化平台，实现数据存储、分析与共享；</w:t>
      </w:r>
    </w:p>
    <w:p w14:paraId="284C67D8">
      <w:pPr>
        <w:pStyle w:val="132"/>
        <w:spacing w:line="360" w:lineRule="auto"/>
      </w:pPr>
      <w:r>
        <w:rPr>
          <w:rFonts w:hint="eastAsia"/>
        </w:rPr>
        <w:t>建立第三方审核和结果公示制度，提升结果的公信力与透明度。</w:t>
      </w:r>
    </w:p>
    <w:p w14:paraId="124608C2">
      <w:pPr>
        <w:pStyle w:val="105"/>
        <w:spacing w:before="120" w:after="120" w:line="360" w:lineRule="auto"/>
      </w:pPr>
      <w:r>
        <w:rPr>
          <w:rFonts w:hint="eastAsia"/>
        </w:rPr>
        <w:t>信息披露</w:t>
      </w:r>
    </w:p>
    <w:p w14:paraId="3396E342">
      <w:pPr>
        <w:pStyle w:val="56"/>
        <w:spacing w:line="360" w:lineRule="auto"/>
        <w:ind w:firstLine="420"/>
      </w:pPr>
      <w:r>
        <w:rPr>
          <w:rFonts w:hint="eastAsia"/>
        </w:rPr>
        <w:t>评估结果在公开披露时，应注意信息的完整性与可理解性。披露内容宜包括评估方法、系统边界、总排放量、分阶段结果及主要减排措施。对于涉及商业机密的数据，可采用加密、脱敏或区间值的方式进行处理。</w:t>
      </w:r>
    </w:p>
    <w:p w14:paraId="14B80215">
      <w:pPr>
        <w:pStyle w:val="105"/>
        <w:spacing w:before="120" w:after="120" w:line="360" w:lineRule="auto"/>
      </w:pPr>
      <w:r>
        <w:rPr>
          <w:rFonts w:hint="eastAsia"/>
        </w:rPr>
        <w:t>应用示例</w:t>
      </w:r>
    </w:p>
    <w:p w14:paraId="2B102A00">
      <w:pPr>
        <w:pStyle w:val="56"/>
        <w:spacing w:line="360" w:lineRule="auto"/>
        <w:ind w:firstLine="420"/>
      </w:pPr>
      <w:r>
        <w:rPr>
          <w:rFonts w:hint="eastAsia"/>
        </w:rPr>
        <w:t>为方便企业或机构开展管理与应用，碳排放评估结果可通过信息表格形式进行归纳，示例如下：</w:t>
      </w:r>
    </w:p>
    <w:p w14:paraId="401CC1A3">
      <w:pPr>
        <w:pStyle w:val="112"/>
        <w:spacing w:before="120" w:after="120" w:line="360" w:lineRule="auto"/>
      </w:pPr>
      <w:r>
        <w:rPr>
          <w:rFonts w:hint="eastAsia"/>
        </w:rPr>
        <w:t>碳排放评估结果应用示例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75"/>
        <w:gridCol w:w="3827"/>
        <w:gridCol w:w="3532"/>
      </w:tblGrid>
      <w:tr w14:paraId="6F2C64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975" w:type="dxa"/>
            <w:tcBorders>
              <w:top w:val="single" w:color="auto" w:sz="8" w:space="0"/>
              <w:bottom w:val="single" w:color="auto" w:sz="8" w:space="0"/>
            </w:tcBorders>
          </w:tcPr>
          <w:p w14:paraId="2BEBBAF0">
            <w:pPr>
              <w:pStyle w:val="178"/>
            </w:pPr>
            <w:r>
              <w:rPr>
                <w:rFonts w:hint="eastAsia"/>
              </w:rPr>
              <w:t>应用领域</w:t>
            </w:r>
          </w:p>
        </w:tc>
        <w:tc>
          <w:tcPr>
            <w:tcW w:w="3827" w:type="dxa"/>
            <w:tcBorders>
              <w:top w:val="single" w:color="auto" w:sz="8" w:space="0"/>
              <w:bottom w:val="single" w:color="auto" w:sz="8" w:space="0"/>
            </w:tcBorders>
          </w:tcPr>
          <w:p w14:paraId="0D6F4608">
            <w:pPr>
              <w:pStyle w:val="178"/>
            </w:pPr>
            <w:r>
              <w:rPr>
                <w:rFonts w:hint="eastAsia"/>
              </w:rPr>
              <w:t>应用内容</w:t>
            </w:r>
          </w:p>
        </w:tc>
        <w:tc>
          <w:tcPr>
            <w:tcW w:w="3532" w:type="dxa"/>
            <w:tcBorders>
              <w:top w:val="single" w:color="auto" w:sz="8" w:space="0"/>
              <w:bottom w:val="single" w:color="auto" w:sz="8" w:space="0"/>
            </w:tcBorders>
          </w:tcPr>
          <w:p w14:paraId="00DE6745">
            <w:pPr>
              <w:pStyle w:val="178"/>
            </w:pPr>
            <w:r>
              <w:rPr>
                <w:rFonts w:hint="eastAsia"/>
              </w:rPr>
              <w:t>具体措施或表现形式</w:t>
            </w:r>
          </w:p>
        </w:tc>
      </w:tr>
      <w:tr w14:paraId="371005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Borders>
              <w:top w:val="single" w:color="auto" w:sz="8" w:space="0"/>
            </w:tcBorders>
          </w:tcPr>
          <w:p w14:paraId="151F6445">
            <w:pPr>
              <w:pStyle w:val="178"/>
            </w:pPr>
            <w:r>
              <w:rPr>
                <w:rFonts w:hint="eastAsia"/>
              </w:rPr>
              <w:t>产品研发优化</w:t>
            </w:r>
          </w:p>
        </w:tc>
        <w:tc>
          <w:tcPr>
            <w:tcW w:w="3827" w:type="dxa"/>
            <w:tcBorders>
              <w:top w:val="single" w:color="auto" w:sz="8" w:space="0"/>
            </w:tcBorders>
          </w:tcPr>
          <w:p w14:paraId="70567039">
            <w:pPr>
              <w:pStyle w:val="178"/>
            </w:pPr>
            <w:r>
              <w:rPr>
                <w:rFonts w:hint="eastAsia"/>
              </w:rPr>
              <w:t>确定主要排放源并改进配合比</w:t>
            </w:r>
          </w:p>
        </w:tc>
        <w:tc>
          <w:tcPr>
            <w:tcW w:w="3532" w:type="dxa"/>
            <w:tcBorders>
              <w:top w:val="single" w:color="auto" w:sz="8" w:space="0"/>
            </w:tcBorders>
          </w:tcPr>
          <w:p w14:paraId="3F1C2DA6">
            <w:pPr>
              <w:pStyle w:val="178"/>
            </w:pPr>
            <w:r>
              <w:rPr>
                <w:rFonts w:hint="eastAsia"/>
              </w:rPr>
              <w:t>增加矿物掺合料、降低熟料用量</w:t>
            </w:r>
          </w:p>
        </w:tc>
      </w:tr>
      <w:tr w14:paraId="37AFE6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7CAA5BE8">
            <w:pPr>
              <w:pStyle w:val="178"/>
            </w:pPr>
            <w:r>
              <w:rPr>
                <w:rFonts w:hint="eastAsia"/>
              </w:rPr>
              <w:t>工程项目评价</w:t>
            </w:r>
          </w:p>
        </w:tc>
        <w:tc>
          <w:tcPr>
            <w:tcW w:w="3827" w:type="dxa"/>
          </w:tcPr>
          <w:p w14:paraId="2E94CA0B">
            <w:pPr>
              <w:pStyle w:val="178"/>
            </w:pPr>
            <w:r>
              <w:rPr>
                <w:rFonts w:hint="eastAsia"/>
              </w:rPr>
              <w:t>对比不同方案的全生命周期排放</w:t>
            </w:r>
          </w:p>
        </w:tc>
        <w:tc>
          <w:tcPr>
            <w:tcW w:w="3532" w:type="dxa"/>
          </w:tcPr>
          <w:p w14:paraId="1D17DE17">
            <w:pPr>
              <w:pStyle w:val="178"/>
            </w:pPr>
            <w:r>
              <w:rPr>
                <w:rFonts w:hint="eastAsia"/>
              </w:rPr>
              <w:t>优选运输距离短、施工能耗低的方案</w:t>
            </w:r>
          </w:p>
        </w:tc>
      </w:tr>
      <w:tr w14:paraId="07D1DE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72392D5D">
            <w:pPr>
              <w:pStyle w:val="178"/>
            </w:pPr>
            <w:r>
              <w:rPr>
                <w:rFonts w:hint="eastAsia"/>
              </w:rPr>
              <w:t>行业基准制定</w:t>
            </w:r>
          </w:p>
        </w:tc>
        <w:tc>
          <w:tcPr>
            <w:tcW w:w="3827" w:type="dxa"/>
          </w:tcPr>
          <w:p w14:paraId="168E2AA5">
            <w:pPr>
              <w:pStyle w:val="178"/>
            </w:pPr>
            <w:r>
              <w:rPr>
                <w:rFonts w:hint="eastAsia"/>
              </w:rPr>
              <w:t>建立不同类型混凝土的碳排放基准值</w:t>
            </w:r>
          </w:p>
        </w:tc>
        <w:tc>
          <w:tcPr>
            <w:tcW w:w="3532" w:type="dxa"/>
          </w:tcPr>
          <w:p w14:paraId="6706B81B">
            <w:pPr>
              <w:pStyle w:val="178"/>
            </w:pPr>
            <w:r>
              <w:rPr>
                <w:rFonts w:hint="eastAsia"/>
              </w:rPr>
              <w:t>制定行业平均水平和先进值</w:t>
            </w:r>
          </w:p>
        </w:tc>
      </w:tr>
      <w:tr w14:paraId="5B6F40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19534235">
            <w:pPr>
              <w:pStyle w:val="178"/>
            </w:pPr>
            <w:r>
              <w:rPr>
                <w:rFonts w:hint="eastAsia"/>
              </w:rPr>
              <w:t>政策制定监管</w:t>
            </w:r>
          </w:p>
        </w:tc>
        <w:tc>
          <w:tcPr>
            <w:tcW w:w="3827" w:type="dxa"/>
          </w:tcPr>
          <w:p w14:paraId="2A1F9836">
            <w:pPr>
              <w:pStyle w:val="178"/>
            </w:pPr>
            <w:r>
              <w:rPr>
                <w:rFonts w:hint="eastAsia"/>
              </w:rPr>
              <w:t>支撑绿色建材推广与减排激励政策</w:t>
            </w:r>
          </w:p>
        </w:tc>
        <w:tc>
          <w:tcPr>
            <w:tcW w:w="3532" w:type="dxa"/>
          </w:tcPr>
          <w:p w14:paraId="191F28DC">
            <w:pPr>
              <w:pStyle w:val="178"/>
            </w:pPr>
            <w:r>
              <w:rPr>
                <w:rFonts w:hint="eastAsia"/>
              </w:rPr>
              <w:t>碳减排奖励、绿色建筑强制比例</w:t>
            </w:r>
          </w:p>
        </w:tc>
      </w:tr>
      <w:tr w14:paraId="20FB2B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55FF2B9C">
            <w:pPr>
              <w:pStyle w:val="178"/>
            </w:pPr>
            <w:r>
              <w:rPr>
                <w:rFonts w:hint="eastAsia"/>
              </w:rPr>
              <w:t>市场信息披露</w:t>
            </w:r>
          </w:p>
        </w:tc>
        <w:tc>
          <w:tcPr>
            <w:tcW w:w="3827" w:type="dxa"/>
          </w:tcPr>
          <w:p w14:paraId="3938F144">
            <w:pPr>
              <w:pStyle w:val="178"/>
            </w:pPr>
            <w:r>
              <w:rPr>
                <w:rFonts w:hint="eastAsia"/>
              </w:rPr>
              <w:t>向社会公开碳排放结果</w:t>
            </w:r>
          </w:p>
        </w:tc>
        <w:tc>
          <w:tcPr>
            <w:tcW w:w="3532" w:type="dxa"/>
          </w:tcPr>
          <w:p w14:paraId="588C7F44">
            <w:pPr>
              <w:pStyle w:val="178"/>
            </w:pPr>
            <w:r>
              <w:rPr>
                <w:rFonts w:hint="eastAsia"/>
              </w:rPr>
              <w:t>发布碳足迹标签或年度ESG报告</w:t>
            </w:r>
          </w:p>
        </w:tc>
      </w:tr>
    </w:tbl>
    <w:p w14:paraId="1274819B">
      <w:pPr>
        <w:pStyle w:val="104"/>
        <w:spacing w:before="240" w:after="240" w:line="360" w:lineRule="auto"/>
      </w:pPr>
      <w:bookmarkStart w:id="57" w:name="_Toc209821039"/>
      <w:r>
        <w:rPr>
          <w:rFonts w:hint="eastAsia"/>
        </w:rPr>
        <w:t>监督改进</w:t>
      </w:r>
      <w:bookmarkEnd w:id="57"/>
    </w:p>
    <w:p w14:paraId="1A9CCD7C">
      <w:pPr>
        <w:pStyle w:val="105"/>
        <w:spacing w:before="120" w:after="120" w:line="360" w:lineRule="auto"/>
      </w:pPr>
      <w:r>
        <w:rPr>
          <w:rFonts w:hint="eastAsia"/>
        </w:rPr>
        <w:t>一般规定</w:t>
      </w:r>
    </w:p>
    <w:p w14:paraId="37840DC1">
      <w:pPr>
        <w:pStyle w:val="56"/>
        <w:spacing w:line="360" w:lineRule="auto"/>
        <w:ind w:firstLine="420"/>
      </w:pPr>
      <w:r>
        <w:rPr>
          <w:rFonts w:hint="eastAsia"/>
        </w:rPr>
        <w:t>低碳混凝土全生命周期碳排放评估是一项动态性工作，应建立监督与改进机制，以保证评估过程和结果的科学性、规范性与适用性。相关单位应在行业主管部门的指导下，定期开展监督检查，并根据行业发展和技术进步不断优化评估方法。</w:t>
      </w:r>
    </w:p>
    <w:p w14:paraId="742B0514">
      <w:pPr>
        <w:pStyle w:val="105"/>
        <w:spacing w:before="120" w:after="120" w:line="360" w:lineRule="auto"/>
      </w:pPr>
      <w:r>
        <w:rPr>
          <w:rFonts w:hint="eastAsia"/>
        </w:rPr>
        <w:t>监督要求</w:t>
      </w:r>
    </w:p>
    <w:p w14:paraId="7F3E2B95">
      <w:pPr>
        <w:pStyle w:val="56"/>
        <w:spacing w:line="360" w:lineRule="auto"/>
        <w:ind w:firstLine="420"/>
      </w:pPr>
      <w:r>
        <w:rPr>
          <w:rFonts w:hint="eastAsia"/>
        </w:rPr>
        <w:t>为确保评估结果的有效性和公信力，应在监督中重点关注以下方面：</w:t>
      </w:r>
    </w:p>
    <w:p w14:paraId="0F1AE7DF">
      <w:pPr>
        <w:pStyle w:val="132"/>
        <w:spacing w:line="360" w:lineRule="auto"/>
      </w:pPr>
      <w:r>
        <w:rPr>
          <w:rFonts w:hint="eastAsia"/>
        </w:rPr>
        <w:t>评估过程合规性：检查系统边界、功能单位、数据来源和计算方法是否符合本文件要求；</w:t>
      </w:r>
    </w:p>
    <w:p w14:paraId="163E097E">
      <w:pPr>
        <w:pStyle w:val="132"/>
        <w:spacing w:line="360" w:lineRule="auto"/>
      </w:pPr>
      <w:r>
        <w:rPr>
          <w:rFonts w:hint="eastAsia"/>
        </w:rPr>
        <w:t>数据质量与透明性：核实数据的完整性、代表性和可追溯性；</w:t>
      </w:r>
    </w:p>
    <w:p w14:paraId="64FED214">
      <w:pPr>
        <w:pStyle w:val="132"/>
        <w:spacing w:line="360" w:lineRule="auto"/>
      </w:pPr>
      <w:r>
        <w:rPr>
          <w:rFonts w:hint="eastAsia"/>
        </w:rPr>
        <w:t>结果真实性：对照企业或项目实际情况，避免虚报、瞒报或遗漏；</w:t>
      </w:r>
    </w:p>
    <w:p w14:paraId="1ECE4905">
      <w:pPr>
        <w:pStyle w:val="132"/>
        <w:spacing w:line="360" w:lineRule="auto"/>
      </w:pPr>
      <w:r>
        <w:rPr>
          <w:rFonts w:hint="eastAsia"/>
        </w:rPr>
        <w:t>第三方审核：鼓励引入独立第三方机构开展评估结果核查，提高权威性。</w:t>
      </w:r>
    </w:p>
    <w:p w14:paraId="64EB58BF">
      <w:pPr>
        <w:pStyle w:val="105"/>
        <w:spacing w:before="120" w:after="120" w:line="360" w:lineRule="auto"/>
      </w:pPr>
      <w:r>
        <w:rPr>
          <w:rFonts w:hint="eastAsia"/>
        </w:rPr>
        <w:t>改进措施</w:t>
      </w:r>
    </w:p>
    <w:p w14:paraId="498B6553">
      <w:pPr>
        <w:pStyle w:val="56"/>
        <w:spacing w:line="360" w:lineRule="auto"/>
        <w:ind w:firstLine="420"/>
      </w:pPr>
      <w:r>
        <w:rPr>
          <w:rFonts w:hint="eastAsia"/>
        </w:rPr>
        <w:t>在监督过程中发现的问题，应及时采取改进措施。改进应重点体现在以下几个方面：</w:t>
      </w:r>
    </w:p>
    <w:p w14:paraId="03BAF18E">
      <w:pPr>
        <w:pStyle w:val="132"/>
        <w:spacing w:line="360" w:lineRule="auto"/>
      </w:pPr>
      <w:r>
        <w:rPr>
          <w:rFonts w:hint="eastAsia"/>
        </w:rPr>
        <w:t>定期更新排放因子，反映能源结构与技术进步的变化；</w:t>
      </w:r>
    </w:p>
    <w:p w14:paraId="35D1843E">
      <w:pPr>
        <w:pStyle w:val="132"/>
        <w:spacing w:line="360" w:lineRule="auto"/>
      </w:pPr>
      <w:r>
        <w:rPr>
          <w:rFonts w:hint="eastAsia"/>
        </w:rPr>
        <w:t>优化数据收集方式，提升信息化与自动化水平；</w:t>
      </w:r>
    </w:p>
    <w:p w14:paraId="41CB0615">
      <w:pPr>
        <w:pStyle w:val="132"/>
        <w:spacing w:line="360" w:lineRule="auto"/>
      </w:pPr>
      <w:r>
        <w:rPr>
          <w:rFonts w:hint="eastAsia"/>
        </w:rPr>
        <w:t>建立企业内部循环改进机制，将评估结果反馈至研发、生产和管理环节；</w:t>
      </w:r>
    </w:p>
    <w:p w14:paraId="24B51904">
      <w:pPr>
        <w:pStyle w:val="132"/>
        <w:spacing w:line="360" w:lineRule="auto"/>
      </w:pPr>
      <w:r>
        <w:rPr>
          <w:rFonts w:hint="eastAsia"/>
        </w:rPr>
        <w:t>推动行业数据库建设，实现数据共享与对标。</w:t>
      </w:r>
    </w:p>
    <w:p w14:paraId="1617EBF2">
      <w:pPr>
        <w:pStyle w:val="105"/>
        <w:spacing w:before="120" w:after="120" w:line="360" w:lineRule="auto"/>
      </w:pPr>
      <w:r>
        <w:rPr>
          <w:rFonts w:hint="eastAsia"/>
        </w:rPr>
        <w:t>持续改进机制</w:t>
      </w:r>
    </w:p>
    <w:p w14:paraId="170409EF">
      <w:pPr>
        <w:pStyle w:val="56"/>
        <w:spacing w:line="360" w:lineRule="auto"/>
        <w:ind w:firstLine="420"/>
      </w:pPr>
      <w:r>
        <w:rPr>
          <w:rFonts w:hint="eastAsia"/>
        </w:rPr>
        <w:t>持续改进是保证评估工作长期有效的关键。相关单位应将碳排放评估纳入日常管理，并通过以下方式实现动态提升：</w:t>
      </w:r>
    </w:p>
    <w:p w14:paraId="74AD0ECB">
      <w:pPr>
        <w:pStyle w:val="132"/>
        <w:spacing w:line="360" w:lineRule="auto"/>
      </w:pPr>
      <w:r>
        <w:rPr>
          <w:rFonts w:hint="eastAsia"/>
        </w:rPr>
        <w:t>定期复核和修订评估方法；</w:t>
      </w:r>
    </w:p>
    <w:p w14:paraId="3E008E29">
      <w:pPr>
        <w:pStyle w:val="132"/>
        <w:spacing w:line="360" w:lineRule="auto"/>
      </w:pPr>
      <w:r>
        <w:rPr>
          <w:rFonts w:hint="eastAsia"/>
        </w:rPr>
        <w:t>根据行业先进经验更新评估边界和功能单位；</w:t>
      </w:r>
    </w:p>
    <w:p w14:paraId="07E01F84">
      <w:pPr>
        <w:pStyle w:val="132"/>
        <w:spacing w:line="360" w:lineRule="auto"/>
      </w:pPr>
      <w:r>
        <w:rPr>
          <w:rFonts w:hint="eastAsia"/>
        </w:rPr>
        <w:t>建立评估结果的年度跟踪机制。</w:t>
      </w:r>
    </w:p>
    <w:bookmarkEnd w:id="26"/>
    <w:p w14:paraId="4D2B13A8">
      <w:pPr>
        <w:pStyle w:val="56"/>
        <w:ind w:firstLine="0" w:firstLineChars="0"/>
        <w:jc w:val="center"/>
      </w:pPr>
      <w:bookmarkStart w:id="58" w:name="BookMark8"/>
      <w:r>
        <w:drawing>
          <wp:inline distT="0" distB="0" distL="0" distR="0">
            <wp:extent cx="1485900" cy="317500"/>
            <wp:effectExtent l="0" t="0" r="0" b="6350"/>
            <wp:docPr id="1127793913" name="图片 3"/>
            <wp:cNvGraphicFramePr/>
            <a:graphic xmlns:a="http://schemas.openxmlformats.org/drawingml/2006/main">
              <a:graphicData uri="http://schemas.openxmlformats.org/drawingml/2006/picture">
                <pic:pic xmlns:pic="http://schemas.openxmlformats.org/drawingml/2006/picture">
                  <pic:nvPicPr>
                    <pic:cNvPr id="1127793913" name="图片 3"/>
                    <pic:cNvPicPr/>
                  </pic:nvPicPr>
                  <pic:blipFill>
                    <a:blip r:embed="rId3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8"/>
    </w:p>
    <w:sectPr>
      <w:headerReference r:id="rId24" w:type="default"/>
      <w:footerReference r:id="rId26" w:type="default"/>
      <w:headerReference r:id="rId25" w:type="even"/>
      <w:footerReference r:id="rId27"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AB161">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76579">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9690B">
    <w:pPr>
      <w:pStyle w:val="51"/>
    </w:pPr>
    <w:r>
      <w:fldChar w:fldCharType="begin"/>
    </w:r>
    <w:r>
      <w:instrText xml:space="preserve"> PAGE   \* MERGEFORMAT \* MERGEFORMAT </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A94E3">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7BAE1">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F4FF8">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D875A">
    <w:pPr>
      <w:pStyle w:val="51"/>
    </w:pPr>
    <w:r>
      <w:fldChar w:fldCharType="begin"/>
    </w:r>
    <w:r>
      <w:instrText xml:space="preserve"> PAGE   \* MERGEFORMAT \* MERGEFORMAT </w:instrText>
    </w:r>
    <w:r>
      <w:fldChar w:fldCharType="separate"/>
    </w:r>
    <w: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0C4A8">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CEC95">
    <w:pPr>
      <w:pStyle w:val="51"/>
    </w:pPr>
    <w:r>
      <w:fldChar w:fldCharType="begin"/>
    </w:r>
    <w:r>
      <w:instrText xml:space="preserve"> PAGE   \* MERGEFORMAT \* MERGEFORMAT </w:instrText>
    </w:r>
    <w:r>
      <w:fldChar w:fldCharType="separate"/>
    </w:r>
    <w:r>
      <w:t>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291DE">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E5A32">
    <w:pPr>
      <w:pStyle w:val="51"/>
    </w:pPr>
    <w:r>
      <w:fldChar w:fldCharType="begin"/>
    </w:r>
    <w:r>
      <w:instrText xml:space="preserve"> PAGE   \* MERGEFORMAT \* MERGEFORMAT </w:instrText>
    </w:r>
    <w:r>
      <w:fldChar w:fldCharType="separate"/>
    </w:r>
    <w:r>
      <w:t>III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C8A8">
    <w:pPr>
      <w:pStyle w:val="18"/>
      <w:wordWrap w:val="0"/>
      <w:jc w:val="right"/>
      <w:rPr>
        <w:rFonts w:ascii="黑体" w:hAnsi="黑体" w:eastAsia="黑体"/>
      </w:rPr>
    </w:pPr>
    <w:r>
      <w:pict>
        <v:shape id="PowerPlusWaterMarkObject59875283" o:spid="_x0000_s1028" o:spt="136" type="#_x0000_t136" style="position:absolute;left:0pt;height:59.9pt;width:599.4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EB30A">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0083—2025</w:t>
    </w:r>
    <w:r>
      <w:rPr>
        <w:rFonts w:hint="eastAsia"/>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FBA95">
    <w:pPr>
      <w:pStyle w:val="61"/>
    </w:pPr>
    <w:r>
      <w:pict>
        <v:shape id="_x0000_s1033" o:spid="_x0000_s1033" o:spt="136" type="#_x0000_t136" style="position:absolute;left:0pt;height:59.9pt;width:599.4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r>
      <w:fldChar w:fldCharType="begin"/>
    </w:r>
    <w:r>
      <w:instrText xml:space="preserve"> STYLEREF  标准文件_文件编号  \* MERGEFORMAT </w:instrText>
    </w:r>
    <w:r>
      <w:fldChar w:fldCharType="separate"/>
    </w:r>
    <w:r>
      <w:t>T/XJBX 0083—2025</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BAA23">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0083—2025</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F0166">
    <w:pPr>
      <w:pStyle w:val="18"/>
    </w:pPr>
    <w:r>
      <w:pict>
        <v:shape id="PowerPlusWaterMarkObject59875282" o:spid="_x0000_s1027" o:spt="136" type="#_x0000_t136" style="position:absolute;left:0pt;height:59.9pt;width:599.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B2C0B">
    <w:pPr>
      <w:pStyle w:val="18"/>
      <w:jc w:val="both"/>
      <w:rPr>
        <w:sz w:val="2"/>
        <w:szCs w:val="2"/>
      </w:rPr>
    </w:pPr>
    <w:r>
      <w:pict>
        <v:shape id="PowerPlusWaterMarkObject59875281" o:spid="_x0000_s1026" o:spt="136" type="#_x0000_t136" style="position:absolute;left:0pt;height:59.9pt;width:599.4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5318">
    <w:pPr>
      <w:pStyle w:val="61"/>
    </w:pPr>
    <w:r>
      <w:pict>
        <v:shape id="PowerPlusWaterMarkObject59875286" o:spid="_x0000_s1031" o:spt="136" type="#_x0000_t136" style="position:absolute;left:0pt;height:59.9pt;width:599.4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r>
      <w:fldChar w:fldCharType="begin"/>
    </w:r>
    <w:r>
      <w:instrText xml:space="preserve"> STYLEREF  标准文件_文件编号  \* MERGEFORMAT </w:instrText>
    </w:r>
    <w:r>
      <w:fldChar w:fldCharType="separate"/>
    </w:r>
    <w:r>
      <w:t>T/XJBX 0083—2025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ADBAF">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T/XJBX 0083—2025</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B679D">
    <w:pPr>
      <w:pStyle w:val="18"/>
    </w:pPr>
    <w:r>
      <w:pict>
        <v:shape id="PowerPlusWaterMarkObject59875284" o:spid="_x0000_s1029" o:spt="136" type="#_x0000_t136" style="position:absolute;left:0pt;height:59.9pt;width:599.4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778B5">
    <w:pPr>
      <w:pStyle w:val="61"/>
    </w:pPr>
    <w:r>
      <w:pict>
        <v:shape id="_x0000_s1034" o:spid="_x0000_s1034" o:spt="136" type="#_x0000_t136" style="position:absolute;left:0pt;height:59.9pt;width:599.4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r>
      <w:fldChar w:fldCharType="begin"/>
    </w:r>
    <w:r>
      <w:instrText xml:space="preserve"> STYLEREF  标准文件_文件编号  \* MERGEFORMAT </w:instrText>
    </w:r>
    <w:r>
      <w:fldChar w:fldCharType="separate"/>
    </w:r>
    <w:r>
      <w:t>T/XJBX 0083—2025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7DFA9">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0083—2025</w:t>
    </w:r>
    <w:r>
      <w:rPr>
        <w:rFonts w:hint="eastAsia"/>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6A3DF">
    <w:pPr>
      <w:pStyle w:val="61"/>
    </w:pPr>
    <w:r>
      <w:pict>
        <v:shape id="_x0000_s1032" o:spid="_x0000_s1032" o:spt="136" type="#_x0000_t136" style="position:absolute;left:0pt;height:59.9pt;width:599.4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r>
      <w:fldChar w:fldCharType="begin"/>
    </w:r>
    <w:r>
      <w:instrText xml:space="preserve"> STYLEREF  标准文件_文件编号  \* MERGEFORMAT </w:instrText>
    </w:r>
    <w:r>
      <w:fldChar w:fldCharType="separate"/>
    </w:r>
    <w:r>
      <w:t>T/XJBX 0083—2025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Y2szQ2NLcwNDU1NTFW0lEKTi0uzszPAykwrgUAV/plSSwAAAA="/>
  </w:docVars>
  <w:rsids>
    <w:rsidRoot w:val="00110741"/>
    <w:rsid w:val="0000040A"/>
    <w:rsid w:val="00000A94"/>
    <w:rsid w:val="00001972"/>
    <w:rsid w:val="00001D9A"/>
    <w:rsid w:val="00002596"/>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6D28"/>
    <w:rsid w:val="00087A77"/>
    <w:rsid w:val="00090CA6"/>
    <w:rsid w:val="00091F1E"/>
    <w:rsid w:val="00092B8A"/>
    <w:rsid w:val="00092FB0"/>
    <w:rsid w:val="000934C5"/>
    <w:rsid w:val="00093D25"/>
    <w:rsid w:val="00093DAB"/>
    <w:rsid w:val="00094D73"/>
    <w:rsid w:val="00095F3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0741"/>
    <w:rsid w:val="00113B1E"/>
    <w:rsid w:val="0011711C"/>
    <w:rsid w:val="00124E4F"/>
    <w:rsid w:val="001260B7"/>
    <w:rsid w:val="001265CB"/>
    <w:rsid w:val="00126A51"/>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A"/>
    <w:rsid w:val="001649EB"/>
    <w:rsid w:val="00164BAF"/>
    <w:rsid w:val="00164FA8"/>
    <w:rsid w:val="00165065"/>
    <w:rsid w:val="00165434"/>
    <w:rsid w:val="0016580B"/>
    <w:rsid w:val="00165824"/>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049"/>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12A8"/>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2AD5"/>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7F66"/>
    <w:rsid w:val="006015CE"/>
    <w:rsid w:val="00604784"/>
    <w:rsid w:val="00606419"/>
    <w:rsid w:val="00607D29"/>
    <w:rsid w:val="00612952"/>
    <w:rsid w:val="00614CC1"/>
    <w:rsid w:val="00615A9D"/>
    <w:rsid w:val="00617387"/>
    <w:rsid w:val="006205D6"/>
    <w:rsid w:val="00623E47"/>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187B"/>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576"/>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77F39"/>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47E77"/>
    <w:rsid w:val="00C521D6"/>
    <w:rsid w:val="00C55232"/>
    <w:rsid w:val="00C553A4"/>
    <w:rsid w:val="00C55A06"/>
    <w:rsid w:val="00C55D03"/>
    <w:rsid w:val="00C601BC"/>
    <w:rsid w:val="00C6329F"/>
    <w:rsid w:val="00C63340"/>
    <w:rsid w:val="00C643F9"/>
    <w:rsid w:val="00C64E95"/>
    <w:rsid w:val="00C70FFA"/>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3D94"/>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3C96"/>
    <w:rsid w:val="00E15CCD"/>
    <w:rsid w:val="00E202EF"/>
    <w:rsid w:val="00E20F71"/>
    <w:rsid w:val="00E210B5"/>
    <w:rsid w:val="00E2552F"/>
    <w:rsid w:val="00E3137A"/>
    <w:rsid w:val="00E32CCF"/>
    <w:rsid w:val="00E34A98"/>
    <w:rsid w:val="00E35D1E"/>
    <w:rsid w:val="00E364F9"/>
    <w:rsid w:val="00E365FA"/>
    <w:rsid w:val="00E36789"/>
    <w:rsid w:val="00E44A83"/>
    <w:rsid w:val="00E4698E"/>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1F4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64024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6" Type="http://schemas.openxmlformats.org/officeDocument/2006/relationships/glossaryDocument" Target="glossary/document.xml"/><Relationship Id="rId35" Type="http://schemas.openxmlformats.org/officeDocument/2006/relationships/fontTable" Target="fontTable.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3.jpeg"/><Relationship Id="rId30" Type="http://schemas.openxmlformats.org/officeDocument/2006/relationships/image" Target="media/image2.png"/><Relationship Id="rId3" Type="http://schemas.openxmlformats.org/officeDocument/2006/relationships/footnotes" Target="footnotes.xml"/><Relationship Id="rId29" Type="http://schemas.openxmlformats.org/officeDocument/2006/relationships/image" Target="media/image1.png"/><Relationship Id="rId28" Type="http://schemas.openxmlformats.org/officeDocument/2006/relationships/theme" Target="theme/theme1.xml"/><Relationship Id="rId27" Type="http://schemas.openxmlformats.org/officeDocument/2006/relationships/footer" Target="footer11.xml"/><Relationship Id="rId26" Type="http://schemas.openxmlformats.org/officeDocument/2006/relationships/footer" Target="footer10.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9.xml"/><Relationship Id="rId22" Type="http://schemas.openxmlformats.org/officeDocument/2006/relationships/footer" Target="footer8.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28A614B804142AE8BDBB50A8A79792D"/>
        <w:style w:val=""/>
        <w:category>
          <w:name w:val="常规"/>
          <w:gallery w:val="placeholder"/>
        </w:category>
        <w:types>
          <w:type w:val="bbPlcHdr"/>
        </w:types>
        <w:behaviors>
          <w:behavior w:val="content"/>
        </w:behaviors>
        <w:description w:val=""/>
        <w:guid w:val="{B44CCB2B-4182-4EBE-B7E9-6C909CAF39B0}"/>
      </w:docPartPr>
      <w:docPartBody>
        <w:p w14:paraId="24A8F8A8">
          <w:pPr>
            <w:pStyle w:val="5"/>
          </w:pPr>
          <w:r>
            <w:rPr>
              <w:rStyle w:val="4"/>
              <w:rFonts w:hint="eastAsia"/>
            </w:rPr>
            <w:t>单击或点击此处输入文字。</w:t>
          </w:r>
        </w:p>
      </w:docPartBody>
    </w:docPart>
    <w:docPart>
      <w:docPartPr>
        <w:name w:val="E937BECAD2B34860A158A768CA921C5E"/>
        <w:style w:val=""/>
        <w:category>
          <w:name w:val="常规"/>
          <w:gallery w:val="placeholder"/>
        </w:category>
        <w:types>
          <w:type w:val="bbPlcHdr"/>
        </w:types>
        <w:behaviors>
          <w:behavior w:val="content"/>
        </w:behaviors>
        <w:description w:val=""/>
        <w:guid w:val="{B591C5A6-A077-4DE7-8549-88E3AD26FF7C}"/>
      </w:docPartPr>
      <w:docPartBody>
        <w:p w14:paraId="6E9CEE34">
          <w:pPr>
            <w:pStyle w:val="6"/>
          </w:pPr>
          <w:r>
            <w:rPr>
              <w:rStyle w:val="4"/>
              <w:rFonts w:hint="eastAsia"/>
            </w:rPr>
            <w:t>选择一项。</w:t>
          </w:r>
        </w:p>
      </w:docPartBody>
    </w:docPart>
    <w:docPart>
      <w:docPartPr>
        <w:name w:val="7D0407537AFA4EBFB7447D8BB1E4BCDB"/>
        <w:style w:val=""/>
        <w:category>
          <w:name w:val="常规"/>
          <w:gallery w:val="placeholder"/>
        </w:category>
        <w:types>
          <w:type w:val="bbPlcHdr"/>
        </w:types>
        <w:behaviors>
          <w:behavior w:val="content"/>
        </w:behaviors>
        <w:description w:val=""/>
        <w:guid w:val="{4FE560AC-77D7-4372-B13C-1BE31CBD38D8}"/>
      </w:docPartPr>
      <w:docPartBody>
        <w:p w14:paraId="50059204">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47"/>
    <w:rsid w:val="000003E6"/>
    <w:rsid w:val="00087EA3"/>
    <w:rsid w:val="00095F33"/>
    <w:rsid w:val="00317768"/>
    <w:rsid w:val="00542AD5"/>
    <w:rsid w:val="00632C82"/>
    <w:rsid w:val="007E7A73"/>
    <w:rsid w:val="008A4D07"/>
    <w:rsid w:val="009B6447"/>
    <w:rsid w:val="00A410F2"/>
    <w:rsid w:val="00B6674A"/>
    <w:rsid w:val="00B748F3"/>
    <w:rsid w:val="00B77F39"/>
    <w:rsid w:val="00DB5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28A614B804142AE8BDBB50A8A79792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937BECAD2B34860A158A768CA921C5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D0407537AFA4EBFB7447D8BB1E4BCD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8"/>
    <customShpInfo spid="_x0000_s1027"/>
    <customShpInfo spid="_x0000_s1026" textRotate="1"/>
    <customShpInfo spid="_x0000_s1031"/>
    <customShpInfo spid="_x0000_s1029"/>
    <customShpInfo spid="_x0000_s1034"/>
    <customShpInfo spid="_x0000_s1032"/>
    <customShpInfo spid="_x0000_s103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17</Pages>
  <Words>2653</Words>
  <Characters>2938</Characters>
  <Lines>57</Lines>
  <Paragraphs>16</Paragraphs>
  <TotalTime>13</TotalTime>
  <ScaleCrop>false</ScaleCrop>
  <LinksUpToDate>false</LinksUpToDate>
  <CharactersWithSpaces>3039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2025-09-28T01:31:00Z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2025-09-28T03:12:39Z</dcterms:modified>
  <dc:title>团体标准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159CAC1C42924BBAA63E58464B6D70A1_12</vt:lpwstr>
  </property>
</Properties>
</file>