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726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B4082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CA954C6">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1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91.140.01</w:t>
            </w:r>
            <w:r>
              <w:rPr>
                <w:rFonts w:hint="eastAsia" w:ascii="黑体" w:hAnsi="黑体" w:eastAsia="黑体"/>
                <w:sz w:val="21"/>
                <w:szCs w:val="21"/>
              </w:rPr>
              <w:fldChar w:fldCharType="end"/>
            </w:r>
            <w:bookmarkEnd w:id="0"/>
          </w:p>
        </w:tc>
      </w:tr>
      <w:tr w14:paraId="34F5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09BF7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87B5F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603525B">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001ED3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3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30</w:t>
            </w:r>
            <w:r>
              <w:rPr>
                <w:rFonts w:hint="eastAsia" w:ascii="黑体" w:hAnsi="黑体" w:eastAsia="黑体"/>
                <w:sz w:val="21"/>
                <w:szCs w:val="21"/>
              </w:rPr>
              <w:fldChar w:fldCharType="end"/>
            </w:r>
            <w:bookmarkEnd w:id="2"/>
          </w:p>
        </w:tc>
      </w:tr>
    </w:tbl>
    <w:p w14:paraId="476D1FFE">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0712565">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2"/>
            </w:textInput>
          </w:ffData>
        </w:fldChar>
      </w:r>
      <w:bookmarkStart w:id="6" w:name="NSTD_CODE_F"/>
      <w:r>
        <w:instrText xml:space="preserve"> FORMTEXT </w:instrText>
      </w:r>
      <w:r>
        <w:fldChar w:fldCharType="separate"/>
      </w:r>
      <w:r>
        <w:t>0082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FB4708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84DC6E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D48048">
      <w:pPr>
        <w:pStyle w:val="50"/>
        <w:framePr w:w="9639" w:h="6976" w:hRule="exact" w:hSpace="0" w:vSpace="0" w:wrap="around" w:hAnchor="page" w:y="6408"/>
        <w:jc w:val="center"/>
        <w:rPr>
          <w:rFonts w:hint="eastAsia" w:ascii="黑体" w:hAnsi="黑体" w:eastAsia="黑体"/>
          <w:b w:val="0"/>
          <w:bCs w:val="0"/>
          <w:w w:val="100"/>
        </w:rPr>
      </w:pPr>
    </w:p>
    <w:p w14:paraId="054A275F">
      <w:pPr>
        <w:pStyle w:val="197"/>
        <w:framePr w:h="6974" w:hRule="exact" w:wrap="around" w:x="1419" w:anchorLock="1"/>
        <w:rPr>
          <w:rFonts w:hint="eastAsia"/>
        </w:rPr>
      </w:pPr>
      <w:r>
        <w:rPr>
          <w:rFonts w:hint="eastAsia"/>
        </w:rPr>
        <w:fldChar w:fldCharType="begin">
          <w:ffData>
            <w:name w:val="CSTD_NAME"/>
            <w:enabled/>
            <w:calcOnExit w:val="0"/>
            <w:textInput>
              <w:default w:val="建筑智能化系统数据安全防护技术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建筑智能化系统数据安全防护技术规范</w:t>
      </w:r>
      <w:r>
        <w:rPr>
          <w:rFonts w:hint="eastAsia"/>
        </w:rPr>
        <w:fldChar w:fldCharType="end"/>
      </w:r>
      <w:bookmarkEnd w:id="9"/>
    </w:p>
    <w:p w14:paraId="08D5197E">
      <w:pPr>
        <w:framePr w:w="9639" w:h="6974" w:hRule="exact" w:wrap="around" w:vAnchor="page" w:hAnchor="page" w:x="1419" w:y="6408" w:anchorLock="1"/>
        <w:ind w:left="-1418"/>
      </w:pPr>
    </w:p>
    <w:p w14:paraId="723FB02A">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Technical specification for data security protection of intelligent building system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specification for data security protection of intelligent building systems</w:t>
      </w:r>
      <w:r>
        <w:rPr>
          <w:rFonts w:ascii="黑体" w:hAnsi="黑体" w:eastAsia="黑体"/>
          <w:szCs w:val="28"/>
        </w:rPr>
        <w:fldChar w:fldCharType="end"/>
      </w:r>
      <w:bookmarkEnd w:id="10"/>
    </w:p>
    <w:p w14:paraId="105640B5">
      <w:pPr>
        <w:framePr w:w="9639" w:h="6974" w:hRule="exact" w:wrap="around" w:vAnchor="page" w:hAnchor="page" w:x="1419" w:y="6408" w:anchorLock="1"/>
        <w:spacing w:line="760" w:lineRule="exact"/>
        <w:ind w:left="-1418"/>
      </w:pPr>
    </w:p>
    <w:p w14:paraId="57FD268F">
      <w:pPr>
        <w:pStyle w:val="125"/>
        <w:framePr w:w="9639" w:h="6974" w:hRule="exact" w:wrap="around" w:vAnchor="page" w:hAnchor="page" w:x="1419" w:y="6408" w:anchorLock="1"/>
        <w:textAlignment w:val="bottom"/>
        <w:rPr>
          <w:rFonts w:eastAsia="黑体"/>
          <w:szCs w:val="28"/>
        </w:rPr>
      </w:pPr>
    </w:p>
    <w:p w14:paraId="25BD2EB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5B6ECF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5AE881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3A6CC1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0EF847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BA80DB">
      <w:pPr>
        <w:pStyle w:val="151"/>
        <w:framePr w:h="584" w:hRule="exact" w:hSpace="181" w:vSpace="181" w:wrap="around" w:y="14800"/>
        <w:rPr>
          <w:rFonts w:hint="eastAsia" w:hAnsi="黑体"/>
        </w:rPr>
      </w:pPr>
      <w:r>
        <w:rPr>
          <w:rFonts w:hint="eastAsia" w:hAnsi="黑体"/>
          <w:w w:val="100"/>
          <w:sz w:val="28"/>
        </w:rPr>
        <w:fldChar w:fldCharType="begin">
          <w:ffData>
            <w:name w:val="fm"/>
            <w:enabled/>
            <w:calcOnExit w:val="0"/>
            <w:textInput>
              <w:default w:val="西安市计量标准检测认证协会"/>
            </w:textInput>
          </w:ffData>
        </w:fldChar>
      </w:r>
      <w:bookmarkStart w:id="20" w:name="fm"/>
      <w:r>
        <w:rPr>
          <w:rFonts w:hint="eastAsia" w:hAnsi="黑体"/>
          <w:w w:val="100"/>
          <w:sz w:val="28"/>
        </w:rPr>
        <w:instrText xml:space="preserve"> </w:instrText>
      </w:r>
      <w:r>
        <w:rPr>
          <w:rFonts w:hAnsi="黑体"/>
          <w:w w:val="100"/>
          <w:sz w:val="28"/>
        </w:rPr>
        <w:instrText xml:space="preserve">FORMTEXT</w:instrText>
      </w:r>
      <w:r>
        <w:rPr>
          <w:rFonts w:hint="eastAsia" w:hAnsi="黑体"/>
          <w:w w:val="100"/>
          <w:sz w:val="28"/>
        </w:rPr>
        <w:instrText xml:space="preserve"> </w:instrText>
      </w:r>
      <w:r>
        <w:rPr>
          <w:rFonts w:hint="eastAsia" w:hAnsi="黑体"/>
          <w:w w:val="100"/>
          <w:sz w:val="28"/>
        </w:rPr>
        <w:fldChar w:fldCharType="separate"/>
      </w:r>
      <w:r>
        <w:rPr>
          <w:rFonts w:hint="eastAsia" w:hAnsi="黑体"/>
          <w:w w:val="100"/>
          <w:sz w:val="28"/>
        </w:rPr>
        <w:t>西安市计量标准检测认证协会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0EE3C6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930603">
      <w:pPr>
        <w:pStyle w:val="91"/>
        <w:spacing w:after="360"/>
      </w:pPr>
      <w:bookmarkStart w:id="21" w:name="BookMark1"/>
      <w:r>
        <w:rPr>
          <w:rFonts w:hint="eastAsia"/>
          <w:spacing w:val="320"/>
        </w:rPr>
        <w:t>目</w:t>
      </w:r>
      <w:r>
        <w:rPr>
          <w:rFonts w:hint="eastAsia"/>
        </w:rPr>
        <w:t>次</w:t>
      </w:r>
    </w:p>
    <w:p w14:paraId="57815E0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"_Toc207543265"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_Toc207543265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90236F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"_Toc207543266"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_Toc207543266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503B9E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"_Toc207543267"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_Toc207543267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FFF61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"_Toc207543268"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_Toc207543268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91818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"_Toc207543269"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_Toc207543269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235E3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"_Toc207543270"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_Toc207543270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4E2C1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"_Toc207543271" </w:instrText>
      </w:r>
      <w:r>
        <w:fldChar w:fldCharType="separate"/>
      </w:r>
      <w:r>
        <w:rPr>
          <w:rStyle w:val="32"/>
          <w:rFonts w:hint="eastAsia"/>
        </w:rPr>
        <w:t>5</w:t>
      </w:r>
      <w:r>
        <w:rPr>
          <w:rStyle w:val="32"/>
        </w:rPr>
        <w:t xml:space="preserve"> </w:t>
      </w:r>
      <w:r>
        <w:rPr>
          <w:rStyle w:val="32"/>
          <w:rFonts w:hint="eastAsia"/>
        </w:rPr>
        <w:t xml:space="preserve"> 数据安全管理要求</w:t>
      </w:r>
      <w:r>
        <w:rPr>
          <w:rFonts w:hint="eastAsia"/>
        </w:rPr>
        <w:tab/>
      </w:r>
      <w:r>
        <w:rPr>
          <w:rFonts w:hint="eastAsia"/>
        </w:rPr>
        <w:fldChar w:fldCharType="begin"/>
      </w:r>
      <w:r>
        <w:rPr>
          <w:rFonts w:hint="eastAsia"/>
        </w:rPr>
        <w:instrText xml:space="preserve"> </w:instrText>
      </w:r>
      <w:r>
        <w:instrText xml:space="preserve">PAGEREF _Toc207543271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A306F3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"_Toc207543272" </w:instrText>
      </w:r>
      <w:r>
        <w:fldChar w:fldCharType="separate"/>
      </w:r>
      <w:r>
        <w:rPr>
          <w:rStyle w:val="32"/>
          <w:rFonts w:hint="eastAsia"/>
        </w:rPr>
        <w:t>6</w:t>
      </w:r>
      <w:r>
        <w:rPr>
          <w:rStyle w:val="32"/>
        </w:rPr>
        <w:t xml:space="preserve"> </w:t>
      </w:r>
      <w:r>
        <w:rPr>
          <w:rStyle w:val="32"/>
          <w:rFonts w:hint="eastAsia"/>
        </w:rPr>
        <w:t xml:space="preserve"> 技术防护要求</w:t>
      </w:r>
      <w:r>
        <w:rPr>
          <w:rFonts w:hint="eastAsia"/>
        </w:rPr>
        <w:tab/>
      </w:r>
      <w:r>
        <w:rPr>
          <w:rFonts w:hint="eastAsia"/>
        </w:rPr>
        <w:fldChar w:fldCharType="begin"/>
      </w:r>
      <w:r>
        <w:rPr>
          <w:rFonts w:hint="eastAsia"/>
        </w:rPr>
        <w:instrText xml:space="preserve"> </w:instrText>
      </w:r>
      <w:r>
        <w:instrText xml:space="preserve">PAGEREF _Toc207543272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F278A3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"_Toc207543273" </w:instrText>
      </w:r>
      <w:r>
        <w:fldChar w:fldCharType="separate"/>
      </w:r>
      <w:r>
        <w:rPr>
          <w:rStyle w:val="32"/>
          <w:rFonts w:hint="eastAsia"/>
        </w:rPr>
        <w:t>7</w:t>
      </w:r>
      <w:r>
        <w:rPr>
          <w:rStyle w:val="32"/>
        </w:rPr>
        <w:t xml:space="preserve"> </w:t>
      </w:r>
      <w:r>
        <w:rPr>
          <w:rStyle w:val="32"/>
          <w:rFonts w:hint="eastAsia"/>
        </w:rPr>
        <w:t xml:space="preserve"> 运维与管理要求</w:t>
      </w:r>
      <w:r>
        <w:rPr>
          <w:rFonts w:hint="eastAsia"/>
        </w:rPr>
        <w:tab/>
      </w:r>
      <w:r>
        <w:rPr>
          <w:rFonts w:hint="eastAsia"/>
        </w:rPr>
        <w:fldChar w:fldCharType="begin"/>
      </w:r>
      <w:r>
        <w:rPr>
          <w:rFonts w:hint="eastAsia"/>
        </w:rPr>
        <w:instrText xml:space="preserve"> </w:instrText>
      </w:r>
      <w:r>
        <w:instrText xml:space="preserve">PAGEREF _Toc207543273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AEE35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"_Toc207543274" </w:instrText>
      </w:r>
      <w:r>
        <w:fldChar w:fldCharType="separate"/>
      </w:r>
      <w:r>
        <w:rPr>
          <w:rStyle w:val="32"/>
          <w:rFonts w:hint="eastAsia"/>
        </w:rPr>
        <w:t>8</w:t>
      </w:r>
      <w:r>
        <w:rPr>
          <w:rStyle w:val="32"/>
        </w:rPr>
        <w:t xml:space="preserve"> </w:t>
      </w:r>
      <w:r>
        <w:rPr>
          <w:rStyle w:val="32"/>
          <w:rFonts w:hint="eastAsia"/>
        </w:rPr>
        <w:t xml:space="preserve"> 应急处置与恢复要求</w:t>
      </w:r>
      <w:r>
        <w:rPr>
          <w:rFonts w:hint="eastAsia"/>
        </w:rPr>
        <w:tab/>
      </w:r>
      <w:r>
        <w:rPr>
          <w:rFonts w:hint="eastAsia"/>
        </w:rPr>
        <w:fldChar w:fldCharType="begin"/>
      </w:r>
      <w:r>
        <w:rPr>
          <w:rFonts w:hint="eastAsia"/>
        </w:rPr>
        <w:instrText xml:space="preserve"> </w:instrText>
      </w:r>
      <w:r>
        <w:instrText xml:space="preserve">PAGEREF _Toc207543274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F91C5F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"_Toc207543275" </w:instrText>
      </w:r>
      <w:r>
        <w:fldChar w:fldCharType="separate"/>
      </w:r>
      <w:r>
        <w:rPr>
          <w:rStyle w:val="32"/>
          <w:rFonts w:hint="eastAsia"/>
        </w:rPr>
        <w:t>9</w:t>
      </w:r>
      <w:r>
        <w:rPr>
          <w:rStyle w:val="32"/>
        </w:rPr>
        <w:t xml:space="preserve"> </w:t>
      </w:r>
      <w:r>
        <w:rPr>
          <w:rStyle w:val="32"/>
          <w:rFonts w:hint="eastAsia"/>
        </w:rPr>
        <w:t xml:space="preserve"> 数据安全评估与持续改进</w:t>
      </w:r>
      <w:r>
        <w:rPr>
          <w:rFonts w:hint="eastAsia"/>
        </w:rPr>
        <w:tab/>
      </w:r>
      <w:r>
        <w:rPr>
          <w:rFonts w:hint="eastAsia"/>
        </w:rPr>
        <w:fldChar w:fldCharType="begin"/>
      </w:r>
      <w:r>
        <w:rPr>
          <w:rFonts w:hint="eastAsia"/>
        </w:rPr>
        <w:instrText xml:space="preserve"> </w:instrText>
      </w:r>
      <w:r>
        <w:instrText xml:space="preserve">PAGEREF _Toc207543275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663A6A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"_Toc207543276" </w:instrText>
      </w:r>
      <w:r>
        <w:fldChar w:fldCharType="separate"/>
      </w:r>
      <w:r>
        <w:rPr>
          <w:rStyle w:val="32"/>
          <w:rFonts w:hint="eastAsia"/>
        </w:rPr>
        <w:t>10</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_Toc207543276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F6446BC">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29A6959">
      <w:pPr>
        <w:pStyle w:val="89"/>
        <w:spacing w:before="900" w:after="360"/>
      </w:pPr>
      <w:bookmarkStart w:id="22" w:name="_Toc207543265"/>
      <w:bookmarkStart w:id="23" w:name="BookMark2"/>
      <w:r>
        <w:rPr>
          <w:rFonts w:hint="eastAsia"/>
          <w:spacing w:val="320"/>
        </w:rPr>
        <w:t>前</w:t>
      </w:r>
      <w:r>
        <w:rPr>
          <w:rFonts w:hint="eastAsia"/>
        </w:rPr>
        <w:t>言</w:t>
      </w:r>
      <w:bookmarkEnd w:id="22"/>
    </w:p>
    <w:p w14:paraId="33D7982F">
      <w:pPr>
        <w:pStyle w:val="56"/>
        <w:spacing w:line="360" w:lineRule="auto"/>
        <w:ind w:firstLine="420"/>
      </w:pPr>
      <w:r>
        <w:rPr>
          <w:rFonts w:hint="eastAsia"/>
        </w:rPr>
        <w:t>本文件按照GB/T 1.1—2020《标准化工作导则  第1部分：标准化文件的结构和起草规则》的规定起草。</w:t>
      </w:r>
    </w:p>
    <w:p w14:paraId="29929348">
      <w:pPr>
        <w:pStyle w:val="56"/>
        <w:spacing w:line="360" w:lineRule="auto"/>
        <w:ind w:firstLine="420"/>
      </w:pPr>
      <w:r>
        <w:rPr>
          <w:rFonts w:hint="eastAsia"/>
        </w:rPr>
        <w:t>请注意本文件的某些内容可能涉及专利。本文件的发布机构不承担识别专利的责任。</w:t>
      </w:r>
    </w:p>
    <w:p w14:paraId="7916D2A8">
      <w:pPr>
        <w:pStyle w:val="56"/>
        <w:spacing w:line="360" w:lineRule="auto"/>
        <w:ind w:firstLine="420"/>
      </w:pPr>
      <w:r>
        <w:rPr>
          <w:rFonts w:hint="eastAsia"/>
        </w:rPr>
        <w:t>本文件由西安市计量标准检测认证协会提出并归口。</w:t>
      </w:r>
    </w:p>
    <w:p w14:paraId="6736E42C">
      <w:pPr>
        <w:pStyle w:val="56"/>
        <w:spacing w:line="360" w:lineRule="auto"/>
        <w:ind w:firstLine="420"/>
      </w:pPr>
      <w:r>
        <w:rPr>
          <w:rFonts w:hint="eastAsia"/>
        </w:rPr>
        <w:t>本文件起草单位：广州白云国际机场建设发展有限公司。</w:t>
      </w:r>
    </w:p>
    <w:p w14:paraId="7A8C80CF">
      <w:pPr>
        <w:pStyle w:val="56"/>
        <w:spacing w:line="360" w:lineRule="auto"/>
        <w:ind w:firstLine="420"/>
      </w:pPr>
      <w:r>
        <w:rPr>
          <w:rFonts w:hint="eastAsia"/>
        </w:rPr>
        <w:t>本文件主要起草人：王涛。</w:t>
      </w:r>
    </w:p>
    <w:p w14:paraId="1BE6D958">
      <w:pPr>
        <w:pStyle w:val="56"/>
        <w:ind w:firstLine="420"/>
      </w:pPr>
    </w:p>
    <w:p w14:paraId="23027593">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7A129C27">
      <w:pPr>
        <w:pStyle w:val="89"/>
        <w:spacing w:after="360"/>
      </w:pPr>
      <w:bookmarkStart w:id="24" w:name="_Toc207543266"/>
      <w:bookmarkStart w:id="25" w:name="BookMark3"/>
      <w:r>
        <w:rPr>
          <w:rFonts w:hint="eastAsia"/>
          <w:spacing w:val="320"/>
        </w:rPr>
        <w:t>引</w:t>
      </w:r>
      <w:r>
        <w:rPr>
          <w:rFonts w:hint="eastAsia"/>
        </w:rPr>
        <w:t>言</w:t>
      </w:r>
      <w:bookmarkEnd w:id="24"/>
    </w:p>
    <w:p w14:paraId="4F030FE7">
      <w:pPr>
        <w:pStyle w:val="56"/>
        <w:spacing w:line="360" w:lineRule="auto"/>
        <w:ind w:firstLine="420"/>
      </w:pPr>
      <w:r>
        <w:rPr>
          <w:rFonts w:hint="eastAsia"/>
        </w:rPr>
        <w:t>随着信息化和智能化在建筑领域的快速发展，建筑智能化系统已成为现代建筑运行与管理的重要组成部分。该系统通过集成通信网络、楼宇自动化、安全防范、能源管理及信息服务等多类子系统，实现建筑运行的高效性、舒适性和安全性。然而，建筑智能化系统在提升管理效率和用户体验的同时，也面临着数据泄露、非法入侵、恶意攻击及系统故障等多重安全威胁。</w:t>
      </w:r>
    </w:p>
    <w:p w14:paraId="024434E5">
      <w:pPr>
        <w:pStyle w:val="56"/>
        <w:spacing w:line="360" w:lineRule="auto"/>
        <w:ind w:firstLine="420"/>
      </w:pPr>
      <w:r>
        <w:rPr>
          <w:rFonts w:hint="eastAsia"/>
        </w:rPr>
        <w:t>近年来，因数据安全问题引发的建筑运营风险日益突出，尤其在涉及公共安全、个人隐私和关键基础设施的场景中，其潜在危害更为严重。因此，建立科学、系统、可操作的数据安全防护规范，对于提升建筑智能化系统整体安全水平、保障用户信息安全和促进行业健康发展具有重要意义。</w:t>
      </w:r>
    </w:p>
    <w:p w14:paraId="3D17A78E">
      <w:pPr>
        <w:pStyle w:val="56"/>
        <w:spacing w:line="360" w:lineRule="auto"/>
        <w:ind w:firstLine="420"/>
      </w:pPr>
      <w:r>
        <w:rPr>
          <w:rFonts w:hint="eastAsia"/>
        </w:rPr>
        <w:t>本文件在总结国内外相关标准和实践经验的基础上，结合建筑智能化系统的特点与数据安全管理需求，提出数据安全防护的原则、要求与实施方法。其目标是指导相关设计、施工、运维和管理单位，建立健全数据安全防护机制，实现建筑智能化系统的安全可控、风险可防和运行可持续。</w:t>
      </w:r>
    </w:p>
    <w:p w14:paraId="7D3CD509">
      <w:pPr>
        <w:pStyle w:val="56"/>
        <w:ind w:firstLine="420"/>
      </w:pPr>
    </w:p>
    <w:p w14:paraId="160ACE8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2E903C85">
      <w:pPr>
        <w:spacing w:line="20" w:lineRule="exact"/>
        <w:jc w:val="center"/>
        <w:rPr>
          <w:rFonts w:hint="eastAsia" w:ascii="黑体" w:hAnsi="黑体" w:eastAsia="黑体"/>
          <w:sz w:val="32"/>
          <w:szCs w:val="32"/>
        </w:rPr>
      </w:pPr>
      <w:bookmarkStart w:id="26" w:name="BookMark4"/>
    </w:p>
    <w:p w14:paraId="6E6E92E1">
      <w:pPr>
        <w:spacing w:line="20" w:lineRule="exact"/>
        <w:jc w:val="center"/>
        <w:rPr>
          <w:rFonts w:hint="eastAsia" w:ascii="黑体" w:hAnsi="黑体" w:eastAsia="黑体"/>
          <w:sz w:val="32"/>
          <w:szCs w:val="32"/>
        </w:rPr>
      </w:pPr>
    </w:p>
    <w:sdt>
      <w:sdtPr>
        <w:tag w:val="NEW_STAND_NAME"/>
        <w:id w:val="595910757"/>
        <w:lock w:val="sdtLocked"/>
        <w:placeholder>
          <w:docPart w:val="CF643C98B1C44F36896A3D34E61420BA"/>
        </w:placeholder>
      </w:sdtPr>
      <w:sdtContent>
        <w:p w14:paraId="2305B667">
          <w:pPr>
            <w:pStyle w:val="177"/>
            <w:rPr>
              <w:rFonts w:hint="eastAsia"/>
            </w:rPr>
          </w:pPr>
          <w:bookmarkStart w:id="27" w:name="NEW_STAND_NAME"/>
          <w:r>
            <w:rPr>
              <w:rFonts w:hint="eastAsia"/>
            </w:rPr>
            <w:t>建筑智能化系统数据安全防护技术规范</w:t>
          </w:r>
        </w:p>
      </w:sdtContent>
    </w:sdt>
    <w:bookmarkEnd w:id="27"/>
    <w:p w14:paraId="2D336037">
      <w:pPr>
        <w:pStyle w:val="104"/>
        <w:spacing w:before="240" w:after="240" w:line="360" w:lineRule="auto"/>
      </w:pPr>
      <w:bookmarkStart w:id="28" w:name="_Toc26718930"/>
      <w:bookmarkStart w:id="29" w:name="_Toc24884218"/>
      <w:bookmarkStart w:id="30" w:name="_Toc97192964"/>
      <w:bookmarkStart w:id="31" w:name="_Toc26648465"/>
      <w:bookmarkStart w:id="32" w:name="_Toc24884211"/>
      <w:bookmarkStart w:id="33" w:name="_Toc26986530"/>
      <w:bookmarkStart w:id="34" w:name="_Toc26986771"/>
      <w:bookmarkStart w:id="35" w:name="_Toc207543267"/>
      <w:bookmarkStart w:id="36" w:name="_Toc17233325"/>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28AA65AF">
      <w:pPr>
        <w:pStyle w:val="56"/>
        <w:spacing w:line="360" w:lineRule="auto"/>
        <w:ind w:firstLine="420"/>
      </w:pPr>
      <w:bookmarkStart w:id="38" w:name="_Toc17233326"/>
      <w:bookmarkStart w:id="39" w:name="_Toc24884212"/>
      <w:bookmarkStart w:id="40" w:name="_Toc24884219"/>
      <w:bookmarkStart w:id="41" w:name="_Toc17233334"/>
      <w:bookmarkStart w:id="42" w:name="_Toc26648466"/>
      <w:r>
        <w:rPr>
          <w:rFonts w:hint="eastAsia"/>
        </w:rPr>
        <w:t>本文件规定了建筑智能化系统在数据采集、传输、存储、处理与应用过程中的数据安全管理要求、技术防护要求、运维与管理要求、应急处置与恢复要求以及数据安全评估与持续改进等内容。</w:t>
      </w:r>
    </w:p>
    <w:p w14:paraId="58EB5A28">
      <w:pPr>
        <w:pStyle w:val="56"/>
        <w:spacing w:line="360" w:lineRule="auto"/>
        <w:ind w:firstLine="420"/>
      </w:pPr>
      <w:r>
        <w:rPr>
          <w:rFonts w:hint="eastAsia"/>
        </w:rPr>
        <w:t>本文件适用于新建、改建和扩建建筑智能化系统的设计、施工、验收、运维及管理活动，也可供相关产品研发、第三方检测和行业监管等环节参考使用。</w:t>
      </w:r>
    </w:p>
    <w:p w14:paraId="26FEECCF">
      <w:pPr>
        <w:pStyle w:val="56"/>
        <w:spacing w:line="360" w:lineRule="auto"/>
        <w:ind w:firstLine="420"/>
      </w:pPr>
      <w:r>
        <w:rPr>
          <w:rFonts w:hint="eastAsia"/>
        </w:rPr>
        <w:t>本文件不适用于单一设备层面的数据安全设计要求以及与建筑智能化系统无关的其他信息化系统的数据安全管理。</w:t>
      </w:r>
    </w:p>
    <w:p w14:paraId="1CCF77F9">
      <w:pPr>
        <w:pStyle w:val="104"/>
        <w:spacing w:before="240" w:after="240" w:line="360" w:lineRule="auto"/>
      </w:pPr>
      <w:bookmarkStart w:id="43" w:name="_Toc26718931"/>
      <w:bookmarkStart w:id="44" w:name="_Toc26986531"/>
      <w:bookmarkStart w:id="45" w:name="_Toc26986772"/>
      <w:bookmarkStart w:id="46" w:name="_Toc97192965"/>
      <w:bookmarkStart w:id="47" w:name="_Toc20754326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BA06AA5280B2404CB30AEB22A533EED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E3A5CD4">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647944D">
      <w:pPr>
        <w:pStyle w:val="56"/>
        <w:spacing w:line="360" w:lineRule="auto"/>
        <w:ind w:firstLine="420"/>
      </w:pPr>
      <w:r>
        <w:t>GB 50339</w:t>
      </w:r>
      <w:r>
        <w:rPr>
          <w:rFonts w:hint="eastAsia"/>
        </w:rPr>
        <w:t>—</w:t>
      </w:r>
      <w:r>
        <w:t>2013</w:t>
      </w:r>
      <w:r>
        <w:rPr>
          <w:rFonts w:hint="eastAsia"/>
        </w:rPr>
        <w:t xml:space="preserve"> 智能建筑工程质量验收规范</w:t>
      </w:r>
    </w:p>
    <w:p w14:paraId="431124BD">
      <w:pPr>
        <w:pStyle w:val="56"/>
        <w:spacing w:line="360" w:lineRule="auto"/>
        <w:ind w:firstLine="420"/>
      </w:pPr>
      <w:r>
        <w:t>GB 50606</w:t>
      </w:r>
      <w:r>
        <w:rPr>
          <w:rFonts w:hint="eastAsia"/>
        </w:rPr>
        <w:t>—</w:t>
      </w:r>
      <w:r>
        <w:t>2010</w:t>
      </w:r>
      <w:r>
        <w:rPr>
          <w:rFonts w:hint="eastAsia"/>
        </w:rPr>
        <w:t xml:space="preserve"> 智能建筑工程施工规范</w:t>
      </w:r>
    </w:p>
    <w:p w14:paraId="5A80D691">
      <w:pPr>
        <w:pStyle w:val="56"/>
        <w:spacing w:line="360" w:lineRule="auto"/>
        <w:ind w:firstLine="420"/>
      </w:pPr>
      <w:r>
        <w:t>GB/T 20269</w:t>
      </w:r>
      <w:r>
        <w:rPr>
          <w:rFonts w:hint="eastAsia"/>
        </w:rPr>
        <w:t>—</w:t>
      </w:r>
      <w:r>
        <w:t>2006</w:t>
      </w:r>
      <w:r>
        <w:rPr>
          <w:rFonts w:hint="eastAsia"/>
        </w:rPr>
        <w:t xml:space="preserve"> 信息安全技术 信息系统安全管理要求</w:t>
      </w:r>
    </w:p>
    <w:p w14:paraId="47AA3323">
      <w:pPr>
        <w:pStyle w:val="56"/>
        <w:spacing w:line="360" w:lineRule="auto"/>
        <w:ind w:firstLine="420"/>
      </w:pPr>
      <w:r>
        <w:rPr>
          <w:rFonts w:hint="eastAsia"/>
        </w:rPr>
        <w:t>GB/T 22239—2019 信息安全技术  网络安全等级保护基本要求</w:t>
      </w:r>
    </w:p>
    <w:p w14:paraId="17EFEEE2">
      <w:pPr>
        <w:pStyle w:val="56"/>
        <w:spacing w:line="360" w:lineRule="auto"/>
        <w:ind w:firstLine="420"/>
      </w:pPr>
      <w:r>
        <w:rPr>
          <w:rFonts w:hint="eastAsia"/>
        </w:rPr>
        <w:t>GB/T 25070—2019 信息安全技术  网络安全等级保护安全设计技术要求</w:t>
      </w:r>
    </w:p>
    <w:p w14:paraId="674C2C2C">
      <w:pPr>
        <w:pStyle w:val="56"/>
        <w:spacing w:line="360" w:lineRule="auto"/>
        <w:ind w:firstLine="420"/>
      </w:pPr>
      <w:r>
        <w:t>GB/T 35273</w:t>
      </w:r>
      <w:r>
        <w:rPr>
          <w:rFonts w:hint="eastAsia"/>
        </w:rPr>
        <w:t>—</w:t>
      </w:r>
      <w:r>
        <w:t>2020</w:t>
      </w:r>
      <w:r>
        <w:rPr>
          <w:rFonts w:hint="eastAsia"/>
        </w:rPr>
        <w:t xml:space="preserve"> 信息安全技术  个人信息安全规范</w:t>
      </w:r>
    </w:p>
    <w:p w14:paraId="511673E6">
      <w:pPr>
        <w:pStyle w:val="104"/>
        <w:spacing w:before="240" w:after="240" w:line="360" w:lineRule="auto"/>
      </w:pPr>
      <w:bookmarkStart w:id="48" w:name="_Toc207543269"/>
      <w:bookmarkStart w:id="49" w:name="_Toc97192966"/>
      <w:r>
        <w:rPr>
          <w:rFonts w:hint="eastAsia"/>
          <w:szCs w:val="21"/>
        </w:rPr>
        <w:t>术语和定义</w:t>
      </w:r>
      <w:bookmarkEnd w:id="48"/>
      <w:bookmarkEnd w:id="49"/>
    </w:p>
    <w:sdt>
      <w:sdtPr>
        <w:id w:val="-1909835108"/>
        <w:placeholder>
          <w:docPart w:val="D1B9524E966445199EF6E9CAE01578A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5692F2C">
          <w:pPr>
            <w:pStyle w:val="56"/>
            <w:spacing w:line="360" w:lineRule="auto"/>
            <w:ind w:firstLine="420"/>
          </w:pPr>
          <w:bookmarkStart w:id="50" w:name="_Toc26986532"/>
          <w:bookmarkEnd w:id="50"/>
          <w:r>
            <w:t>下列术语和定义适用于本文件。</w:t>
          </w:r>
        </w:p>
      </w:sdtContent>
    </w:sdt>
    <w:p w14:paraId="09B4F0CD">
      <w:pPr>
        <w:pStyle w:val="223"/>
        <w:spacing w:line="360" w:lineRule="auto"/>
        <w:ind w:left="420" w:hanging="420" w:hangingChars="200"/>
        <w:rPr>
          <w:rFonts w:hint="eastAsia" w:ascii="黑体" w:hAnsi="黑体" w:eastAsia="黑体"/>
        </w:rPr>
      </w:pPr>
      <w:r>
        <w:rPr>
          <w:rFonts w:hint="eastAsia" w:ascii="黑体" w:hAnsi="黑体" w:eastAsia="黑体"/>
        </w:rPr>
        <w:t>建筑智能化系统 intelligent building system</w:t>
      </w:r>
    </w:p>
    <w:p w14:paraId="2F5EB35B">
      <w:pPr>
        <w:pStyle w:val="56"/>
        <w:spacing w:line="360" w:lineRule="auto"/>
        <w:ind w:firstLine="420"/>
      </w:pPr>
      <w:r>
        <w:rPr>
          <w:rFonts w:hint="eastAsia"/>
        </w:rPr>
        <w:t>以建筑物为载体，集成通信、网络、楼宇自动化、安全防范、能源管理和信息服务等子系统，实现建筑高效运行和综合管理的系统。</w:t>
      </w:r>
    </w:p>
    <w:p w14:paraId="0A8FA20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数据安全 data security</w:t>
      </w:r>
    </w:p>
    <w:p w14:paraId="41001C41">
      <w:pPr>
        <w:pStyle w:val="56"/>
        <w:spacing w:line="360" w:lineRule="auto"/>
        <w:ind w:firstLine="420"/>
      </w:pPr>
      <w:r>
        <w:rPr>
          <w:rFonts w:hint="eastAsia"/>
        </w:rPr>
        <w:t>通过技术和管理手段，保护数据在采集、传输、存储、处理和使用过程中免受非法访问、泄露、篡改、丢失或破坏的能力与状态。</w:t>
      </w:r>
    </w:p>
    <w:p w14:paraId="4E06503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数据防护 data protection</w:t>
      </w:r>
    </w:p>
    <w:p w14:paraId="5A628459">
      <w:pPr>
        <w:pStyle w:val="56"/>
        <w:spacing w:line="360" w:lineRule="auto"/>
        <w:ind w:firstLine="420"/>
      </w:pPr>
      <w:r>
        <w:rPr>
          <w:rFonts w:hint="eastAsia"/>
        </w:rPr>
        <w:t>为保障数据安全而采取的加密、隔离、备份、访问控制等措施的总称。</w:t>
      </w:r>
    </w:p>
    <w:p w14:paraId="08531D54">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网络攻击 cyber attack</w:t>
      </w:r>
    </w:p>
    <w:p w14:paraId="3DA6A327">
      <w:pPr>
        <w:pStyle w:val="56"/>
        <w:spacing w:line="360" w:lineRule="auto"/>
        <w:ind w:firstLine="420"/>
      </w:pPr>
      <w:r>
        <w:rPr>
          <w:rFonts w:hint="eastAsia"/>
        </w:rPr>
        <w:t>利用计算机网络技术，针对系统、设备或数据进行非法入侵、干扰、窃取或破坏的行为。</w:t>
      </w:r>
    </w:p>
    <w:p w14:paraId="40A4D817">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个人信息 personal information</w:t>
      </w:r>
    </w:p>
    <w:p w14:paraId="79303832">
      <w:pPr>
        <w:pStyle w:val="56"/>
        <w:spacing w:line="360" w:lineRule="auto"/>
        <w:ind w:firstLine="420"/>
      </w:pPr>
      <w:r>
        <w:rPr>
          <w:rFonts w:hint="eastAsia"/>
        </w:rPr>
        <w:t>以电子或者其他方式记录的、能够单独或者与其他信息结合识别自然人身份的各种信息。</w:t>
      </w:r>
    </w:p>
    <w:p w14:paraId="008C52E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数据生命周期 data life cycle</w:t>
      </w:r>
    </w:p>
    <w:p w14:paraId="0F4392B0">
      <w:pPr>
        <w:pStyle w:val="56"/>
        <w:spacing w:line="360" w:lineRule="auto"/>
        <w:ind w:firstLine="420"/>
      </w:pPr>
      <w:r>
        <w:rPr>
          <w:rFonts w:hint="eastAsia"/>
        </w:rPr>
        <w:t>数据从生成、传输、存储、使用直至销毁的全过程。</w:t>
      </w:r>
    </w:p>
    <w:p w14:paraId="61755456">
      <w:pPr>
        <w:pStyle w:val="104"/>
        <w:spacing w:before="240" w:after="240" w:line="360" w:lineRule="auto"/>
      </w:pPr>
      <w:bookmarkStart w:id="51" w:name="_Toc207543270"/>
      <w:r>
        <w:rPr>
          <w:rFonts w:hint="eastAsia"/>
        </w:rPr>
        <w:t>总体原则</w:t>
      </w:r>
      <w:bookmarkEnd w:id="51"/>
    </w:p>
    <w:p w14:paraId="155B5726">
      <w:pPr>
        <w:pStyle w:val="162"/>
        <w:spacing w:line="360" w:lineRule="auto"/>
      </w:pPr>
      <w:r>
        <w:rPr>
          <w:rFonts w:hint="eastAsia"/>
        </w:rPr>
        <w:t>建筑智能化系统数据安全防护应坚持系统性、科学性与可操作性相结合的原则，确保安全策略覆盖系统全生命周期，做到事前预防、事中控制和事后追溯。</w:t>
      </w:r>
    </w:p>
    <w:p w14:paraId="2A0761E0">
      <w:pPr>
        <w:pStyle w:val="162"/>
        <w:spacing w:line="360" w:lineRule="auto"/>
      </w:pPr>
      <w:r>
        <w:rPr>
          <w:rFonts w:hint="eastAsia"/>
        </w:rPr>
        <w:t>数据安全防护应覆盖数据的采集、传输、存储、处理与销毁等全过程，形成闭环管理，防止在任一环节出现安全漏洞。</w:t>
      </w:r>
    </w:p>
    <w:p w14:paraId="7CCFC34C">
      <w:pPr>
        <w:pStyle w:val="162"/>
        <w:spacing w:line="360" w:lineRule="auto"/>
      </w:pPr>
      <w:r>
        <w:rPr>
          <w:rFonts w:hint="eastAsia"/>
        </w:rPr>
        <w:t>根据数据的重要性、敏感性和使用范围，实施分级分类管理，采取差异化的安全防护措施，确保关键数据和敏感数据优先保护。</w:t>
      </w:r>
    </w:p>
    <w:p w14:paraId="292215D4">
      <w:pPr>
        <w:pStyle w:val="162"/>
        <w:spacing w:line="360" w:lineRule="auto"/>
      </w:pPr>
      <w:r>
        <w:rPr>
          <w:rFonts w:hint="eastAsia"/>
        </w:rPr>
        <w:t>建立严格的访问控制机制，确保系统用户和管理人员仅能访问完成其职责所必需的数据和功能，避免越权操作。</w:t>
      </w:r>
    </w:p>
    <w:p w14:paraId="6FE60FC0">
      <w:pPr>
        <w:pStyle w:val="162"/>
        <w:spacing w:line="360" w:lineRule="auto"/>
      </w:pPr>
      <w:r>
        <w:rPr>
          <w:rFonts w:hint="eastAsia"/>
        </w:rPr>
        <w:t>采用多层次、多手段的防护措施，形成网络安全、设备安全、数据安全和管理安全的综合防护体系，以抵御复杂多样的安全威胁。</w:t>
      </w:r>
    </w:p>
    <w:p w14:paraId="017E5016">
      <w:pPr>
        <w:pStyle w:val="162"/>
        <w:spacing w:line="360" w:lineRule="auto"/>
      </w:pPr>
      <w:r>
        <w:rPr>
          <w:rFonts w:hint="eastAsia"/>
        </w:rPr>
        <w:t>安全防护措施应结合技术发展和威胁态势定期更新和优化，确保防护机制的前瞻性和有效性。</w:t>
      </w:r>
    </w:p>
    <w:p w14:paraId="2E5F2C66">
      <w:pPr>
        <w:pStyle w:val="162"/>
        <w:spacing w:line="360" w:lineRule="auto"/>
      </w:pPr>
      <w:r>
        <w:rPr>
          <w:rFonts w:hint="eastAsia"/>
        </w:rPr>
        <w:t>建设、运行和维护单位应明确数据安全责任主体，建立问责机制，确保安全责任落实到人。</w:t>
      </w:r>
    </w:p>
    <w:p w14:paraId="529E1D0E">
      <w:pPr>
        <w:pStyle w:val="104"/>
        <w:spacing w:before="240" w:after="240" w:line="360" w:lineRule="auto"/>
      </w:pPr>
      <w:bookmarkStart w:id="52" w:name="_Toc207543271"/>
      <w:r>
        <w:rPr>
          <w:rFonts w:hint="eastAsia"/>
        </w:rPr>
        <w:t>数据安全管理要求</w:t>
      </w:r>
      <w:bookmarkEnd w:id="52"/>
    </w:p>
    <w:p w14:paraId="63548D90">
      <w:pPr>
        <w:pStyle w:val="105"/>
        <w:spacing w:before="120" w:after="120" w:line="360" w:lineRule="auto"/>
      </w:pPr>
      <w:r>
        <w:rPr>
          <w:rFonts w:hint="eastAsia"/>
        </w:rPr>
        <w:t>数据分级分类管理</w:t>
      </w:r>
    </w:p>
    <w:p w14:paraId="3DC7B264">
      <w:pPr>
        <w:pStyle w:val="165"/>
        <w:spacing w:line="360" w:lineRule="auto"/>
      </w:pPr>
      <w:r>
        <w:rPr>
          <w:rFonts w:hint="eastAsia"/>
        </w:rPr>
        <w:t>建筑智能化系统产生和处理的数据应依据重要性和敏感性划分为一般数据、重要数据和核心数据三个等级。</w:t>
      </w:r>
    </w:p>
    <w:p w14:paraId="31138171">
      <w:pPr>
        <w:pStyle w:val="165"/>
        <w:spacing w:line="360" w:lineRule="auto"/>
      </w:pPr>
      <w:r>
        <w:rPr>
          <w:rFonts w:hint="eastAsia"/>
        </w:rPr>
        <w:t>一般数据应满足基础安全要求，确保数据不被非法获取或篡改。</w:t>
      </w:r>
    </w:p>
    <w:p w14:paraId="5459A118">
      <w:pPr>
        <w:pStyle w:val="165"/>
        <w:spacing w:line="360" w:lineRule="auto"/>
      </w:pPr>
      <w:r>
        <w:rPr>
          <w:rFonts w:hint="eastAsia"/>
        </w:rPr>
        <w:t>重要数据应实行访问控制和加密存储，并建立日志审计机制。</w:t>
      </w:r>
    </w:p>
    <w:p w14:paraId="0D85F5C8">
      <w:pPr>
        <w:pStyle w:val="165"/>
        <w:spacing w:line="360" w:lineRule="auto"/>
      </w:pPr>
      <w:r>
        <w:rPr>
          <w:rFonts w:hint="eastAsia"/>
        </w:rPr>
        <w:t>核心数据应采取专用网络传输、物理隔离、加密存储和异地备份措施，并建立严格的访问审批流程。</w:t>
      </w:r>
    </w:p>
    <w:p w14:paraId="1D5F8C14">
      <w:pPr>
        <w:pStyle w:val="105"/>
        <w:spacing w:before="120" w:after="120" w:line="360" w:lineRule="auto"/>
      </w:pPr>
      <w:r>
        <w:rPr>
          <w:rFonts w:hint="eastAsia"/>
        </w:rPr>
        <w:t>数据采集安全</w:t>
      </w:r>
    </w:p>
    <w:p w14:paraId="758DA238">
      <w:pPr>
        <w:pStyle w:val="165"/>
        <w:spacing w:line="360" w:lineRule="auto"/>
      </w:pPr>
      <w:r>
        <w:rPr>
          <w:rFonts w:hint="eastAsia"/>
        </w:rPr>
        <w:t>数据采集活动应遵循合法、正当、必要的原则，禁止超范围采集与用途无关的数据。</w:t>
      </w:r>
    </w:p>
    <w:p w14:paraId="55953F12">
      <w:pPr>
        <w:pStyle w:val="165"/>
        <w:spacing w:line="360" w:lineRule="auto"/>
      </w:pPr>
      <w:r>
        <w:rPr>
          <w:rFonts w:hint="eastAsia"/>
        </w:rPr>
        <w:t>数据采集设备应具备身份认证和完整性校验功能，防止非法接入和数据篡改。</w:t>
      </w:r>
    </w:p>
    <w:p w14:paraId="59A171C6">
      <w:pPr>
        <w:pStyle w:val="165"/>
        <w:spacing w:line="360" w:lineRule="auto"/>
      </w:pPr>
      <w:r>
        <w:rPr>
          <w:rFonts w:hint="eastAsia"/>
        </w:rPr>
        <w:t>对涉及个人信息的数据采集，应遵守相关隐私保护要求，并征得用户同意。</w:t>
      </w:r>
    </w:p>
    <w:p w14:paraId="2BFBD989">
      <w:pPr>
        <w:pStyle w:val="105"/>
        <w:spacing w:before="120" w:after="120" w:line="360" w:lineRule="auto"/>
      </w:pPr>
      <w:r>
        <w:rPr>
          <w:rFonts w:hint="eastAsia"/>
        </w:rPr>
        <w:t>数据传输安全</w:t>
      </w:r>
    </w:p>
    <w:p w14:paraId="77D536FB">
      <w:pPr>
        <w:pStyle w:val="165"/>
        <w:spacing w:line="360" w:lineRule="auto"/>
      </w:pPr>
      <w:r>
        <w:rPr>
          <w:rFonts w:hint="eastAsia"/>
        </w:rPr>
        <w:t>数据传输应采用加密通道或专用通信网络，防止数据在传输过程中被窃取或篡改。</w:t>
      </w:r>
    </w:p>
    <w:p w14:paraId="49AB2FB2">
      <w:pPr>
        <w:pStyle w:val="165"/>
        <w:spacing w:line="360" w:lineRule="auto"/>
      </w:pPr>
      <w:r>
        <w:rPr>
          <w:rFonts w:hint="eastAsia"/>
        </w:rPr>
        <w:t>涉及跨网络或跨系统传输的重要数据和核心数据应实行端到端加密。</w:t>
      </w:r>
    </w:p>
    <w:p w14:paraId="4751AAE3">
      <w:pPr>
        <w:pStyle w:val="165"/>
        <w:spacing w:line="360" w:lineRule="auto"/>
      </w:pPr>
      <w:r>
        <w:rPr>
          <w:rFonts w:hint="eastAsia"/>
        </w:rPr>
        <w:t>不得在传输过程中使用明文方式传输敏感数据。</w:t>
      </w:r>
    </w:p>
    <w:p w14:paraId="0F4946CC">
      <w:pPr>
        <w:pStyle w:val="105"/>
        <w:spacing w:before="120" w:after="120" w:line="360" w:lineRule="auto"/>
      </w:pPr>
      <w:r>
        <w:rPr>
          <w:rFonts w:hint="eastAsia"/>
        </w:rPr>
        <w:t>数据存储安全</w:t>
      </w:r>
    </w:p>
    <w:p w14:paraId="092DB22A">
      <w:pPr>
        <w:pStyle w:val="165"/>
        <w:spacing w:line="360" w:lineRule="auto"/>
      </w:pPr>
      <w:r>
        <w:rPr>
          <w:rFonts w:hint="eastAsia"/>
        </w:rPr>
        <w:t>数据存储应实行访问权限控制和加密措施。</w:t>
      </w:r>
    </w:p>
    <w:p w14:paraId="3918B59F">
      <w:pPr>
        <w:pStyle w:val="165"/>
        <w:spacing w:line="360" w:lineRule="auto"/>
      </w:pPr>
      <w:r>
        <w:rPr>
          <w:rFonts w:hint="eastAsia"/>
        </w:rPr>
        <w:t>重要数据和核心数据应进行定期备份，核心数据应具备异地容灾能力。</w:t>
      </w:r>
    </w:p>
    <w:p w14:paraId="03FC6FBB">
      <w:pPr>
        <w:pStyle w:val="165"/>
        <w:spacing w:line="360" w:lineRule="auto"/>
      </w:pPr>
      <w:r>
        <w:rPr>
          <w:rFonts w:hint="eastAsia"/>
        </w:rPr>
        <w:t>存储设备应进行登记管理，并定期检查安全状态，防止硬件故障导致数据丢失。</w:t>
      </w:r>
    </w:p>
    <w:p w14:paraId="51B54A26">
      <w:pPr>
        <w:pStyle w:val="105"/>
        <w:spacing w:before="120" w:after="120" w:line="360" w:lineRule="auto"/>
      </w:pPr>
      <w:r>
        <w:rPr>
          <w:rFonts w:hint="eastAsia"/>
        </w:rPr>
        <w:t>数据使用安全</w:t>
      </w:r>
    </w:p>
    <w:p w14:paraId="32EA67A7">
      <w:pPr>
        <w:pStyle w:val="165"/>
        <w:spacing w:line="360" w:lineRule="auto"/>
      </w:pPr>
      <w:r>
        <w:rPr>
          <w:rFonts w:hint="eastAsia"/>
        </w:rPr>
        <w:t>系统应建立数据访问审批流程，确保数据调用符合最小化授权原则。</w:t>
      </w:r>
    </w:p>
    <w:p w14:paraId="65972EF5">
      <w:pPr>
        <w:pStyle w:val="165"/>
        <w:spacing w:line="360" w:lineRule="auto"/>
      </w:pPr>
      <w:r>
        <w:rPr>
          <w:rFonts w:hint="eastAsia"/>
        </w:rPr>
        <w:t>应对所有数据使用行为进行日志记录，并至少保存 12 个月。</w:t>
      </w:r>
    </w:p>
    <w:p w14:paraId="73F15D2B">
      <w:pPr>
        <w:pStyle w:val="165"/>
        <w:spacing w:line="360" w:lineRule="auto"/>
      </w:pPr>
      <w:r>
        <w:rPr>
          <w:rFonts w:hint="eastAsia"/>
        </w:rPr>
        <w:t>数据使用过程应避免未授权复制和外泄，不得将核心数据直接暴露在公共网络中。</w:t>
      </w:r>
    </w:p>
    <w:p w14:paraId="70B1E7E2">
      <w:pPr>
        <w:pStyle w:val="105"/>
        <w:spacing w:before="120" w:after="120" w:line="360" w:lineRule="auto"/>
      </w:pPr>
      <w:r>
        <w:rPr>
          <w:rFonts w:hint="eastAsia"/>
        </w:rPr>
        <w:t>数据销毁安全</w:t>
      </w:r>
    </w:p>
    <w:p w14:paraId="7419BA3E">
      <w:pPr>
        <w:pStyle w:val="165"/>
        <w:spacing w:line="360" w:lineRule="auto"/>
      </w:pPr>
      <w:r>
        <w:rPr>
          <w:rFonts w:hint="eastAsia"/>
        </w:rPr>
        <w:t>达到保存期限或不再使用的数据应及时销毁，不得随意遗弃。</w:t>
      </w:r>
    </w:p>
    <w:p w14:paraId="1A0AC128">
      <w:pPr>
        <w:pStyle w:val="165"/>
        <w:spacing w:line="360" w:lineRule="auto"/>
      </w:pPr>
      <w:r>
        <w:rPr>
          <w:rFonts w:hint="eastAsia"/>
        </w:rPr>
        <w:t>数据销毁应采用安全擦除、覆盖写入或物理销毁等方式，确保数据不可恢复。</w:t>
      </w:r>
    </w:p>
    <w:p w14:paraId="2252A13C">
      <w:pPr>
        <w:pStyle w:val="165"/>
        <w:spacing w:line="360" w:lineRule="auto"/>
      </w:pPr>
      <w:r>
        <w:rPr>
          <w:rFonts w:hint="eastAsia"/>
        </w:rPr>
        <w:t>对涉及个人信息和核心数据的销毁，应有专门记录，并由责任人签字确认。</w:t>
      </w:r>
    </w:p>
    <w:p w14:paraId="03D5D388">
      <w:pPr>
        <w:pStyle w:val="104"/>
        <w:spacing w:before="240" w:after="240" w:line="360" w:lineRule="auto"/>
      </w:pPr>
      <w:bookmarkStart w:id="53" w:name="_Toc207543272"/>
      <w:r>
        <w:rPr>
          <w:rFonts w:hint="eastAsia"/>
        </w:rPr>
        <w:t>技术防护要求</w:t>
      </w:r>
      <w:bookmarkEnd w:id="53"/>
    </w:p>
    <w:p w14:paraId="29761A10">
      <w:pPr>
        <w:pStyle w:val="105"/>
        <w:spacing w:before="120" w:after="120" w:line="360" w:lineRule="auto"/>
      </w:pPr>
      <w:r>
        <w:rPr>
          <w:rFonts w:hint="eastAsia"/>
        </w:rPr>
        <w:t>网络安全防护</w:t>
      </w:r>
    </w:p>
    <w:p w14:paraId="32D2A464">
      <w:pPr>
        <w:pStyle w:val="165"/>
        <w:spacing w:line="360" w:lineRule="auto"/>
      </w:pPr>
      <w:r>
        <w:rPr>
          <w:rFonts w:hint="eastAsia"/>
        </w:rPr>
        <w:t>建筑智能化系统应设置明确的网络边界，边界处应部署防火墙、入侵检测系统和入侵防御系统，用于识别、阻断和记录非法访问行为。</w:t>
      </w:r>
    </w:p>
    <w:p w14:paraId="55F95C3B">
      <w:pPr>
        <w:pStyle w:val="165"/>
        <w:spacing w:line="360" w:lineRule="auto"/>
      </w:pPr>
      <w:r>
        <w:rPr>
          <w:rFonts w:hint="eastAsia"/>
        </w:rPr>
        <w:t>关键业务网络与互联网之间应采用隔离措施，敏感数据应通过专用网络或加密通道进行传输。</w:t>
      </w:r>
    </w:p>
    <w:p w14:paraId="5A541D59">
      <w:pPr>
        <w:pStyle w:val="165"/>
        <w:spacing w:line="360" w:lineRule="auto"/>
      </w:pPr>
      <w:r>
        <w:rPr>
          <w:rFonts w:hint="eastAsia"/>
        </w:rPr>
        <w:t>网络通信应优先采用HTTPS、IPSec 等安全协议，禁止使用已公开存在重大安全漏洞的协议或明文传输方式。</w:t>
      </w:r>
    </w:p>
    <w:p w14:paraId="7EFCA0B9">
      <w:pPr>
        <w:pStyle w:val="105"/>
        <w:spacing w:before="120" w:after="120" w:line="360" w:lineRule="auto"/>
      </w:pPr>
      <w:r>
        <w:rPr>
          <w:rFonts w:hint="eastAsia"/>
        </w:rPr>
        <w:t>身份认证与访问控制</w:t>
      </w:r>
    </w:p>
    <w:p w14:paraId="3CAECE2C">
      <w:pPr>
        <w:pStyle w:val="165"/>
        <w:spacing w:line="360" w:lineRule="auto"/>
      </w:pPr>
      <w:r>
        <w:rPr>
          <w:rFonts w:hint="eastAsia"/>
        </w:rPr>
        <w:t>系统用户、管理人员和接入设备应具备唯一身份标识，并通过口令、多因子认证或数字证书等方式进行身份验证。</w:t>
      </w:r>
    </w:p>
    <w:p w14:paraId="1928364B">
      <w:pPr>
        <w:pStyle w:val="165"/>
        <w:spacing w:line="360" w:lineRule="auto"/>
      </w:pPr>
      <w:r>
        <w:rPr>
          <w:rFonts w:hint="eastAsia"/>
        </w:rPr>
        <w:t>系统应建立分级分权的访问控制机制，确保用户仅能访问其职责范围内的数据和资源。</w:t>
      </w:r>
    </w:p>
    <w:p w14:paraId="36B79996">
      <w:pPr>
        <w:pStyle w:val="165"/>
        <w:spacing w:line="360" w:lineRule="auto"/>
      </w:pPr>
      <w:r>
        <w:rPr>
          <w:rFonts w:hint="eastAsia"/>
        </w:rPr>
        <w:t>所有访问行为应进行日志记录，并至少保存 12 个月，以备审计与追溯。</w:t>
      </w:r>
    </w:p>
    <w:p w14:paraId="5F3B2B46">
      <w:pPr>
        <w:pStyle w:val="105"/>
        <w:spacing w:before="120" w:after="120" w:line="360" w:lineRule="auto"/>
      </w:pPr>
      <w:r>
        <w:rPr>
          <w:rFonts w:hint="eastAsia"/>
        </w:rPr>
        <w:t>数据加密与保护</w:t>
      </w:r>
    </w:p>
    <w:p w14:paraId="7BF7FA9C">
      <w:pPr>
        <w:pStyle w:val="165"/>
        <w:spacing w:line="360" w:lineRule="auto"/>
      </w:pPr>
      <w:r>
        <w:rPr>
          <w:rFonts w:hint="eastAsia"/>
        </w:rPr>
        <w:t>重要数据和核心数据在传输和存储过程中应采用符合国家或国际安全标准的加密算法。</w:t>
      </w:r>
    </w:p>
    <w:p w14:paraId="73563F3C">
      <w:pPr>
        <w:pStyle w:val="165"/>
        <w:spacing w:line="360" w:lineRule="auto"/>
      </w:pPr>
      <w:r>
        <w:rPr>
          <w:rFonts w:hint="eastAsia"/>
        </w:rPr>
        <w:t>密钥应由专门的密钥管理系统统一管理，并建立定期更换和注销机制，防止密钥泄露。</w:t>
      </w:r>
    </w:p>
    <w:p w14:paraId="4EC4D7B5">
      <w:pPr>
        <w:pStyle w:val="165"/>
        <w:spacing w:line="360" w:lineRule="auto"/>
      </w:pPr>
      <w:r>
        <w:rPr>
          <w:rFonts w:hint="eastAsia"/>
        </w:rPr>
        <w:t>不得使用已被认定为不安全或过时的加密算法（如 MD5、DES）。</w:t>
      </w:r>
    </w:p>
    <w:p w14:paraId="7D6DCB4D">
      <w:pPr>
        <w:pStyle w:val="105"/>
        <w:spacing w:before="120" w:after="120" w:line="360" w:lineRule="auto"/>
      </w:pPr>
      <w:r>
        <w:rPr>
          <w:rFonts w:hint="eastAsia"/>
        </w:rPr>
        <w:t>应用安全防护</w:t>
      </w:r>
    </w:p>
    <w:p w14:paraId="781D317F">
      <w:pPr>
        <w:pStyle w:val="165"/>
        <w:spacing w:line="360" w:lineRule="auto"/>
      </w:pPr>
      <w:r>
        <w:rPr>
          <w:rFonts w:hint="eastAsia"/>
        </w:rPr>
        <w:t>建筑智能化系统应用软件应具备输入校验、防注入、防越权访问和防篡改等安全功能。</w:t>
      </w:r>
    </w:p>
    <w:p w14:paraId="1300BDF7">
      <w:pPr>
        <w:pStyle w:val="165"/>
        <w:spacing w:line="360" w:lineRule="auto"/>
      </w:pPr>
      <w:r>
        <w:rPr>
          <w:rFonts w:hint="eastAsia"/>
        </w:rPr>
        <w:t>应建立漏洞管理制度，确保在接收到安全漏洞通告后 30 日内完成修补或采取防护措施。</w:t>
      </w:r>
    </w:p>
    <w:p w14:paraId="1E8464B4">
      <w:pPr>
        <w:pStyle w:val="165"/>
        <w:spacing w:line="360" w:lineRule="auto"/>
      </w:pPr>
      <w:r>
        <w:rPr>
          <w:rFonts w:hint="eastAsia"/>
        </w:rPr>
        <w:t>对外提供接口的应用应设置访问白名单，并进行调用日志记录，防止未经授权的应用调用。</w:t>
      </w:r>
    </w:p>
    <w:p w14:paraId="2FD708EE">
      <w:pPr>
        <w:pStyle w:val="105"/>
        <w:spacing w:before="120" w:after="120" w:line="360" w:lineRule="auto"/>
      </w:pPr>
      <w:r>
        <w:rPr>
          <w:rFonts w:hint="eastAsia"/>
        </w:rPr>
        <w:t>终端安全防护</w:t>
      </w:r>
    </w:p>
    <w:p w14:paraId="677E50CD">
      <w:pPr>
        <w:pStyle w:val="165"/>
        <w:spacing w:line="360" w:lineRule="auto"/>
      </w:pPr>
      <w:r>
        <w:rPr>
          <w:rFonts w:hint="eastAsia"/>
        </w:rPr>
        <w:t>所有接入系统的终端设备应进行登记管理，并通过设备认证后方可接入。</w:t>
      </w:r>
    </w:p>
    <w:p w14:paraId="73EEA71B">
      <w:pPr>
        <w:pStyle w:val="165"/>
        <w:spacing w:line="360" w:lineRule="auto"/>
      </w:pPr>
      <w:r>
        <w:rPr>
          <w:rFonts w:hint="eastAsia"/>
        </w:rPr>
        <w:t>终端应安装防病毒软件，及时更新安全补丁，并开启防恶意代码功能。</w:t>
      </w:r>
    </w:p>
    <w:p w14:paraId="258DA076">
      <w:pPr>
        <w:pStyle w:val="165"/>
        <w:spacing w:line="360" w:lineRule="auto"/>
      </w:pPr>
      <w:r>
        <w:rPr>
          <w:rFonts w:hint="eastAsia"/>
        </w:rPr>
        <w:t>对于报废、丢失或更换的终端设备，应采取数据擦除或物理销毁措施，确保敏感数据不可恢复。</w:t>
      </w:r>
    </w:p>
    <w:p w14:paraId="63AEB3E1">
      <w:pPr>
        <w:pStyle w:val="105"/>
        <w:spacing w:before="120" w:after="120" w:line="360" w:lineRule="auto"/>
      </w:pPr>
      <w:r>
        <w:rPr>
          <w:rFonts w:hint="eastAsia"/>
        </w:rPr>
        <w:t>安全监测与应急响应</w:t>
      </w:r>
    </w:p>
    <w:p w14:paraId="4037AD68">
      <w:pPr>
        <w:pStyle w:val="165"/>
        <w:spacing w:line="360" w:lineRule="auto"/>
      </w:pPr>
      <w:r>
        <w:rPr>
          <w:rFonts w:hint="eastAsia"/>
        </w:rPr>
        <w:t>系统应建设统一的安全监测平台，对网络流量、日志、终端和应用进行持续监测。</w:t>
      </w:r>
    </w:p>
    <w:p w14:paraId="3304537C">
      <w:pPr>
        <w:pStyle w:val="165"/>
        <w:spacing w:line="360" w:lineRule="auto"/>
      </w:pPr>
      <w:r>
        <w:rPr>
          <w:rFonts w:hint="eastAsia"/>
        </w:rPr>
        <w:t>系统应具备实时告警功能，能够自动发现异常流量和攻击行为，并支持溯源分析。</w:t>
      </w:r>
    </w:p>
    <w:p w14:paraId="57004739">
      <w:pPr>
        <w:pStyle w:val="165"/>
        <w:spacing w:line="360" w:lineRule="auto"/>
      </w:pPr>
      <w:r>
        <w:rPr>
          <w:rFonts w:hint="eastAsia"/>
        </w:rPr>
        <w:t>建设单位和运维单位应制定应急响应预案，并至少每年组织一次应急演练，以验证和提升响应能力。</w:t>
      </w:r>
    </w:p>
    <w:p w14:paraId="66E6EEF3">
      <w:pPr>
        <w:pStyle w:val="104"/>
        <w:spacing w:before="240" w:after="240" w:line="360" w:lineRule="auto"/>
      </w:pPr>
      <w:bookmarkStart w:id="54" w:name="_Toc207543273"/>
      <w:r>
        <w:rPr>
          <w:rFonts w:hint="eastAsia"/>
        </w:rPr>
        <w:t>运维与管理要求</w:t>
      </w:r>
      <w:bookmarkEnd w:id="54"/>
    </w:p>
    <w:p w14:paraId="293AE9DF">
      <w:pPr>
        <w:pStyle w:val="105"/>
        <w:spacing w:before="120" w:after="120" w:line="360" w:lineRule="auto"/>
      </w:pPr>
      <w:r>
        <w:rPr>
          <w:rFonts w:hint="eastAsia"/>
        </w:rPr>
        <w:t>组织管理</w:t>
      </w:r>
    </w:p>
    <w:p w14:paraId="542AD58B">
      <w:pPr>
        <w:pStyle w:val="165"/>
        <w:spacing w:line="360" w:lineRule="auto"/>
      </w:pPr>
      <w:r>
        <w:rPr>
          <w:rFonts w:hint="eastAsia"/>
        </w:rPr>
        <w:t>建设单位、使用单位和运维单位应建立统一的数据安全管理体系，明确管理职责和权限。</w:t>
      </w:r>
    </w:p>
    <w:p w14:paraId="0A4F24EB">
      <w:pPr>
        <w:pStyle w:val="165"/>
        <w:spacing w:line="360" w:lineRule="auto"/>
      </w:pPr>
      <w:r>
        <w:rPr>
          <w:rFonts w:hint="eastAsia"/>
        </w:rPr>
        <w:t>应指定专门的安全管理责任人，负责统筹建筑智能化系统数据安全工作。</w:t>
      </w:r>
    </w:p>
    <w:p w14:paraId="194802AC">
      <w:pPr>
        <w:pStyle w:val="165"/>
        <w:spacing w:line="360" w:lineRule="auto"/>
      </w:pPr>
      <w:r>
        <w:rPr>
          <w:rFonts w:hint="eastAsia"/>
        </w:rPr>
        <w:t>运维单位应建立岗位责任制，确保数据安全管理责任落实到人。</w:t>
      </w:r>
    </w:p>
    <w:p w14:paraId="2F6FF2AE">
      <w:pPr>
        <w:pStyle w:val="105"/>
        <w:spacing w:before="120" w:after="120" w:line="360" w:lineRule="auto"/>
      </w:pPr>
      <w:r>
        <w:rPr>
          <w:rFonts w:hint="eastAsia"/>
        </w:rPr>
        <w:t>安全制度</w:t>
      </w:r>
    </w:p>
    <w:p w14:paraId="74BDB82D">
      <w:pPr>
        <w:pStyle w:val="165"/>
        <w:spacing w:line="360" w:lineRule="auto"/>
      </w:pPr>
      <w:r>
        <w:rPr>
          <w:rFonts w:hint="eastAsia"/>
        </w:rPr>
        <w:t>应制定数据安全管理制度、访问控制制度、日志审计制度和应急响应制度。</w:t>
      </w:r>
    </w:p>
    <w:p w14:paraId="2D4F94AE">
      <w:pPr>
        <w:pStyle w:val="165"/>
        <w:spacing w:line="360" w:lineRule="auto"/>
      </w:pPr>
      <w:r>
        <w:rPr>
          <w:rFonts w:hint="eastAsia"/>
        </w:rPr>
        <w:t>制度应定期评审和修订，确保与最新法律法规和技术发展保持一致。</w:t>
      </w:r>
    </w:p>
    <w:p w14:paraId="61079447">
      <w:pPr>
        <w:pStyle w:val="165"/>
        <w:spacing w:line="360" w:lineRule="auto"/>
      </w:pPr>
      <w:r>
        <w:rPr>
          <w:rFonts w:hint="eastAsia"/>
        </w:rPr>
        <w:t>制度文件应在系统建设、运行和运维各阶段贯彻执行，不得流于形式。</w:t>
      </w:r>
    </w:p>
    <w:p w14:paraId="22A95311">
      <w:pPr>
        <w:pStyle w:val="105"/>
        <w:spacing w:before="120" w:after="120" w:line="360" w:lineRule="auto"/>
      </w:pPr>
      <w:r>
        <w:rPr>
          <w:rFonts w:hint="eastAsia"/>
        </w:rPr>
        <w:t>人员管理</w:t>
      </w:r>
    </w:p>
    <w:p w14:paraId="54E48B11">
      <w:pPr>
        <w:pStyle w:val="165"/>
        <w:spacing w:line="360" w:lineRule="auto"/>
      </w:pPr>
      <w:r>
        <w:rPr>
          <w:rFonts w:hint="eastAsia"/>
        </w:rPr>
        <w:t>参与系统运维和管理的人员应经过数据安全知识培训，并通过考核后上岗。</w:t>
      </w:r>
    </w:p>
    <w:p w14:paraId="5EB7E77C">
      <w:pPr>
        <w:pStyle w:val="165"/>
        <w:spacing w:line="360" w:lineRule="auto"/>
      </w:pPr>
      <w:r>
        <w:rPr>
          <w:rFonts w:hint="eastAsia"/>
        </w:rPr>
        <w:t>应根据人员职责分配访问权限，禁止超范围操作。</w:t>
      </w:r>
    </w:p>
    <w:p w14:paraId="503877DB">
      <w:pPr>
        <w:pStyle w:val="165"/>
        <w:spacing w:line="360" w:lineRule="auto"/>
      </w:pPr>
      <w:r>
        <w:rPr>
          <w:rFonts w:hint="eastAsia"/>
        </w:rPr>
        <w:t>离职或岗位调整人员应及时收回系统访问权限和相关资料，防止数据泄露。</w:t>
      </w:r>
    </w:p>
    <w:p w14:paraId="39D22B5F">
      <w:pPr>
        <w:pStyle w:val="105"/>
        <w:spacing w:before="120" w:after="120" w:line="360" w:lineRule="auto"/>
      </w:pPr>
      <w:r>
        <w:rPr>
          <w:rFonts w:hint="eastAsia"/>
        </w:rPr>
        <w:t>日志与审计</w:t>
      </w:r>
    </w:p>
    <w:p w14:paraId="4ED6A624">
      <w:pPr>
        <w:pStyle w:val="165"/>
        <w:spacing w:line="360" w:lineRule="auto"/>
      </w:pPr>
      <w:r>
        <w:rPr>
          <w:rFonts w:hint="eastAsia"/>
        </w:rPr>
        <w:t>系统应启用全量日志功能，记录访问、修改、传输、删除等操作行为。</w:t>
      </w:r>
    </w:p>
    <w:p w14:paraId="1BB0899F">
      <w:pPr>
        <w:pStyle w:val="165"/>
        <w:spacing w:line="360" w:lineRule="auto"/>
      </w:pPr>
      <w:r>
        <w:rPr>
          <w:rFonts w:hint="eastAsia"/>
        </w:rPr>
        <w:t>日志文件应加密存储并防篡改，保存期限不得少于 12 个月。</w:t>
      </w:r>
    </w:p>
    <w:p w14:paraId="5E9C6ABB">
      <w:pPr>
        <w:pStyle w:val="165"/>
        <w:spacing w:line="360" w:lineRule="auto"/>
      </w:pPr>
      <w:r>
        <w:rPr>
          <w:rFonts w:hint="eastAsia"/>
        </w:rPr>
        <w:t>应定期开展安全审计，审计频率不少于每半年一次，发现问题应及时整改。</w:t>
      </w:r>
    </w:p>
    <w:p w14:paraId="674ACB44">
      <w:pPr>
        <w:pStyle w:val="105"/>
        <w:spacing w:before="120" w:after="120" w:line="360" w:lineRule="auto"/>
      </w:pPr>
      <w:r>
        <w:rPr>
          <w:rFonts w:hint="eastAsia"/>
        </w:rPr>
        <w:t>运维安全</w:t>
      </w:r>
    </w:p>
    <w:p w14:paraId="3B64E351">
      <w:pPr>
        <w:pStyle w:val="165"/>
        <w:spacing w:line="360" w:lineRule="auto"/>
      </w:pPr>
      <w:r>
        <w:rPr>
          <w:rFonts w:hint="eastAsia"/>
        </w:rPr>
        <w:t>运维操作应实行双人复核制度，重大操作应报经管理责任人批准。</w:t>
      </w:r>
    </w:p>
    <w:p w14:paraId="28717EAE">
      <w:pPr>
        <w:pStyle w:val="165"/>
        <w:spacing w:line="360" w:lineRule="auto"/>
      </w:pPr>
      <w:r>
        <w:rPr>
          <w:rFonts w:hint="eastAsia"/>
        </w:rPr>
        <w:t>运维活动应全程留痕，确保可追溯。</w:t>
      </w:r>
    </w:p>
    <w:p w14:paraId="2515B467">
      <w:pPr>
        <w:pStyle w:val="165"/>
        <w:spacing w:line="360" w:lineRule="auto"/>
      </w:pPr>
      <w:r>
        <w:rPr>
          <w:rFonts w:hint="eastAsia"/>
        </w:rPr>
        <w:t>应对运维外包人员建立管理制度，确保其遵守系统数据安全要求。</w:t>
      </w:r>
    </w:p>
    <w:p w14:paraId="11B52D1E">
      <w:pPr>
        <w:pStyle w:val="105"/>
        <w:spacing w:before="120" w:after="120" w:line="360" w:lineRule="auto"/>
      </w:pPr>
      <w:r>
        <w:rPr>
          <w:rFonts w:hint="eastAsia"/>
        </w:rPr>
        <w:t>外部接口与第三方管理</w:t>
      </w:r>
    </w:p>
    <w:p w14:paraId="6E908680">
      <w:pPr>
        <w:pStyle w:val="165"/>
        <w:spacing w:line="360" w:lineRule="auto"/>
      </w:pPr>
      <w:r>
        <w:rPr>
          <w:rFonts w:hint="eastAsia"/>
        </w:rPr>
        <w:t>系统对接第三方服务时，应进行安全评估，签订安全责任协议。</w:t>
      </w:r>
    </w:p>
    <w:p w14:paraId="3984DBF4">
      <w:pPr>
        <w:pStyle w:val="165"/>
        <w:spacing w:line="360" w:lineRule="auto"/>
      </w:pPr>
      <w:r>
        <w:rPr>
          <w:rFonts w:hint="eastAsia"/>
        </w:rPr>
        <w:t>第三方不得擅自保存、转移或使用核心数据。</w:t>
      </w:r>
    </w:p>
    <w:p w14:paraId="29CE5B14">
      <w:pPr>
        <w:pStyle w:val="165"/>
        <w:spacing w:line="360" w:lineRule="auto"/>
      </w:pPr>
      <w:r>
        <w:rPr>
          <w:rFonts w:hint="eastAsia"/>
        </w:rPr>
        <w:t>应对第三方访问行为进行监控和审计，发现异常立即采取措施。</w:t>
      </w:r>
    </w:p>
    <w:p w14:paraId="57FE4033">
      <w:pPr>
        <w:pStyle w:val="104"/>
        <w:spacing w:before="240" w:after="240" w:line="360" w:lineRule="auto"/>
      </w:pPr>
      <w:bookmarkStart w:id="55" w:name="_Toc207543274"/>
      <w:r>
        <w:rPr>
          <w:rFonts w:hint="eastAsia"/>
        </w:rPr>
        <w:t>应急处置与恢复要求</w:t>
      </w:r>
      <w:bookmarkEnd w:id="55"/>
    </w:p>
    <w:p w14:paraId="091DE271">
      <w:pPr>
        <w:pStyle w:val="105"/>
        <w:spacing w:before="120" w:after="120" w:line="360" w:lineRule="auto"/>
      </w:pPr>
      <w:r>
        <w:rPr>
          <w:rFonts w:hint="eastAsia"/>
        </w:rPr>
        <w:t>应急预案制定</w:t>
      </w:r>
    </w:p>
    <w:p w14:paraId="5A84D10E">
      <w:pPr>
        <w:pStyle w:val="165"/>
        <w:spacing w:line="360" w:lineRule="auto"/>
      </w:pPr>
      <w:r>
        <w:rPr>
          <w:rFonts w:hint="eastAsia"/>
        </w:rPr>
        <w:t>建设单位和运维单位应根据建筑智能化系统的规模和应用场景，制定数据安全事件应急预案。</w:t>
      </w:r>
    </w:p>
    <w:p w14:paraId="3454F548">
      <w:pPr>
        <w:pStyle w:val="165"/>
        <w:spacing w:line="360" w:lineRule="auto"/>
      </w:pPr>
      <w:r>
        <w:rPr>
          <w:rFonts w:hint="eastAsia"/>
        </w:rPr>
        <w:t>应急预案应包括事件分类、处置流程、职责分工、资源保障和信息通报等内容。</w:t>
      </w:r>
    </w:p>
    <w:p w14:paraId="3A5293EA">
      <w:pPr>
        <w:pStyle w:val="165"/>
        <w:spacing w:line="360" w:lineRule="auto"/>
      </w:pPr>
      <w:r>
        <w:rPr>
          <w:rFonts w:hint="eastAsia"/>
        </w:rPr>
        <w:t>应急预案应至少每年评审一次，并根据系统环境变化和安全威胁态势及时更新。</w:t>
      </w:r>
    </w:p>
    <w:p w14:paraId="03130D06">
      <w:pPr>
        <w:pStyle w:val="105"/>
        <w:spacing w:before="120" w:after="120" w:line="360" w:lineRule="auto"/>
      </w:pPr>
      <w:r>
        <w:rPr>
          <w:rFonts w:hint="eastAsia"/>
        </w:rPr>
        <w:t>应急演练</w:t>
      </w:r>
    </w:p>
    <w:p w14:paraId="0CE73E5A">
      <w:pPr>
        <w:pStyle w:val="165"/>
        <w:spacing w:line="360" w:lineRule="auto"/>
      </w:pPr>
      <w:r>
        <w:rPr>
          <w:rFonts w:hint="eastAsia"/>
        </w:rPr>
        <w:t>应急预案应至少每年组织一次全流程演练，演练形式包括桌面推演和实战演练。</w:t>
      </w:r>
    </w:p>
    <w:p w14:paraId="1E4FCBC1">
      <w:pPr>
        <w:pStyle w:val="165"/>
        <w:spacing w:line="360" w:lineRule="auto"/>
      </w:pPr>
      <w:r>
        <w:rPr>
          <w:rFonts w:hint="eastAsia"/>
        </w:rPr>
        <w:t>演练应覆盖典型数据泄露、恶意攻击、系统宕机等场景。</w:t>
      </w:r>
    </w:p>
    <w:p w14:paraId="76487967">
      <w:pPr>
        <w:pStyle w:val="165"/>
        <w:spacing w:line="360" w:lineRule="auto"/>
      </w:pPr>
      <w:r>
        <w:rPr>
          <w:rFonts w:hint="eastAsia"/>
        </w:rPr>
        <w:t>演练结果应形成书面报告，作为后续改进的依据。</w:t>
      </w:r>
    </w:p>
    <w:p w14:paraId="50D4F026">
      <w:pPr>
        <w:pStyle w:val="105"/>
        <w:spacing w:before="120" w:after="120" w:line="360" w:lineRule="auto"/>
      </w:pPr>
      <w:r>
        <w:rPr>
          <w:rFonts w:hint="eastAsia"/>
        </w:rPr>
        <w:t>事件响应</w:t>
      </w:r>
    </w:p>
    <w:p w14:paraId="140DC829">
      <w:pPr>
        <w:pStyle w:val="165"/>
        <w:spacing w:line="360" w:lineRule="auto"/>
      </w:pPr>
      <w:r>
        <w:rPr>
          <w:rFonts w:hint="eastAsia"/>
        </w:rPr>
        <w:t>系统应建立 7×24 小时安全监测机制，一旦发现异常，应立即启动应急响应。</w:t>
      </w:r>
    </w:p>
    <w:p w14:paraId="6FC48503">
      <w:pPr>
        <w:pStyle w:val="165"/>
        <w:spacing w:line="360" w:lineRule="auto"/>
      </w:pPr>
      <w:r>
        <w:rPr>
          <w:rFonts w:hint="eastAsia"/>
        </w:rPr>
        <w:t>应急响应流程应包括发现、上报、研判、处置、恢复和总结六个阶段。</w:t>
      </w:r>
    </w:p>
    <w:p w14:paraId="612FC62A">
      <w:pPr>
        <w:pStyle w:val="165"/>
        <w:spacing w:line="360" w:lineRule="auto"/>
      </w:pPr>
      <w:r>
        <w:rPr>
          <w:rFonts w:hint="eastAsia"/>
        </w:rPr>
        <w:t>数据安全事件处置应坚持“先控制、后分析”的原则，优先阻断事态扩散。</w:t>
      </w:r>
    </w:p>
    <w:p w14:paraId="24D46344">
      <w:pPr>
        <w:pStyle w:val="56"/>
        <w:spacing w:line="360" w:lineRule="auto"/>
        <w:ind w:firstLine="420"/>
      </w:pPr>
      <w:r>
        <w:rPr>
          <w:rFonts w:hint="eastAsia"/>
        </w:rPr>
        <w:t>为便于不同等级事件的响应与管理，应按照事件严重程度进行分级处理。事件分级及对应响应要求见表1。</w:t>
      </w:r>
    </w:p>
    <w:p w14:paraId="0A0D4620">
      <w:pPr>
        <w:pStyle w:val="112"/>
        <w:spacing w:before="120" w:after="120"/>
      </w:pPr>
      <w:r>
        <w:rPr>
          <w:rFonts w:hint="eastAsia"/>
        </w:rPr>
        <w:t>数据安全事件分级与响应要求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609"/>
        <w:gridCol w:w="2069"/>
        <w:gridCol w:w="1665"/>
        <w:gridCol w:w="1867"/>
      </w:tblGrid>
      <w:tr w14:paraId="3AEA9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124" w:type="dxa"/>
            <w:tcBorders>
              <w:top w:val="single" w:color="auto" w:sz="8" w:space="0"/>
              <w:bottom w:val="single" w:color="auto" w:sz="8" w:space="0"/>
            </w:tcBorders>
            <w:vAlign w:val="center"/>
          </w:tcPr>
          <w:p w14:paraId="11F4D90A">
            <w:pPr>
              <w:pStyle w:val="178"/>
            </w:pPr>
            <w:r>
              <w:rPr>
                <w:rFonts w:hint="eastAsia"/>
              </w:rPr>
              <w:t>等级</w:t>
            </w:r>
          </w:p>
        </w:tc>
        <w:tc>
          <w:tcPr>
            <w:tcW w:w="2609" w:type="dxa"/>
            <w:tcBorders>
              <w:top w:val="single" w:color="auto" w:sz="8" w:space="0"/>
              <w:bottom w:val="single" w:color="auto" w:sz="8" w:space="0"/>
            </w:tcBorders>
            <w:vAlign w:val="center"/>
          </w:tcPr>
          <w:p w14:paraId="7937191D">
            <w:pPr>
              <w:pStyle w:val="178"/>
            </w:pPr>
            <w:r>
              <w:rPr>
                <w:rFonts w:hint="eastAsia"/>
              </w:rPr>
              <w:t>描述</w:t>
            </w:r>
          </w:p>
        </w:tc>
        <w:tc>
          <w:tcPr>
            <w:tcW w:w="2069" w:type="dxa"/>
            <w:tcBorders>
              <w:top w:val="single" w:color="auto" w:sz="8" w:space="0"/>
              <w:bottom w:val="single" w:color="auto" w:sz="8" w:space="0"/>
            </w:tcBorders>
            <w:vAlign w:val="center"/>
          </w:tcPr>
          <w:p w14:paraId="51CB6E7C">
            <w:pPr>
              <w:pStyle w:val="178"/>
            </w:pPr>
            <w:r>
              <w:rPr>
                <w:rFonts w:hint="eastAsia"/>
              </w:rPr>
              <w:t>典型场景</w:t>
            </w:r>
          </w:p>
        </w:tc>
        <w:tc>
          <w:tcPr>
            <w:tcW w:w="1665" w:type="dxa"/>
            <w:tcBorders>
              <w:top w:val="single" w:color="auto" w:sz="8" w:space="0"/>
              <w:bottom w:val="single" w:color="auto" w:sz="8" w:space="0"/>
            </w:tcBorders>
            <w:vAlign w:val="center"/>
          </w:tcPr>
          <w:p w14:paraId="045A7C1E">
            <w:pPr>
              <w:pStyle w:val="178"/>
            </w:pPr>
            <w:r>
              <w:rPr>
                <w:rFonts w:hint="eastAsia"/>
              </w:rPr>
              <w:t>响应时限</w:t>
            </w:r>
          </w:p>
        </w:tc>
        <w:tc>
          <w:tcPr>
            <w:tcW w:w="1867" w:type="dxa"/>
            <w:tcBorders>
              <w:top w:val="single" w:color="auto" w:sz="8" w:space="0"/>
              <w:bottom w:val="single" w:color="auto" w:sz="8" w:space="0"/>
            </w:tcBorders>
            <w:vAlign w:val="center"/>
          </w:tcPr>
          <w:p w14:paraId="1E58420C">
            <w:pPr>
              <w:pStyle w:val="178"/>
            </w:pPr>
            <w:r>
              <w:rPr>
                <w:rFonts w:hint="eastAsia"/>
              </w:rPr>
              <w:t>响应措施</w:t>
            </w:r>
          </w:p>
        </w:tc>
      </w:tr>
      <w:tr w14:paraId="006D0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5444AAE4">
            <w:pPr>
              <w:pStyle w:val="178"/>
            </w:pPr>
            <w:r>
              <w:rPr>
                <w:rFonts w:hint="eastAsia"/>
              </w:rPr>
              <w:t>一级</w:t>
            </w:r>
          </w:p>
        </w:tc>
        <w:tc>
          <w:tcPr>
            <w:tcW w:w="2609" w:type="dxa"/>
            <w:tcBorders>
              <w:top w:val="single" w:color="auto" w:sz="8" w:space="0"/>
            </w:tcBorders>
            <w:vAlign w:val="center"/>
          </w:tcPr>
          <w:p w14:paraId="695CCD69">
            <w:pPr>
              <w:pStyle w:val="178"/>
            </w:pPr>
            <w:r>
              <w:rPr>
                <w:rFonts w:hint="eastAsia"/>
              </w:rPr>
              <w:t>对系统整体运行和核心数据造成严重影响，可能导致大规模业务中断或核心数据丢失</w:t>
            </w:r>
          </w:p>
        </w:tc>
        <w:tc>
          <w:tcPr>
            <w:tcW w:w="2069" w:type="dxa"/>
            <w:tcBorders>
              <w:top w:val="single" w:color="auto" w:sz="8" w:space="0"/>
            </w:tcBorders>
            <w:vAlign w:val="center"/>
          </w:tcPr>
          <w:p w14:paraId="28411428">
            <w:pPr>
              <w:pStyle w:val="178"/>
            </w:pPr>
            <w:r>
              <w:rPr>
                <w:rFonts w:hint="eastAsia"/>
              </w:rPr>
              <w:t>大规模黑客攻击、核心数据库被删除、系统长期瘫痪</w:t>
            </w:r>
          </w:p>
        </w:tc>
        <w:tc>
          <w:tcPr>
            <w:tcW w:w="1665" w:type="dxa"/>
            <w:tcBorders>
              <w:top w:val="single" w:color="auto" w:sz="8" w:space="0"/>
            </w:tcBorders>
            <w:vAlign w:val="center"/>
          </w:tcPr>
          <w:p w14:paraId="63AF024B">
            <w:pPr>
              <w:pStyle w:val="178"/>
            </w:pPr>
            <w:r>
              <w:rPr>
                <w:rFonts w:hint="eastAsia"/>
              </w:rPr>
              <w:t>立即（≤30分钟）</w:t>
            </w:r>
          </w:p>
        </w:tc>
        <w:tc>
          <w:tcPr>
            <w:tcW w:w="1867" w:type="dxa"/>
            <w:tcBorders>
              <w:top w:val="single" w:color="auto" w:sz="8" w:space="0"/>
            </w:tcBorders>
            <w:vAlign w:val="center"/>
          </w:tcPr>
          <w:p w14:paraId="4BF7E730">
            <w:pPr>
              <w:pStyle w:val="178"/>
            </w:pPr>
            <w:r>
              <w:rPr>
                <w:rFonts w:hint="eastAsia"/>
              </w:rPr>
              <w:t>立即启动最高级别预案，成立应急指挥小组，联动主管部门</w:t>
            </w:r>
          </w:p>
        </w:tc>
      </w:tr>
      <w:tr w14:paraId="1E0EF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7152FAE4">
            <w:pPr>
              <w:pStyle w:val="178"/>
            </w:pPr>
            <w:r>
              <w:rPr>
                <w:rFonts w:hint="eastAsia"/>
              </w:rPr>
              <w:t>二级</w:t>
            </w:r>
          </w:p>
        </w:tc>
        <w:tc>
          <w:tcPr>
            <w:tcW w:w="2609" w:type="dxa"/>
            <w:vAlign w:val="center"/>
          </w:tcPr>
          <w:p w14:paraId="176FECDA">
            <w:pPr>
              <w:pStyle w:val="178"/>
            </w:pPr>
            <w:r>
              <w:rPr>
                <w:rFonts w:hint="eastAsia"/>
              </w:rPr>
              <w:t>对重要数据或部分系统造成较大影响，业务运行受限但未完全中断</w:t>
            </w:r>
          </w:p>
        </w:tc>
        <w:tc>
          <w:tcPr>
            <w:tcW w:w="2069" w:type="dxa"/>
            <w:vAlign w:val="center"/>
          </w:tcPr>
          <w:p w14:paraId="3BDE1520">
            <w:pPr>
              <w:pStyle w:val="178"/>
            </w:pPr>
            <w:r>
              <w:rPr>
                <w:rFonts w:hint="eastAsia"/>
              </w:rPr>
              <w:t>重要服务器宕机、部分数据库损坏</w:t>
            </w:r>
          </w:p>
        </w:tc>
        <w:tc>
          <w:tcPr>
            <w:tcW w:w="1665" w:type="dxa"/>
            <w:vAlign w:val="center"/>
          </w:tcPr>
          <w:p w14:paraId="51DD53BA">
            <w:pPr>
              <w:pStyle w:val="178"/>
            </w:pPr>
            <w:r>
              <w:rPr>
                <w:rFonts w:hint="eastAsia"/>
              </w:rPr>
              <w:t>1小时内</w:t>
            </w:r>
          </w:p>
        </w:tc>
        <w:tc>
          <w:tcPr>
            <w:tcW w:w="1867" w:type="dxa"/>
            <w:vAlign w:val="center"/>
          </w:tcPr>
          <w:p w14:paraId="32E1DE03">
            <w:pPr>
              <w:pStyle w:val="178"/>
            </w:pPr>
            <w:r>
              <w:rPr>
                <w:rFonts w:hint="eastAsia"/>
              </w:rPr>
              <w:t>启动专项预案，恢复关键业务，安排备份切换</w:t>
            </w:r>
          </w:p>
        </w:tc>
      </w:tr>
      <w:tr w14:paraId="5E425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E6507D0">
            <w:pPr>
              <w:pStyle w:val="178"/>
            </w:pPr>
            <w:r>
              <w:rPr>
                <w:rFonts w:hint="eastAsia"/>
              </w:rPr>
              <w:t>三级</w:t>
            </w:r>
          </w:p>
        </w:tc>
        <w:tc>
          <w:tcPr>
            <w:tcW w:w="2609" w:type="dxa"/>
            <w:vAlign w:val="center"/>
          </w:tcPr>
          <w:p w14:paraId="44E99F2A">
            <w:pPr>
              <w:pStyle w:val="178"/>
            </w:pPr>
            <w:r>
              <w:rPr>
                <w:rFonts w:hint="eastAsia"/>
              </w:rPr>
              <w:t>对一般数据或个别终端造成影响，对业务整体运行影响有限</w:t>
            </w:r>
          </w:p>
        </w:tc>
        <w:tc>
          <w:tcPr>
            <w:tcW w:w="2069" w:type="dxa"/>
            <w:vAlign w:val="center"/>
          </w:tcPr>
          <w:p w14:paraId="518BD79D">
            <w:pPr>
              <w:pStyle w:val="178"/>
            </w:pPr>
            <w:r>
              <w:rPr>
                <w:rFonts w:hint="eastAsia"/>
              </w:rPr>
              <w:t>局部网络故障、单台设备感染病毒</w:t>
            </w:r>
          </w:p>
        </w:tc>
        <w:tc>
          <w:tcPr>
            <w:tcW w:w="1665" w:type="dxa"/>
            <w:vAlign w:val="center"/>
          </w:tcPr>
          <w:p w14:paraId="7CDB7534">
            <w:pPr>
              <w:pStyle w:val="178"/>
            </w:pPr>
            <w:r>
              <w:rPr>
                <w:rFonts w:hint="eastAsia"/>
              </w:rPr>
              <w:t>4小时内</w:t>
            </w:r>
          </w:p>
        </w:tc>
        <w:tc>
          <w:tcPr>
            <w:tcW w:w="1867" w:type="dxa"/>
            <w:vAlign w:val="center"/>
          </w:tcPr>
          <w:p w14:paraId="0A2C3D8F">
            <w:pPr>
              <w:pStyle w:val="178"/>
            </w:pPr>
            <w:r>
              <w:rPr>
                <w:rFonts w:hint="eastAsia"/>
              </w:rPr>
              <w:t>启动局部处置流程，隔离受影响设备，修复漏洞</w:t>
            </w:r>
          </w:p>
        </w:tc>
      </w:tr>
      <w:tr w14:paraId="58418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358A4CD">
            <w:pPr>
              <w:pStyle w:val="178"/>
            </w:pPr>
            <w:r>
              <w:rPr>
                <w:rFonts w:hint="eastAsia"/>
              </w:rPr>
              <w:t>四级</w:t>
            </w:r>
          </w:p>
        </w:tc>
        <w:tc>
          <w:tcPr>
            <w:tcW w:w="2609" w:type="dxa"/>
            <w:vAlign w:val="center"/>
          </w:tcPr>
          <w:p w14:paraId="6AB71A9F">
            <w:pPr>
              <w:pStyle w:val="178"/>
            </w:pPr>
            <w:r>
              <w:rPr>
                <w:rFonts w:hint="eastAsia"/>
              </w:rPr>
              <w:t>对数据和业务基本无实质影响，仅产生潜在风险或异常迹象</w:t>
            </w:r>
          </w:p>
        </w:tc>
        <w:tc>
          <w:tcPr>
            <w:tcW w:w="2069" w:type="dxa"/>
            <w:vAlign w:val="center"/>
          </w:tcPr>
          <w:p w14:paraId="0D8530EA">
            <w:pPr>
              <w:pStyle w:val="178"/>
            </w:pPr>
            <w:r>
              <w:rPr>
                <w:rFonts w:hint="eastAsia"/>
              </w:rPr>
              <w:t>异常流量、用户误操作</w:t>
            </w:r>
          </w:p>
        </w:tc>
        <w:tc>
          <w:tcPr>
            <w:tcW w:w="1665" w:type="dxa"/>
            <w:vAlign w:val="center"/>
          </w:tcPr>
          <w:p w14:paraId="49B22ABE">
            <w:pPr>
              <w:pStyle w:val="178"/>
            </w:pPr>
            <w:r>
              <w:rPr>
                <w:rFonts w:hint="eastAsia"/>
              </w:rPr>
              <w:t>24小时内</w:t>
            </w:r>
          </w:p>
        </w:tc>
        <w:tc>
          <w:tcPr>
            <w:tcW w:w="1867" w:type="dxa"/>
            <w:vAlign w:val="center"/>
          </w:tcPr>
          <w:p w14:paraId="531E9B88">
            <w:pPr>
              <w:pStyle w:val="178"/>
            </w:pPr>
            <w:r>
              <w:rPr>
                <w:rFonts w:hint="eastAsia"/>
              </w:rPr>
              <w:t>进行风险研判，记录日志，跟踪观察</w:t>
            </w:r>
          </w:p>
        </w:tc>
      </w:tr>
    </w:tbl>
    <w:p w14:paraId="4C337D59">
      <w:pPr>
        <w:pStyle w:val="105"/>
        <w:spacing w:before="120" w:after="120" w:line="360" w:lineRule="auto"/>
      </w:pPr>
      <w:r>
        <w:rPr>
          <w:rFonts w:hint="eastAsia"/>
        </w:rPr>
        <w:t>灾备与恢复</w:t>
      </w:r>
    </w:p>
    <w:p w14:paraId="6E5CA2E9">
      <w:pPr>
        <w:pStyle w:val="165"/>
        <w:spacing w:line="360" w:lineRule="auto"/>
      </w:pPr>
      <w:r>
        <w:rPr>
          <w:rFonts w:hint="eastAsia"/>
        </w:rPr>
        <w:t>建筑智能化系统应建立数据备份与灾难恢复机制，确保在发生重大事件后能够快速恢复运行。</w:t>
      </w:r>
    </w:p>
    <w:p w14:paraId="72E2ADD7">
      <w:pPr>
        <w:pStyle w:val="165"/>
        <w:spacing w:line="360" w:lineRule="auto"/>
      </w:pPr>
      <w:r>
        <w:rPr>
          <w:rFonts w:hint="eastAsia"/>
        </w:rPr>
        <w:t>核心数据应至少具备本地备份和异地备份两种方式，备份频率不得低于每日一次。</w:t>
      </w:r>
    </w:p>
    <w:p w14:paraId="7D341234">
      <w:pPr>
        <w:pStyle w:val="165"/>
        <w:spacing w:line="360" w:lineRule="auto"/>
      </w:pPr>
      <w:r>
        <w:rPr>
          <w:rFonts w:hint="eastAsia"/>
        </w:rPr>
        <w:t>灾备切换演练应至少每年进行一次，确保在紧急情况下能够在规定时限内恢复业务。</w:t>
      </w:r>
    </w:p>
    <w:p w14:paraId="34BE4D89">
      <w:pPr>
        <w:pStyle w:val="105"/>
        <w:spacing w:before="120" w:after="120" w:line="360" w:lineRule="auto"/>
      </w:pPr>
      <w:r>
        <w:rPr>
          <w:rFonts w:hint="eastAsia"/>
        </w:rPr>
        <w:t>事件总结与改进</w:t>
      </w:r>
    </w:p>
    <w:p w14:paraId="03B15657">
      <w:pPr>
        <w:pStyle w:val="165"/>
        <w:spacing w:line="360" w:lineRule="auto"/>
      </w:pPr>
      <w:r>
        <w:rPr>
          <w:rFonts w:hint="eastAsia"/>
        </w:rPr>
        <w:t>每次应急处置完成后，应形成事件总结报告，包括原因分析、损失评估、整改措施和改进建议。</w:t>
      </w:r>
    </w:p>
    <w:p w14:paraId="454A0BB7">
      <w:pPr>
        <w:pStyle w:val="165"/>
        <w:spacing w:line="360" w:lineRule="auto"/>
      </w:pPr>
      <w:r>
        <w:rPr>
          <w:rFonts w:hint="eastAsia"/>
        </w:rPr>
        <w:t>总结报告应在事件发生后 15 个工作日内完成，并报送相关主管部门或行业协会备案。</w:t>
      </w:r>
    </w:p>
    <w:p w14:paraId="0F1EB9DE">
      <w:pPr>
        <w:pStyle w:val="165"/>
        <w:spacing w:line="360" w:lineRule="auto"/>
      </w:pPr>
      <w:r>
        <w:rPr>
          <w:rFonts w:hint="eastAsia"/>
        </w:rPr>
        <w:t>改进措施应落实到制度、流程和技术环节，形成闭环管理。</w:t>
      </w:r>
    </w:p>
    <w:p w14:paraId="4361EE6C">
      <w:pPr>
        <w:pStyle w:val="104"/>
        <w:spacing w:before="240" w:after="240" w:line="360" w:lineRule="auto"/>
      </w:pPr>
      <w:bookmarkStart w:id="56" w:name="_Toc207543275"/>
      <w:r>
        <w:rPr>
          <w:rFonts w:hint="eastAsia"/>
        </w:rPr>
        <w:t>数据安全评估与持续改进</w:t>
      </w:r>
      <w:bookmarkEnd w:id="56"/>
    </w:p>
    <w:p w14:paraId="07DCCC7D">
      <w:pPr>
        <w:pStyle w:val="105"/>
        <w:spacing w:before="120" w:after="120" w:line="360" w:lineRule="auto"/>
      </w:pPr>
      <w:r>
        <w:rPr>
          <w:rFonts w:hint="eastAsia"/>
        </w:rPr>
        <w:t>定期评估</w:t>
      </w:r>
    </w:p>
    <w:p w14:paraId="3C9D7DED">
      <w:pPr>
        <w:pStyle w:val="165"/>
        <w:spacing w:line="360" w:lineRule="auto"/>
      </w:pPr>
      <w:r>
        <w:rPr>
          <w:rFonts w:hint="eastAsia"/>
        </w:rPr>
        <w:t>建筑智能化系统应建立定期数据安全评估制度，评估频率不应低于每年一次。</w:t>
      </w:r>
    </w:p>
    <w:p w14:paraId="00F4AE84">
      <w:pPr>
        <w:pStyle w:val="165"/>
        <w:spacing w:line="360" w:lineRule="auto"/>
      </w:pPr>
      <w:r>
        <w:rPr>
          <w:rFonts w:hint="eastAsia"/>
        </w:rPr>
        <w:t>评估范围应涵盖网络、应用、存储、传输、人员管理及制度执行等各环节。</w:t>
      </w:r>
    </w:p>
    <w:p w14:paraId="45D7A105">
      <w:pPr>
        <w:pStyle w:val="165"/>
        <w:spacing w:line="360" w:lineRule="auto"/>
      </w:pPr>
      <w:r>
        <w:rPr>
          <w:rFonts w:hint="eastAsia"/>
        </w:rPr>
        <w:t>评估活动应由具备资质的第三方机构或独立审计部门执行，避免评估结果失真。</w:t>
      </w:r>
    </w:p>
    <w:p w14:paraId="1B0287A7">
      <w:pPr>
        <w:pStyle w:val="105"/>
        <w:spacing w:before="120" w:after="120" w:line="360" w:lineRule="auto"/>
      </w:pPr>
      <w:r>
        <w:rPr>
          <w:rFonts w:hint="eastAsia"/>
        </w:rPr>
        <w:t>评估方法</w:t>
      </w:r>
    </w:p>
    <w:p w14:paraId="4B1AD2A1">
      <w:pPr>
        <w:pStyle w:val="165"/>
        <w:spacing w:line="360" w:lineRule="auto"/>
      </w:pPr>
      <w:r>
        <w:rPr>
          <w:rFonts w:hint="eastAsia"/>
        </w:rPr>
        <w:t>应采用漏洞扫描、渗透测试、日志分析和风险建模等多种技术方法。</w:t>
      </w:r>
    </w:p>
    <w:p w14:paraId="5F0F56D5">
      <w:pPr>
        <w:pStyle w:val="165"/>
        <w:spacing w:line="360" w:lineRule="auto"/>
      </w:pPr>
      <w:r>
        <w:rPr>
          <w:rFonts w:hint="eastAsia"/>
        </w:rPr>
        <w:t>应结合定量指标与定性分析，对数据安全水平进行综合判定。</w:t>
      </w:r>
    </w:p>
    <w:p w14:paraId="6A831C3E">
      <w:pPr>
        <w:pStyle w:val="165"/>
        <w:spacing w:line="360" w:lineRule="auto"/>
      </w:pPr>
      <w:r>
        <w:rPr>
          <w:rFonts w:hint="eastAsia"/>
        </w:rPr>
        <w:t>对发现的高风险隐患，应立即制定整改计划并落实责任人。</w:t>
      </w:r>
    </w:p>
    <w:p w14:paraId="3F1414D7">
      <w:pPr>
        <w:pStyle w:val="56"/>
        <w:spacing w:line="360" w:lineRule="auto"/>
        <w:ind w:firstLine="420"/>
      </w:pPr>
      <w:r>
        <w:rPr>
          <w:rFonts w:hint="eastAsia"/>
        </w:rPr>
        <w:t>为便于对系统数据安全水平进行量化评估，可设置指标体系。常见指标如表2所示。</w:t>
      </w:r>
    </w:p>
    <w:p w14:paraId="5900D6FC">
      <w:pPr>
        <w:pStyle w:val="112"/>
        <w:spacing w:before="120" w:after="120"/>
      </w:pPr>
      <w:r>
        <w:rPr>
          <w:rFonts w:hint="eastAsia"/>
        </w:rPr>
        <w:t>数据安全评估常用指标体系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09547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234B612E">
            <w:pPr>
              <w:pStyle w:val="178"/>
            </w:pPr>
            <w:r>
              <w:rPr>
                <w:rFonts w:hint="eastAsia"/>
              </w:rPr>
              <w:t>指标类别</w:t>
            </w:r>
          </w:p>
        </w:tc>
        <w:tc>
          <w:tcPr>
            <w:tcW w:w="2333" w:type="dxa"/>
            <w:tcBorders>
              <w:top w:val="single" w:color="auto" w:sz="8" w:space="0"/>
              <w:bottom w:val="single" w:color="auto" w:sz="8" w:space="0"/>
            </w:tcBorders>
            <w:vAlign w:val="center"/>
          </w:tcPr>
          <w:p w14:paraId="1DDBE333">
            <w:pPr>
              <w:pStyle w:val="178"/>
            </w:pPr>
            <w:r>
              <w:rPr>
                <w:rFonts w:hint="eastAsia"/>
              </w:rPr>
              <w:t>指标名称</w:t>
            </w:r>
          </w:p>
        </w:tc>
        <w:tc>
          <w:tcPr>
            <w:tcW w:w="2333" w:type="dxa"/>
            <w:tcBorders>
              <w:top w:val="single" w:color="auto" w:sz="8" w:space="0"/>
              <w:bottom w:val="single" w:color="auto" w:sz="8" w:space="0"/>
            </w:tcBorders>
            <w:vAlign w:val="center"/>
          </w:tcPr>
          <w:p w14:paraId="17A7EBEE">
            <w:pPr>
              <w:pStyle w:val="178"/>
            </w:pPr>
            <w:r>
              <w:rPr>
                <w:rFonts w:hint="eastAsia"/>
              </w:rPr>
              <w:t>指标要求</w:t>
            </w:r>
          </w:p>
        </w:tc>
        <w:tc>
          <w:tcPr>
            <w:tcW w:w="2334" w:type="dxa"/>
            <w:tcBorders>
              <w:top w:val="single" w:color="auto" w:sz="8" w:space="0"/>
              <w:bottom w:val="single" w:color="auto" w:sz="8" w:space="0"/>
            </w:tcBorders>
            <w:vAlign w:val="center"/>
          </w:tcPr>
          <w:p w14:paraId="2012B91E">
            <w:pPr>
              <w:pStyle w:val="178"/>
            </w:pPr>
            <w:r>
              <w:rPr>
                <w:rFonts w:hint="eastAsia"/>
              </w:rPr>
              <w:t>评价方法</w:t>
            </w:r>
          </w:p>
        </w:tc>
      </w:tr>
      <w:tr w14:paraId="6AB83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0910FCE4">
            <w:pPr>
              <w:pStyle w:val="178"/>
            </w:pPr>
            <w:r>
              <w:rPr>
                <w:rFonts w:hint="eastAsia"/>
              </w:rPr>
              <w:t>管理制度</w:t>
            </w:r>
          </w:p>
        </w:tc>
        <w:tc>
          <w:tcPr>
            <w:tcW w:w="2333" w:type="dxa"/>
            <w:tcBorders>
              <w:top w:val="single" w:color="auto" w:sz="8" w:space="0"/>
            </w:tcBorders>
            <w:vAlign w:val="center"/>
          </w:tcPr>
          <w:p w14:paraId="6BC271F2">
            <w:pPr>
              <w:pStyle w:val="178"/>
            </w:pPr>
            <w:r>
              <w:rPr>
                <w:rFonts w:hint="eastAsia"/>
              </w:rPr>
              <w:t>数据安全管理制度覆盖率</w:t>
            </w:r>
          </w:p>
        </w:tc>
        <w:tc>
          <w:tcPr>
            <w:tcW w:w="2333" w:type="dxa"/>
            <w:tcBorders>
              <w:top w:val="single" w:color="auto" w:sz="8" w:space="0"/>
            </w:tcBorders>
            <w:vAlign w:val="center"/>
          </w:tcPr>
          <w:p w14:paraId="1D9A36D2">
            <w:pPr>
              <w:pStyle w:val="178"/>
            </w:pPr>
            <w:r>
              <w:rPr>
                <w:rFonts w:hint="eastAsia"/>
              </w:rPr>
              <w:t>≥95%</w:t>
            </w:r>
          </w:p>
        </w:tc>
        <w:tc>
          <w:tcPr>
            <w:tcW w:w="2334" w:type="dxa"/>
            <w:tcBorders>
              <w:top w:val="single" w:color="auto" w:sz="8" w:space="0"/>
            </w:tcBorders>
            <w:vAlign w:val="center"/>
          </w:tcPr>
          <w:p w14:paraId="4035CAF7">
            <w:pPr>
              <w:pStyle w:val="178"/>
            </w:pPr>
            <w:r>
              <w:rPr>
                <w:rFonts w:hint="eastAsia"/>
              </w:rPr>
              <w:t>文件检查、访谈</w:t>
            </w:r>
          </w:p>
        </w:tc>
      </w:tr>
      <w:tr w14:paraId="5922F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37A84A04">
            <w:pPr>
              <w:pStyle w:val="178"/>
            </w:pPr>
            <w:r>
              <w:rPr>
                <w:rFonts w:hint="eastAsia"/>
              </w:rPr>
              <w:t>人员管理</w:t>
            </w:r>
          </w:p>
        </w:tc>
        <w:tc>
          <w:tcPr>
            <w:tcW w:w="2333" w:type="dxa"/>
            <w:vAlign w:val="center"/>
          </w:tcPr>
          <w:p w14:paraId="4E2C4FAC">
            <w:pPr>
              <w:pStyle w:val="178"/>
            </w:pPr>
            <w:r>
              <w:rPr>
                <w:rFonts w:hint="eastAsia"/>
              </w:rPr>
              <w:t>安全培训合格率</w:t>
            </w:r>
          </w:p>
        </w:tc>
        <w:tc>
          <w:tcPr>
            <w:tcW w:w="2333" w:type="dxa"/>
            <w:vAlign w:val="center"/>
          </w:tcPr>
          <w:p w14:paraId="14F9599F">
            <w:pPr>
              <w:pStyle w:val="178"/>
            </w:pPr>
            <w:r>
              <w:rPr>
                <w:rFonts w:hint="eastAsia"/>
              </w:rPr>
              <w:t>≥90%</w:t>
            </w:r>
          </w:p>
        </w:tc>
        <w:tc>
          <w:tcPr>
            <w:tcW w:w="2334" w:type="dxa"/>
            <w:vAlign w:val="center"/>
          </w:tcPr>
          <w:p w14:paraId="3CEFDDF6">
            <w:pPr>
              <w:pStyle w:val="178"/>
            </w:pPr>
            <w:r>
              <w:rPr>
                <w:rFonts w:hint="eastAsia"/>
              </w:rPr>
              <w:t>培训记录、考核结果</w:t>
            </w:r>
          </w:p>
        </w:tc>
      </w:tr>
      <w:tr w14:paraId="18BF5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2E980541">
            <w:pPr>
              <w:pStyle w:val="178"/>
            </w:pPr>
            <w:r>
              <w:rPr>
                <w:rFonts w:hint="eastAsia"/>
              </w:rPr>
              <w:t>技术防护</w:t>
            </w:r>
          </w:p>
        </w:tc>
        <w:tc>
          <w:tcPr>
            <w:tcW w:w="2333" w:type="dxa"/>
            <w:vAlign w:val="center"/>
          </w:tcPr>
          <w:p w14:paraId="190E6575">
            <w:pPr>
              <w:pStyle w:val="178"/>
            </w:pPr>
            <w:r>
              <w:rPr>
                <w:rFonts w:hint="eastAsia"/>
              </w:rPr>
              <w:t>关键系统漏洞修复率</w:t>
            </w:r>
          </w:p>
        </w:tc>
        <w:tc>
          <w:tcPr>
            <w:tcW w:w="2333" w:type="dxa"/>
            <w:vAlign w:val="center"/>
          </w:tcPr>
          <w:p w14:paraId="585700FC">
            <w:pPr>
              <w:pStyle w:val="178"/>
            </w:pPr>
            <w:r>
              <w:rPr>
                <w:rFonts w:hint="eastAsia"/>
              </w:rPr>
              <w:t>≥98%</w:t>
            </w:r>
          </w:p>
        </w:tc>
        <w:tc>
          <w:tcPr>
            <w:tcW w:w="2334" w:type="dxa"/>
            <w:vAlign w:val="center"/>
          </w:tcPr>
          <w:p w14:paraId="1CCDA854">
            <w:pPr>
              <w:pStyle w:val="178"/>
            </w:pPr>
            <w:r>
              <w:rPr>
                <w:rFonts w:hint="eastAsia"/>
              </w:rPr>
              <w:t>漏洞扫描、整改记录</w:t>
            </w:r>
          </w:p>
        </w:tc>
      </w:tr>
      <w:tr w14:paraId="67C43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007C9AA5">
            <w:pPr>
              <w:pStyle w:val="178"/>
            </w:pPr>
            <w:r>
              <w:rPr>
                <w:rFonts w:hint="eastAsia"/>
              </w:rPr>
              <w:t>日志与审计</w:t>
            </w:r>
          </w:p>
        </w:tc>
        <w:tc>
          <w:tcPr>
            <w:tcW w:w="2333" w:type="dxa"/>
            <w:vAlign w:val="center"/>
          </w:tcPr>
          <w:p w14:paraId="47456423">
            <w:pPr>
              <w:pStyle w:val="178"/>
            </w:pPr>
            <w:r>
              <w:rPr>
                <w:rFonts w:hint="eastAsia"/>
              </w:rPr>
              <w:t>日志完整率</w:t>
            </w:r>
          </w:p>
        </w:tc>
        <w:tc>
          <w:tcPr>
            <w:tcW w:w="2333" w:type="dxa"/>
            <w:vAlign w:val="center"/>
          </w:tcPr>
          <w:p w14:paraId="4C1F7565">
            <w:pPr>
              <w:pStyle w:val="178"/>
            </w:pPr>
            <w:r>
              <w:rPr>
                <w:rFonts w:hint="eastAsia"/>
              </w:rPr>
              <w:t>≥99%</w:t>
            </w:r>
          </w:p>
        </w:tc>
        <w:tc>
          <w:tcPr>
            <w:tcW w:w="2334" w:type="dxa"/>
            <w:vAlign w:val="center"/>
          </w:tcPr>
          <w:p w14:paraId="6DE79175">
            <w:pPr>
              <w:pStyle w:val="178"/>
            </w:pPr>
            <w:r>
              <w:rPr>
                <w:rFonts w:hint="eastAsia"/>
              </w:rPr>
              <w:t>抽样核查</w:t>
            </w:r>
          </w:p>
        </w:tc>
      </w:tr>
      <w:tr w14:paraId="55314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6DE58B92">
            <w:pPr>
              <w:pStyle w:val="178"/>
            </w:pPr>
            <w:r>
              <w:rPr>
                <w:rFonts w:hint="eastAsia"/>
              </w:rPr>
              <w:t>应急处置</w:t>
            </w:r>
          </w:p>
        </w:tc>
        <w:tc>
          <w:tcPr>
            <w:tcW w:w="2333" w:type="dxa"/>
            <w:vAlign w:val="center"/>
          </w:tcPr>
          <w:p w14:paraId="1A284532">
            <w:pPr>
              <w:pStyle w:val="178"/>
            </w:pPr>
            <w:r>
              <w:rPr>
                <w:rFonts w:hint="eastAsia"/>
              </w:rPr>
              <w:t>应急响应时效</w:t>
            </w:r>
          </w:p>
        </w:tc>
        <w:tc>
          <w:tcPr>
            <w:tcW w:w="2333" w:type="dxa"/>
            <w:vAlign w:val="center"/>
          </w:tcPr>
          <w:p w14:paraId="15F34B09">
            <w:pPr>
              <w:pStyle w:val="178"/>
            </w:pPr>
            <w:r>
              <w:rPr>
                <w:rFonts w:hint="eastAsia"/>
              </w:rPr>
              <w:t>≤30分钟</w:t>
            </w:r>
          </w:p>
        </w:tc>
        <w:tc>
          <w:tcPr>
            <w:tcW w:w="2334" w:type="dxa"/>
            <w:vAlign w:val="center"/>
          </w:tcPr>
          <w:p w14:paraId="319250C4">
            <w:pPr>
              <w:pStyle w:val="178"/>
            </w:pPr>
            <w:r>
              <w:rPr>
                <w:rFonts w:hint="eastAsia"/>
              </w:rPr>
              <w:t>演练与实际事件统计</w:t>
            </w:r>
          </w:p>
        </w:tc>
      </w:tr>
      <w:tr w14:paraId="2550E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5E8CBF83">
            <w:pPr>
              <w:pStyle w:val="178"/>
            </w:pPr>
            <w:r>
              <w:rPr>
                <w:rFonts w:hint="eastAsia"/>
              </w:rPr>
              <w:t>灾备能力</w:t>
            </w:r>
          </w:p>
        </w:tc>
        <w:tc>
          <w:tcPr>
            <w:tcW w:w="2333" w:type="dxa"/>
            <w:vAlign w:val="center"/>
          </w:tcPr>
          <w:p w14:paraId="589BEBEA">
            <w:pPr>
              <w:pStyle w:val="178"/>
            </w:pPr>
            <w:r>
              <w:rPr>
                <w:rFonts w:hint="eastAsia"/>
              </w:rPr>
              <w:t>核心数据恢复成功率</w:t>
            </w:r>
          </w:p>
        </w:tc>
        <w:tc>
          <w:tcPr>
            <w:tcW w:w="2333" w:type="dxa"/>
            <w:vAlign w:val="center"/>
          </w:tcPr>
          <w:p w14:paraId="70B65C5A">
            <w:pPr>
              <w:pStyle w:val="178"/>
            </w:pPr>
            <w:r>
              <w:rPr>
                <w:rFonts w:hint="eastAsia"/>
              </w:rPr>
              <w:t>100%</w:t>
            </w:r>
          </w:p>
        </w:tc>
        <w:tc>
          <w:tcPr>
            <w:tcW w:w="2334" w:type="dxa"/>
            <w:vAlign w:val="center"/>
          </w:tcPr>
          <w:p w14:paraId="1F01DB90">
            <w:pPr>
              <w:pStyle w:val="178"/>
            </w:pPr>
            <w:r>
              <w:rPr>
                <w:rFonts w:hint="eastAsia"/>
              </w:rPr>
              <w:t>灾备演练报告</w:t>
            </w:r>
          </w:p>
        </w:tc>
      </w:tr>
    </w:tbl>
    <w:p w14:paraId="07E8C413">
      <w:pPr>
        <w:pStyle w:val="105"/>
        <w:spacing w:before="120" w:after="120" w:line="360" w:lineRule="auto"/>
      </w:pPr>
      <w:r>
        <w:rPr>
          <w:rFonts w:hint="eastAsia"/>
        </w:rPr>
        <w:t>持续改进</w:t>
      </w:r>
    </w:p>
    <w:p w14:paraId="07B6CA7F">
      <w:pPr>
        <w:pStyle w:val="165"/>
        <w:spacing w:line="360" w:lineRule="auto"/>
      </w:pPr>
      <w:r>
        <w:rPr>
          <w:rFonts w:hint="eastAsia"/>
        </w:rPr>
        <w:t>评估结果应形成书面报告，并报送系统主管部门或行业协会。</w:t>
      </w:r>
    </w:p>
    <w:p w14:paraId="0A832974">
      <w:pPr>
        <w:pStyle w:val="165"/>
        <w:spacing w:line="360" w:lineRule="auto"/>
      </w:pPr>
      <w:r>
        <w:rPr>
          <w:rFonts w:hint="eastAsia"/>
        </w:rPr>
        <w:t>系统运营和运维单位应根据评估结果，修订数据安全策略和管理制度。</w:t>
      </w:r>
    </w:p>
    <w:p w14:paraId="64DA0D46">
      <w:pPr>
        <w:pStyle w:val="165"/>
        <w:spacing w:line="360" w:lineRule="auto"/>
      </w:pPr>
      <w:r>
        <w:rPr>
          <w:rFonts w:hint="eastAsia"/>
        </w:rPr>
        <w:t>对评估中发现的共性问题，应纳入改进计划，形成全生命周期闭环管理。</w:t>
      </w:r>
    </w:p>
    <w:p w14:paraId="1C3C10DF">
      <w:pPr>
        <w:pStyle w:val="165"/>
        <w:spacing w:line="360" w:lineRule="auto"/>
      </w:pPr>
      <w:r>
        <w:rPr>
          <w:rFonts w:hint="eastAsia"/>
        </w:rPr>
        <w:t>应将数据安全改进措施纳入年度工作计划，并进行定期跟踪与考核。</w:t>
      </w:r>
    </w:p>
    <w:p w14:paraId="47AE932D">
      <w:pPr>
        <w:pStyle w:val="105"/>
        <w:spacing w:before="120" w:after="120" w:line="360" w:lineRule="auto"/>
      </w:pPr>
      <w:r>
        <w:rPr>
          <w:rFonts w:hint="eastAsia"/>
        </w:rPr>
        <w:t>创新与优化</w:t>
      </w:r>
    </w:p>
    <w:p w14:paraId="0F50F693">
      <w:pPr>
        <w:pStyle w:val="165"/>
        <w:spacing w:line="360" w:lineRule="auto"/>
      </w:pPr>
      <w:r>
        <w:rPr>
          <w:rFonts w:hint="eastAsia"/>
        </w:rPr>
        <w:t>鼓励采用人工智能、大数据分析和安全态势感知等新技术，提升数据安全水平。</w:t>
      </w:r>
    </w:p>
    <w:p w14:paraId="0C55CE9E">
      <w:pPr>
        <w:pStyle w:val="165"/>
        <w:spacing w:line="360" w:lineRule="auto"/>
      </w:pPr>
      <w:r>
        <w:rPr>
          <w:rFonts w:hint="eastAsia"/>
        </w:rPr>
        <w:t>鼓励在行业内部建立经验共享机制，推动典型案例交流和标准迭代升级。</w:t>
      </w:r>
    </w:p>
    <w:p w14:paraId="3EC28427">
      <w:pPr>
        <w:pStyle w:val="104"/>
        <w:spacing w:before="240" w:after="240" w:line="360" w:lineRule="auto"/>
      </w:pPr>
      <w:bookmarkStart w:id="57" w:name="_Toc207543276"/>
      <w:r>
        <w:rPr>
          <w:rFonts w:hint="eastAsia"/>
        </w:rPr>
        <w:t>附则</w:t>
      </w:r>
      <w:bookmarkEnd w:id="57"/>
    </w:p>
    <w:p w14:paraId="13A860F7">
      <w:pPr>
        <w:pStyle w:val="105"/>
        <w:spacing w:before="120" w:after="120" w:line="360" w:lineRule="auto"/>
      </w:pPr>
      <w:r>
        <w:rPr>
          <w:rFonts w:hint="eastAsia"/>
        </w:rPr>
        <w:t>适用范围说明</w:t>
      </w:r>
    </w:p>
    <w:p w14:paraId="3D9C99D4">
      <w:pPr>
        <w:pStyle w:val="165"/>
        <w:spacing w:line="360" w:lineRule="auto"/>
      </w:pPr>
      <w:r>
        <w:rPr>
          <w:rFonts w:hint="eastAsia"/>
        </w:rPr>
        <w:t>本文件为建筑智能化系统数据安全防护的团体标准，适用于相关单位在系统设计、建设、运行、维护和管理中的参考与实施。</w:t>
      </w:r>
    </w:p>
    <w:p w14:paraId="3BC63966">
      <w:pPr>
        <w:pStyle w:val="165"/>
        <w:spacing w:line="360" w:lineRule="auto"/>
      </w:pPr>
      <w:r>
        <w:rPr>
          <w:rFonts w:hint="eastAsia"/>
        </w:rPr>
        <w:t>本文件未尽事宜，可参照国家相关法律法规、行业标准及国际通行规范执行。</w:t>
      </w:r>
    </w:p>
    <w:p w14:paraId="707B8EBB">
      <w:pPr>
        <w:pStyle w:val="105"/>
        <w:spacing w:before="120" w:after="120" w:line="360" w:lineRule="auto"/>
      </w:pPr>
      <w:r>
        <w:rPr>
          <w:rFonts w:hint="eastAsia"/>
        </w:rPr>
        <w:t>解释与修订</w:t>
      </w:r>
    </w:p>
    <w:p w14:paraId="4F1F85E2">
      <w:pPr>
        <w:pStyle w:val="165"/>
        <w:spacing w:line="360" w:lineRule="auto"/>
      </w:pPr>
      <w:r>
        <w:rPr>
          <w:rFonts w:hint="eastAsia"/>
        </w:rPr>
        <w:t>本文件由发布单位负责解释。</w:t>
      </w:r>
    </w:p>
    <w:p w14:paraId="076002F3">
      <w:pPr>
        <w:pStyle w:val="165"/>
        <w:spacing w:line="360" w:lineRule="auto"/>
      </w:pPr>
      <w:r>
        <w:rPr>
          <w:rFonts w:hint="eastAsia"/>
        </w:rPr>
        <w:t>当相关法律法规、国家标准或行业政策发生变化时，本文件应及时修订，以保持其适用性与有效性。</w:t>
      </w:r>
    </w:p>
    <w:p w14:paraId="095DE193">
      <w:pPr>
        <w:pStyle w:val="165"/>
        <w:spacing w:line="360" w:lineRule="auto"/>
      </w:pPr>
      <w:r>
        <w:rPr>
          <w:rFonts w:hint="eastAsia"/>
        </w:rPr>
        <w:t>本文件的修订应遵循公开、透明和广泛征求意见的原则，必要时应组织专家论证。</w:t>
      </w:r>
    </w:p>
    <w:p w14:paraId="24D3A016">
      <w:pPr>
        <w:pStyle w:val="105"/>
        <w:spacing w:before="120" w:after="120" w:line="360" w:lineRule="auto"/>
      </w:pPr>
      <w:r>
        <w:rPr>
          <w:rFonts w:hint="eastAsia"/>
        </w:rPr>
        <w:t>施行要求</w:t>
      </w:r>
    </w:p>
    <w:p w14:paraId="65B144EE">
      <w:pPr>
        <w:pStyle w:val="165"/>
        <w:spacing w:line="360" w:lineRule="auto"/>
      </w:pPr>
      <w:r>
        <w:rPr>
          <w:rFonts w:hint="eastAsia"/>
        </w:rPr>
        <w:t>本文件自发布之日起实施。</w:t>
      </w:r>
    </w:p>
    <w:p w14:paraId="5CAE4F9A">
      <w:pPr>
        <w:pStyle w:val="165"/>
        <w:spacing w:line="360" w:lineRule="auto"/>
      </w:pPr>
      <w:r>
        <w:rPr>
          <w:rFonts w:hint="eastAsia"/>
        </w:rPr>
        <w:t>各单位在执行过程中发现问题和改进建议，应及时反馈至发布单位，用于后续修订完善。</w:t>
      </w:r>
    </w:p>
    <w:p w14:paraId="342D3E54">
      <w:pPr>
        <w:pStyle w:val="105"/>
        <w:spacing w:before="120" w:after="120" w:line="360" w:lineRule="auto"/>
      </w:pPr>
      <w:r>
        <w:rPr>
          <w:rFonts w:hint="eastAsia"/>
        </w:rPr>
        <w:t>与其他标准的关系</w:t>
      </w:r>
    </w:p>
    <w:p w14:paraId="46BCEC2A">
      <w:pPr>
        <w:pStyle w:val="165"/>
        <w:spacing w:line="360" w:lineRule="auto"/>
      </w:pPr>
      <w:r>
        <w:rPr>
          <w:rFonts w:hint="eastAsia"/>
        </w:rPr>
        <w:t>本文件在使用过程中，如与国家强制性标准存在冲突，应以国家强制性标准为准。</w:t>
      </w:r>
    </w:p>
    <w:p w14:paraId="0CB85EF5">
      <w:pPr>
        <w:pStyle w:val="165"/>
        <w:spacing w:line="360" w:lineRule="auto"/>
        <w:rPr>
          <w:rFonts w:hint="eastAsia"/>
        </w:rPr>
      </w:pPr>
      <w:r>
        <w:rPr>
          <w:rFonts w:hint="eastAsia"/>
        </w:rPr>
        <w:t>本文件可作为工程建设、验收、运维和监管的补充依据，与现行的建筑智能化及信息安全相关标准形成配套使用。</w:t>
      </w:r>
    </w:p>
    <w:bookmarkEnd w:id="26"/>
    <w:p w14:paraId="15A75BD8">
      <w:pPr>
        <w:pStyle w:val="56"/>
        <w:ind w:firstLine="0" w:firstLineChars="0"/>
        <w:jc w:val="center"/>
      </w:pPr>
      <w:bookmarkStart w:id="58" w:name="BookMark8"/>
      <w:r>
        <w:drawing>
          <wp:inline distT="0" distB="0" distL="0" distR="0">
            <wp:extent cx="1485900" cy="317500"/>
            <wp:effectExtent l="0" t="0" r="0" b="6350"/>
            <wp:docPr id="926122993" name="图片 3"/>
            <wp:cNvGraphicFramePr/>
            <a:graphic xmlns:a="http://schemas.openxmlformats.org/drawingml/2006/main">
              <a:graphicData uri="http://schemas.openxmlformats.org/drawingml/2006/picture">
                <pic:pic xmlns:pic="http://schemas.openxmlformats.org/drawingml/2006/picture">
                  <pic:nvPicPr>
                    <pic:cNvPr id="926122993"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9A89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06CD">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93A6">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F58A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700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FA2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FC0F">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B129">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56A1">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873B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1234">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35BD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17D9">
    <w:pPr>
      <w:pStyle w:val="61"/>
      <w:rPr>
        <w:rFonts w:hint="eastAsia"/>
      </w:rPr>
    </w:pPr>
    <w:r>
      <w:fldChar w:fldCharType="begin"/>
    </w:r>
    <w:r>
      <w:instrText xml:space="preserve"> STYLEREF  标准文件_文件编号  \* MERGEFORMAT </w:instrText>
    </w:r>
    <w:r>
      <w:fldChar w:fldCharType="separate"/>
    </w:r>
    <w:r>
      <w:t>T/XJBX 0082—2025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0A90">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0082—2025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811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035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4361">
    <w:pPr>
      <w:pStyle w:val="61"/>
      <w:rPr>
        <w:rFonts w:hint="eastAsia"/>
      </w:rPr>
    </w:pPr>
    <w:r>
      <w:fldChar w:fldCharType="begin"/>
    </w:r>
    <w:r>
      <w:instrText xml:space="preserve"> STYLEREF  标准文件_文件编号  \* MERGEFORMAT </w:instrText>
    </w:r>
    <w:r>
      <w:fldChar w:fldCharType="separate"/>
    </w:r>
    <w:r>
      <w:t>T/XJBX 0082—2025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E158">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0082—2025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59CD">
    <w:pPr>
      <w:pStyle w:val="61"/>
      <w:rPr>
        <w:rFonts w:hint="eastAsia"/>
      </w:rPr>
    </w:pPr>
    <w:r>
      <w:fldChar w:fldCharType="begin"/>
    </w:r>
    <w:r>
      <w:instrText xml:space="preserve"> STYLEREF  标准文件_文件编号  \* MERGEFORMAT </w:instrText>
    </w:r>
    <w:r>
      <w:fldChar w:fldCharType="separate"/>
    </w:r>
    <w:r>
      <w:t>T/XJBX 0082—2025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B32A">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0082—2025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3F63">
    <w:pPr>
      <w:pStyle w:val="61"/>
      <w:rPr>
        <w:rFonts w:hint="eastAsia"/>
      </w:rPr>
    </w:pPr>
    <w:r>
      <w:fldChar w:fldCharType="begin"/>
    </w:r>
    <w:r>
      <w:instrText xml:space="preserve"> STYLEREF  标准文件_文件编号  \* MERGEFORMAT </w:instrText>
    </w:r>
    <w:r>
      <w:fldChar w:fldCharType="separate"/>
    </w:r>
    <w:r>
      <w:t>T/XJBX 0082—2025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90D2D">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0082—2025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1275"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0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3EA"/>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97D"/>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54C"/>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C4C"/>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62C"/>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60E"/>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708"/>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2EAA"/>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6EEE"/>
    <w:rsid w:val="00F97C99"/>
    <w:rsid w:val="00FA662D"/>
    <w:rsid w:val="00FA73B1"/>
    <w:rsid w:val="00FB0CB9"/>
    <w:rsid w:val="00FB129D"/>
    <w:rsid w:val="00FB231D"/>
    <w:rsid w:val="00FB45F1"/>
    <w:rsid w:val="00FB4A72"/>
    <w:rsid w:val="00FB54E8"/>
    <w:rsid w:val="00FB7054"/>
    <w:rsid w:val="00FC17B7"/>
    <w:rsid w:val="00FC1F55"/>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0434F1C"/>
    <w:rsid w:val="22C0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Unresolved Mention"/>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643C98B1C44F36896A3D34E61420BA"/>
        <w:style w:val=""/>
        <w:category>
          <w:name w:val="常规"/>
          <w:gallery w:val="placeholder"/>
        </w:category>
        <w:types>
          <w:type w:val="bbPlcHdr"/>
        </w:types>
        <w:behaviors>
          <w:behavior w:val="content"/>
        </w:behaviors>
        <w:description w:val=""/>
        <w:guid w:val="{5AFC73DE-9A1A-434C-AFA5-BB3FC10395FA}"/>
      </w:docPartPr>
      <w:docPartBody>
        <w:p w14:paraId="4612B1C6">
          <w:pPr>
            <w:pStyle w:val="5"/>
            <w:rPr>
              <w:rFonts w:hint="eastAsia"/>
            </w:rPr>
          </w:pPr>
          <w:r>
            <w:rPr>
              <w:rStyle w:val="4"/>
              <w:rFonts w:hint="eastAsia"/>
            </w:rPr>
            <w:t>单击或点击此处输入文字。</w:t>
          </w:r>
        </w:p>
      </w:docPartBody>
    </w:docPart>
    <w:docPart>
      <w:docPartPr>
        <w:name w:val="BA06AA5280B2404CB30AEB22A533EEDC"/>
        <w:style w:val=""/>
        <w:category>
          <w:name w:val="常规"/>
          <w:gallery w:val="placeholder"/>
        </w:category>
        <w:types>
          <w:type w:val="bbPlcHdr"/>
        </w:types>
        <w:behaviors>
          <w:behavior w:val="content"/>
        </w:behaviors>
        <w:description w:val=""/>
        <w:guid w:val="{B94EE14B-8B26-4E39-99D5-A6969D9B77D0}"/>
      </w:docPartPr>
      <w:docPartBody>
        <w:p w14:paraId="474602A0">
          <w:pPr>
            <w:pStyle w:val="6"/>
            <w:rPr>
              <w:rFonts w:hint="eastAsia"/>
            </w:rPr>
          </w:pPr>
          <w:r>
            <w:rPr>
              <w:rStyle w:val="4"/>
              <w:rFonts w:hint="eastAsia"/>
            </w:rPr>
            <w:t>选择一项。</w:t>
          </w:r>
        </w:p>
      </w:docPartBody>
    </w:docPart>
    <w:docPart>
      <w:docPartPr>
        <w:name w:val="D1B9524E966445199EF6E9CAE01578AD"/>
        <w:style w:val=""/>
        <w:category>
          <w:name w:val="常规"/>
          <w:gallery w:val="placeholder"/>
        </w:category>
        <w:types>
          <w:type w:val="bbPlcHdr"/>
        </w:types>
        <w:behaviors>
          <w:behavior w:val="content"/>
        </w:behaviors>
        <w:description w:val=""/>
        <w:guid w:val="{CA1A0BF7-7AD9-4905-B59F-D74D0DACD6F2}"/>
      </w:docPartPr>
      <w:docPartBody>
        <w:p w14:paraId="70B79FC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F5"/>
    <w:rsid w:val="00C37982"/>
    <w:rsid w:val="00CB49F5"/>
    <w:rsid w:val="00F27AD8"/>
    <w:rsid w:val="00FB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F643C98B1C44F36896A3D34E61420B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A06AA5280B2404CB30AEB22A533EED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1B9524E966445199EF6E9CAE01578A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5107</Words>
  <Characters>5387</Characters>
  <Lines>240</Lines>
  <Paragraphs>174</Paragraphs>
  <TotalTime>178</TotalTime>
  <ScaleCrop>false</ScaleCrop>
  <LinksUpToDate>false</LinksUpToDate>
  <CharactersWithSpaces>5493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2025-08-31T03:37:00Z</dcterms:created>
  <dc:creator>黄健益</dc:creator>
  <dc:description>&lt;config cover="true" show_menu="true" version="1.0.0" doctype="SDKXY"&gt;_x000d_
&lt;/config&gt;</dc:description>
  <cp:lastModifiedBy>微信用户</cp:lastModifiedBy>
  <cp:lastPrinted>2021-02-02T08:22:00Z</cp:lastPrinted>
  <dcterms:modified xsi:type="dcterms:W3CDTF">2025-09-28T07:49:20Z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72C833CB56E34C25BA852796015EB513_12</vt:lpwstr>
  </property>
</Properties>
</file>