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54BB3B">
      <w:pPr>
        <w:pStyle w:val="51"/>
        <w:framePr w:wrap="around" w:vAnchor="page" w:hAnchor="page" w:x="1821" w:y="739"/>
        <w:shd w:val="clear"/>
        <w:rPr>
          <w:b/>
          <w:bCs/>
          <w:color w:val="000000" w:themeColor="text1"/>
          <w:highlight w:val="none"/>
          <w14:textFill>
            <w14:solidFill>
              <w14:schemeClr w14:val="tx1"/>
            </w14:solidFill>
          </w14:textFill>
        </w:rPr>
      </w:pPr>
      <w:r>
        <w:rPr>
          <w:rFonts w:ascii="Times New Roman"/>
          <w:b/>
          <w:bCs/>
          <w:color w:val="000000" w:themeColor="text1"/>
          <w:highlight w:val="none"/>
          <w14:textFill>
            <w14:solidFill>
              <w14:schemeClr w14:val="tx1"/>
            </w14:solidFill>
          </w14:textFill>
        </w:rPr>
        <w:t>ICS</w:t>
      </w:r>
      <w:r>
        <w:rPr>
          <w:rFonts w:hint="eastAsia" w:ascii="Times New Roman"/>
          <w:b/>
          <w:bCs/>
          <w:color w:val="000000" w:themeColor="text1"/>
          <w:highlight w:val="none"/>
          <w14:textFill>
            <w14:solidFill>
              <w14:schemeClr w14:val="tx1"/>
            </w14:solidFill>
          </w14:textFill>
        </w:rPr>
        <w:t xml:space="preserve"> 11</w:t>
      </w:r>
      <w:r>
        <w:rPr>
          <w:rFonts w:ascii="Times New Roman"/>
          <w:b/>
          <w:bCs/>
          <w:color w:val="000000" w:themeColor="text1"/>
          <w:highlight w:val="none"/>
          <w14:textFill>
            <w14:solidFill>
              <w14:schemeClr w14:val="tx1"/>
            </w14:solidFill>
          </w14:textFill>
        </w:rPr>
        <w:t>.0</w:t>
      </w:r>
      <w:r>
        <w:rPr>
          <w:rFonts w:hint="eastAsia" w:ascii="Times New Roman"/>
          <w:b/>
          <w:bCs/>
          <w:color w:val="000000" w:themeColor="text1"/>
          <w:highlight w:val="none"/>
          <w14:textFill>
            <w14:solidFill>
              <w14:schemeClr w14:val="tx1"/>
            </w14:solidFill>
          </w14:textFill>
        </w:rPr>
        <w:t>2</w:t>
      </w:r>
      <w:r>
        <w:rPr>
          <w:rFonts w:ascii="Times New Roman"/>
          <w:b/>
          <w:bCs/>
          <w:color w:val="000000" w:themeColor="text1"/>
          <w:highlight w:val="none"/>
          <w14:textFill>
            <w14:solidFill>
              <w14:schemeClr w14:val="tx1"/>
            </w14:solidFill>
          </w14:textFill>
        </w:rPr>
        <w:t>0</w:t>
      </w:r>
    </w:p>
    <w:p w14:paraId="50F3D864">
      <w:pPr>
        <w:pStyle w:val="51"/>
        <w:framePr w:wrap="around" w:vAnchor="page" w:hAnchor="page" w:x="1821" w:y="739"/>
        <w:shd w:val="clear"/>
        <w:rPr>
          <w:rFonts w:ascii="Times New Roman"/>
          <w:b/>
          <w:bCs/>
          <w:color w:val="000000" w:themeColor="text1"/>
          <w:highlight w:val="none"/>
          <w14:textFill>
            <w14:solidFill>
              <w14:schemeClr w14:val="tx1"/>
            </w14:solidFill>
          </w14:textFill>
        </w:rPr>
      </w:pPr>
      <w:r>
        <w:rPr>
          <w:rFonts w:hint="eastAsia" w:ascii="Times New Roman"/>
          <w:b/>
          <w:bCs/>
          <w:color w:val="000000" w:themeColor="text1"/>
          <w:highlight w:val="none"/>
          <w14:textFill>
            <w14:solidFill>
              <w14:schemeClr w14:val="tx1"/>
            </w14:solidFill>
          </w14:textFill>
        </w:rPr>
        <w:t>CCS C 05</w:t>
      </w:r>
    </w:p>
    <w:p w14:paraId="60056FD1">
      <w:pPr>
        <w:pStyle w:val="55"/>
        <w:framePr w:w="8178" w:h="856" w:hRule="exact" w:wrap="around" w:x="2055" w:y="2221"/>
        <w:shd w:val="clear"/>
        <w:rPr>
          <w:rFonts w:hint="eastAsia" w:ascii="黑体" w:hAnsi="黑体" w:eastAsia="黑体"/>
          <w:b w:val="0"/>
          <w:color w:val="000000" w:themeColor="text1"/>
          <w:sz w:val="56"/>
          <w:szCs w:val="52"/>
          <w:highlight w:val="none"/>
          <w14:textFill>
            <w14:solidFill>
              <w14:schemeClr w14:val="tx1"/>
            </w14:solidFill>
          </w14:textFill>
        </w:rPr>
      </w:pPr>
      <w:r>
        <w:rPr>
          <w:rFonts w:hint="eastAsia" w:ascii="黑体" w:hAnsi="黑体" w:eastAsia="黑体"/>
          <w:b w:val="0"/>
          <w:color w:val="000000" w:themeColor="text1"/>
          <w:sz w:val="56"/>
          <w:szCs w:val="52"/>
          <w:highlight w:val="none"/>
          <w14:textFill>
            <w14:solidFill>
              <w14:schemeClr w14:val="tx1"/>
            </w14:solidFill>
          </w14:textFill>
        </w:rPr>
        <w:t>团体标准</w:t>
      </w:r>
    </w:p>
    <w:tbl>
      <w:tblPr>
        <w:tblStyle w:val="25"/>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14:paraId="7FED3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14:paraId="22B5A4FB">
            <w:pPr>
              <w:pStyle w:val="53"/>
              <w:framePr w:wrap="around" w:x="1382" w:y="3031"/>
              <w:shd w:val="clear"/>
              <w:rPr>
                <w:rFonts w:hint="default" w:eastAsia="黑体"/>
                <w:color w:val="000000" w:themeColor="text1"/>
                <w:highlight w:val="none"/>
                <w:lang w:val="en-US" w:eastAsia="zh-CN"/>
                <w14:textFill>
                  <w14:solidFill>
                    <w14:schemeClr w14:val="tx1"/>
                  </w14:solidFill>
                </w14:textFill>
              </w:rPr>
            </w:pPr>
            <w:r>
              <w:rPr>
                <w:rFonts w:hint="eastAsia" w:ascii="Times New Roman"/>
                <w:b/>
                <w:bCs/>
                <w:color w:val="000000" w:themeColor="text1"/>
                <w:highlight w:val="none"/>
                <w:lang w:val="en-US" w:eastAsia="zh-CN"/>
                <w14:textFill>
                  <w14:solidFill>
                    <w14:schemeClr w14:val="tx1"/>
                  </w14:solidFill>
                </w14:textFill>
              </w:rPr>
              <w:t>XXXX</w:t>
            </w:r>
            <w:r>
              <w:rPr>
                <w:rFonts w:hint="eastAsia" w:ascii="Times New Roman"/>
                <w:b/>
                <w:bCs/>
                <w:color w:val="000000" w:themeColor="text1"/>
                <w:highlight w:val="none"/>
                <w:lang w:val="fr-FR"/>
                <w14:textFill>
                  <w14:solidFill>
                    <w14:schemeClr w14:val="tx1"/>
                  </w14:solidFill>
                </w14:textFill>
              </w:rPr>
              <w:t xml:space="preserve">- </w:t>
            </w:r>
            <w:r>
              <w:rPr>
                <w:rFonts w:hint="eastAsia" w:ascii="Times New Roman"/>
                <w:b/>
                <w:bCs/>
                <w:color w:val="000000" w:themeColor="text1"/>
                <w:highlight w:val="none"/>
                <w:lang w:val="en-US" w:eastAsia="zh-CN"/>
                <w14:textFill>
                  <w14:solidFill>
                    <w14:schemeClr w14:val="tx1"/>
                  </w14:solidFill>
                </w14:textFill>
              </w:rPr>
              <w:t>XXXX</w:t>
            </w:r>
            <w:r>
              <w:rPr>
                <w:rFonts w:hint="eastAsia" w:ascii="Times New Roman"/>
                <w:b/>
                <w:bCs/>
                <w:color w:val="000000" w:themeColor="text1"/>
                <w:highlight w:val="none"/>
                <w14:textFill>
                  <w14:solidFill>
                    <w14:schemeClr w14:val="tx1"/>
                  </w14:solidFill>
                </w14:textFill>
              </w:rPr>
              <w:t>-</w:t>
            </w:r>
            <w:r>
              <w:rPr>
                <w:rFonts w:hint="eastAsia" w:ascii="Times New Roman"/>
                <w:b/>
                <w:bCs/>
                <w:color w:val="000000" w:themeColor="text1"/>
                <w:highlight w:val="none"/>
                <w:lang w:val="en-US" w:eastAsia="zh-CN"/>
                <w14:textFill>
                  <w14:solidFill>
                    <w14:schemeClr w14:val="tx1"/>
                  </w14:solidFill>
                </w14:textFill>
              </w:rPr>
              <w:t>XXX</w:t>
            </w:r>
          </w:p>
        </w:tc>
      </w:tr>
    </w:tbl>
    <w:p w14:paraId="5C6BA79E">
      <w:pPr>
        <w:pStyle w:val="53"/>
        <w:framePr w:wrap="around" w:x="1382" w:y="3031"/>
        <w:shd w:val="clea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2C4FB319">
      <w:pPr>
        <w:pStyle w:val="53"/>
        <w:framePr w:wrap="around" w:x="1382" w:y="3031"/>
        <w:shd w:val="clear"/>
        <w:rPr>
          <w:color w:val="000000" w:themeColor="text1"/>
          <w:highlight w:val="none"/>
          <w14:textFill>
            <w14:solidFill>
              <w14:schemeClr w14:val="tx1"/>
            </w14:solidFill>
          </w14:textFill>
        </w:rPr>
      </w:pPr>
    </w:p>
    <w:p w14:paraId="58BFB725">
      <w:pPr>
        <w:pStyle w:val="52"/>
        <w:keepNext/>
        <w:keepLines/>
        <w:framePr w:w="9272" w:h="6917" w:hRule="exact" w:wrap="around" w:vAnchor="page" w:hAnchor="page" w:x="1327" w:y="6897" w:anchorLock="1"/>
        <w:shd w:val="clear"/>
        <w:spacing w:after="0"/>
        <w:ind w:firstLine="0"/>
        <w:jc w:val="center"/>
        <w:outlineLvl w:val="9"/>
        <w:rPr>
          <w:rFonts w:hint="eastAsia" w:ascii="黑体" w:hAnsi="黑体" w:eastAsia="黑体" w:cs="黑体"/>
          <w:color w:val="000000" w:themeColor="text1"/>
          <w:sz w:val="52"/>
          <w:szCs w:val="52"/>
          <w:highlight w:val="none"/>
          <w:lang w:val="en-US" w:eastAsia="zh-CN"/>
          <w14:textFill>
            <w14:solidFill>
              <w14:schemeClr w14:val="tx1"/>
            </w14:solidFill>
          </w14:textFill>
        </w:rPr>
      </w:pPr>
      <w:bookmarkStart w:id="0" w:name="StdEnglishName"/>
      <w:r>
        <w:rPr>
          <w:rFonts w:hint="eastAsia" w:ascii="黑体" w:hAnsi="黑体" w:eastAsia="黑体" w:cs="黑体"/>
          <w:color w:val="000000" w:themeColor="text1"/>
          <w:sz w:val="52"/>
          <w:szCs w:val="52"/>
          <w:highlight w:val="none"/>
          <w:lang w:val="en-US" w:eastAsia="zh-CN"/>
          <w14:textFill>
            <w14:solidFill>
              <w14:schemeClr w14:val="tx1"/>
            </w14:solidFill>
          </w14:textFill>
        </w:rPr>
        <w:t>甲状腺及甲状旁腺术中神经监测技术规范</w:t>
      </w:r>
    </w:p>
    <w:p w14:paraId="5AF5FFF3">
      <w:pPr>
        <w:pStyle w:val="52"/>
        <w:keepNext/>
        <w:keepLines/>
        <w:framePr w:w="9272" w:h="6917" w:hRule="exact" w:wrap="around" w:vAnchor="page" w:hAnchor="page" w:x="1327" w:y="6897" w:anchorLock="1"/>
        <w:shd w:val="clear"/>
        <w:ind w:firstLine="0"/>
        <w:jc w:val="center"/>
        <w:outlineLvl w:val="9"/>
        <w:rPr>
          <w:rFonts w:hint="eastAsia" w:ascii="Times New Roman" w:hAnsi="Times New Roman" w:eastAsia="黑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黑体" w:cs="Times New Roman"/>
          <w:color w:val="000000" w:themeColor="text1"/>
          <w:sz w:val="28"/>
          <w:szCs w:val="28"/>
          <w:highlight w:val="none"/>
          <w:lang w:val="en-US" w:eastAsia="zh-CN"/>
          <w14:textFill>
            <w14:solidFill>
              <w14:schemeClr w14:val="tx1"/>
            </w14:solidFill>
          </w14:textFill>
        </w:rPr>
        <w:t>Technical specification of intraoperative neuromonitoring in thyroid and parathyroid surgery</w:t>
      </w:r>
    </w:p>
    <w:p w14:paraId="76E22C82">
      <w:pPr>
        <w:pStyle w:val="52"/>
        <w:keepNext/>
        <w:keepLines/>
        <w:framePr w:w="9272" w:h="6917" w:hRule="exact" w:wrap="around" w:vAnchor="page" w:hAnchor="page" w:x="1327" w:y="6897" w:anchorLock="1"/>
        <w:shd w:val="clear"/>
        <w:ind w:firstLine="0"/>
        <w:jc w:val="center"/>
        <w:outlineLvl w:val="9"/>
        <w:rPr>
          <w:rFonts w:hint="eastAsia" w:ascii="黑体" w:hAnsi="黑体" w:eastAsia="黑体" w:cs="黑体"/>
          <w:color w:val="000000" w:themeColor="text1"/>
          <w:sz w:val="28"/>
          <w:szCs w:val="28"/>
          <w:highlight w:val="none"/>
          <w:lang w:val="en-US" w:eastAsia="zh-CN"/>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(征求意见稿）</w:t>
      </w:r>
    </w:p>
    <w:p w14:paraId="7D134EC8">
      <w:pPr>
        <w:pStyle w:val="59"/>
        <w:framePr w:w="9331" w:wrap="around" w:hAnchor="page" w:x="1363" w:y="15044"/>
        <w:shd w:val="clear"/>
        <w:rPr>
          <w:color w:val="000000" w:themeColor="text1"/>
          <w:highlight w:val="none"/>
          <w14:textFill>
            <w14:solidFill>
              <w14:schemeClr w14:val="tx1"/>
            </w14:solidFill>
          </w14:textFill>
        </w:rPr>
      </w:pPr>
      <w:r>
        <w:rPr>
          <w:rFonts w:hint="eastAsia" w:ascii="黑体" w:hAnsi="黑体"/>
          <w:color w:val="000000" w:themeColor="text1"/>
          <w:highlight w:val="none"/>
          <w14:textFill>
            <w14:solidFill>
              <w14:schemeClr w14:val="tx1"/>
            </w14:solidFill>
          </w14:textFill>
        </w:rPr>
        <w:t>202X</w:t>
      </w:r>
      <w:r>
        <w:rPr>
          <w:rFonts w:ascii="黑体" w:hAnsi="黑体"/>
          <w:color w:val="000000" w:themeColor="text1"/>
          <w:highlight w:val="none"/>
          <w14:textFill>
            <w14:solidFill>
              <w14:schemeClr w14:val="tx1"/>
            </w14:solidFill>
          </w14:textFill>
        </w:rPr>
        <w:t>-</w:t>
      </w:r>
      <w:r>
        <w:rPr>
          <w:rFonts w:hint="eastAsia" w:ascii="黑体" w:hAnsi="黑体"/>
          <w:color w:val="000000" w:themeColor="text1"/>
          <w:highlight w:val="none"/>
          <w14:textFill>
            <w14:solidFill>
              <w14:schemeClr w14:val="tx1"/>
            </w14:solidFill>
          </w14:textFill>
        </w:rPr>
        <w:t>XX</w:t>
      </w:r>
      <w:r>
        <w:rPr>
          <w:rFonts w:ascii="黑体" w:hAnsi="黑体"/>
          <w:color w:val="000000" w:themeColor="text1"/>
          <w:highlight w:val="none"/>
          <w14:textFill>
            <w14:solidFill>
              <w14:schemeClr w14:val="tx1"/>
            </w14:solidFill>
          </w14:textFill>
        </w:rPr>
        <w:t>-</w:t>
      </w:r>
      <w:r>
        <w:rPr>
          <w:rFonts w:hint="eastAsia" w:ascii="黑体" w:hAnsi="黑体"/>
          <w:color w:val="000000" w:themeColor="text1"/>
          <w:szCs w:val="22"/>
          <w:highlight w:val="none"/>
          <w14:textFill>
            <w14:solidFill>
              <w14:schemeClr w14:val="tx1"/>
            </w14:solidFill>
          </w14:textFill>
        </w:rPr>
        <w:t>XX</w:t>
      </w:r>
      <w:r>
        <w:rPr>
          <w:rFonts w:hint="eastAsia"/>
          <w:color w:val="000000" w:themeColor="text1"/>
          <w:highlight w:val="none"/>
          <w14:textFill>
            <w14:solidFill>
              <w14:schemeClr w14:val="tx1"/>
            </w14:solidFill>
          </w14:textFill>
        </w:rPr>
        <w:t xml:space="preserve">发布                                      </w:t>
      </w:r>
      <w:r>
        <w:rPr>
          <w:rFonts w:hint="eastAsia" w:ascii="黑体" w:hAnsi="黑体"/>
          <w:color w:val="000000" w:themeColor="text1"/>
          <w:szCs w:val="22"/>
          <w:highlight w:val="none"/>
          <w14:textFill>
            <w14:solidFill>
              <w14:schemeClr w14:val="tx1"/>
            </w14:solidFill>
          </w14:textFill>
        </w:rPr>
        <w:t>202X-XX-XX实施</w:t>
      </w:r>
    </w:p>
    <w:p w14:paraId="0D08867F">
      <w:pPr>
        <w:pStyle w:val="57"/>
        <w:framePr w:wrap="around"/>
        <w:shd w:val="clear"/>
        <w:rPr>
          <w:rFonts w:hint="eastAsia"/>
          <w:b/>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中国研究型医院学会 发布</w:t>
      </w:r>
      <w:bookmarkEnd w:id="0"/>
    </w:p>
    <w:p w14:paraId="5E81D369">
      <w:pPr>
        <w:shd w:val="clear"/>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drawing>
          <wp:anchor distT="0" distB="0" distL="114300" distR="114300" simplePos="0" relativeHeight="251666432" behindDoc="0" locked="0" layoutInCell="1" allowOverlap="1">
            <wp:simplePos x="0" y="0"/>
            <wp:positionH relativeFrom="column">
              <wp:posOffset>4546600</wp:posOffset>
            </wp:positionH>
            <wp:positionV relativeFrom="paragraph">
              <wp:posOffset>-485140</wp:posOffset>
            </wp:positionV>
            <wp:extent cx="1076325" cy="1040130"/>
            <wp:effectExtent l="0" t="0" r="5715" b="11430"/>
            <wp:wrapTopAndBottom/>
            <wp:docPr id="1" name="图片 1" descr="a06827f94baeb281ac1150c54aae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06827f94baeb281ac1150c54aaec17"/>
                    <pic:cNvPicPr>
                      <a:picLocks noChangeAspect="1"/>
                    </pic:cNvPicPr>
                  </pic:nvPicPr>
                  <pic:blipFill>
                    <a:blip r:embed="rId14"/>
                    <a:stretch>
                      <a:fillRect/>
                    </a:stretch>
                  </pic:blipFill>
                  <pic:spPr>
                    <a:xfrm>
                      <a:off x="0" y="0"/>
                      <a:ext cx="1076325" cy="1040130"/>
                    </a:xfrm>
                    <a:prstGeom prst="rect">
                      <a:avLst/>
                    </a:prstGeom>
                  </pic:spPr>
                </pic:pic>
              </a:graphicData>
            </a:graphic>
          </wp:anchor>
        </w:drawing>
      </w:r>
    </w:p>
    <w:p w14:paraId="32605F75">
      <w:pPr>
        <w:shd w:val="clear"/>
        <w:spacing w:line="360" w:lineRule="auto"/>
        <w:jc w:val="center"/>
        <w:rPr>
          <w:rFonts w:hint="eastAsia" w:ascii="宋体" w:hAnsi="宋体" w:eastAsia="宋体" w:cs="Times New Roman"/>
          <w:bCs/>
          <w:color w:val="000000" w:themeColor="text1"/>
          <w:sz w:val="24"/>
          <w:szCs w:val="24"/>
          <w:highlight w:val="none"/>
          <w14:textFill>
            <w14:solidFill>
              <w14:schemeClr w14:val="tx1"/>
            </w14:solidFill>
          </w14:textFill>
        </w:rPr>
      </w:pPr>
    </w:p>
    <w:p w14:paraId="4625915E">
      <w:pPr>
        <w:shd w:val="clear"/>
        <w:spacing w:line="360" w:lineRule="auto"/>
        <w:rPr>
          <w:rFonts w:hint="eastAsia" w:ascii="宋体" w:hAnsi="宋体" w:eastAsia="宋体" w:cs="Times New Roman"/>
          <w:bCs/>
          <w:color w:val="000000" w:themeColor="text1"/>
          <w:sz w:val="24"/>
          <w:szCs w:val="24"/>
          <w:highlight w:val="none"/>
          <w14:textFill>
            <w14:solidFill>
              <w14:schemeClr w14:val="tx1"/>
            </w14:solidFill>
          </w14:textFill>
        </w:rPr>
      </w:pPr>
    </w:p>
    <w:p w14:paraId="7DD1ED11">
      <w:pPr>
        <w:widowControl/>
        <w:shd w:val="clear"/>
        <w:spacing w:line="360" w:lineRule="auto"/>
        <w:jc w:val="center"/>
        <w:rPr>
          <w:rFonts w:hint="eastAsia" w:ascii="黑体" w:hAnsi="黑体" w:eastAsia="黑体" w:cs="黑体"/>
          <w:color w:val="000000" w:themeColor="text1"/>
          <w:sz w:val="32"/>
          <w:szCs w:val="32"/>
          <w:highlight w:val="none"/>
          <w14:textFill>
            <w14:solidFill>
              <w14:schemeClr w14:val="tx1"/>
            </w14:solidFill>
          </w14:textFill>
        </w:rPr>
        <w:sectPr>
          <w:headerReference r:id="rId3" w:type="default"/>
          <w:footerReference r:id="rId5" w:type="default"/>
          <w:headerReference r:id="rId4" w:type="even"/>
          <w:pgSz w:w="11906" w:h="16838"/>
          <w:pgMar w:top="1100" w:right="1800" w:bottom="1100" w:left="1800" w:header="851" w:footer="992" w:gutter="0"/>
          <w:pgNumType w:fmt="upperRoman" w:start="0"/>
          <w:cols w:space="425" w:num="1"/>
          <w:titlePg/>
          <w:docGrid w:type="lines" w:linePitch="312" w:charSpace="0"/>
        </w:sectPr>
      </w:pPr>
    </w:p>
    <w:p w14:paraId="12EA6658">
      <w:pPr>
        <w:widowControl/>
        <w:shd w:val="clear"/>
        <w:jc w:val="center"/>
        <w:rPr>
          <w:b/>
          <w:bCs/>
          <w:caps/>
          <w:color w:val="000000" w:themeColor="text1"/>
          <w:sz w:val="22"/>
          <w:szCs w:val="24"/>
          <w:highlight w:val="none"/>
          <w14:textFill>
            <w14:solidFill>
              <w14:schemeClr w14:val="tx1"/>
            </w14:solidFill>
          </w14:textFill>
          <w14:ligatures w14:val="standardContextual"/>
        </w:rPr>
      </w:pPr>
      <w:bookmarkStart w:id="1" w:name="_Toc207835467"/>
      <w:bookmarkStart w:id="2" w:name="_Toc207139458"/>
      <w:r>
        <w:rPr>
          <w:rFonts w:hint="eastAsia" w:ascii="黑体" w:hAnsi="黑体" w:eastAsia="黑体" w:cs="黑体"/>
          <w:color w:val="000000" w:themeColor="text1"/>
          <w:sz w:val="32"/>
          <w:szCs w:val="32"/>
          <w:highlight w:val="none"/>
          <w14:textFill>
            <w14:solidFill>
              <w14:schemeClr w14:val="tx1"/>
            </w14:solidFill>
          </w14:textFill>
        </w:rPr>
        <w:t>目  次</w:t>
      </w:r>
      <w:bookmarkEnd w:id="1"/>
      <w:bookmarkEnd w:id="2"/>
      <w:r>
        <w:rPr>
          <w:b/>
          <w:bCs/>
          <w:caps/>
          <w:color w:val="000000" w:themeColor="text1"/>
          <w:sz w:val="20"/>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TOC \o "1-1" \h \z \u </w:instrText>
      </w:r>
      <w:r>
        <w:rPr>
          <w:b/>
          <w:bCs/>
          <w:caps/>
          <w:color w:val="000000" w:themeColor="text1"/>
          <w:sz w:val="20"/>
          <w:highlight w:val="none"/>
          <w14:textFill>
            <w14:solidFill>
              <w14:schemeClr w14:val="tx1"/>
            </w14:solidFill>
          </w14:textFill>
        </w:rPr>
        <w:fldChar w:fldCharType="separate"/>
      </w:r>
    </w:p>
    <w:p w14:paraId="30DD7512">
      <w:pPr>
        <w:pStyle w:val="15"/>
        <w:shd w:val="clear"/>
        <w:tabs>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"_Toc207835468"</w:instrText>
      </w:r>
      <w:r>
        <w:rPr>
          <w:rFonts w:hint="eastAsia"/>
          <w:color w:val="000000" w:themeColor="text1"/>
          <w:sz w:val="21"/>
          <w:szCs w:val="21"/>
          <w:highlight w:val="none"/>
          <w14:textFill>
            <w14:solidFill>
              <w14:schemeClr w14:val="tx1"/>
            </w14:solidFill>
          </w14:textFill>
        </w:rPr>
        <w:fldChar w:fldCharType="separate"/>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前言</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_Toc207835468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II</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4ABF3020">
      <w:pPr>
        <w:pStyle w:val="15"/>
        <w:shd w:val="clear"/>
        <w:tabs>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"_Toc207835469"</w:instrText>
      </w:r>
      <w:r>
        <w:rPr>
          <w:rFonts w:hint="eastAsia"/>
          <w:color w:val="000000" w:themeColor="text1"/>
          <w:sz w:val="21"/>
          <w:szCs w:val="21"/>
          <w:highlight w:val="none"/>
          <w14:textFill>
            <w14:solidFill>
              <w14:schemeClr w14:val="tx1"/>
            </w14:solidFill>
          </w14:textFill>
        </w:rPr>
        <w:fldChar w:fldCharType="separate"/>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引言</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_Toc207835469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III</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0953913E">
      <w:pPr>
        <w:pStyle w:val="15"/>
        <w:shd w:val="clear"/>
        <w:tabs>
          <w:tab w:val="left" w:pos="420"/>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"_Toc207835470"</w:instrText>
      </w:r>
      <w:r>
        <w:rPr>
          <w:rFonts w:hint="eastAsia"/>
          <w:color w:val="000000" w:themeColor="text1"/>
          <w:sz w:val="21"/>
          <w:szCs w:val="21"/>
          <w:highlight w:val="none"/>
          <w14:textFill>
            <w14:solidFill>
              <w14:schemeClr w14:val="tx1"/>
            </w14:solidFill>
          </w14:textFill>
        </w:rPr>
        <w:fldChar w:fldCharType="separate"/>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1</w:t>
      </w:r>
      <w:r>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tab/>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范围</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_Toc207835470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4</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7E59F3CB">
      <w:pPr>
        <w:pStyle w:val="15"/>
        <w:shd w:val="clear"/>
        <w:tabs>
          <w:tab w:val="left" w:pos="420"/>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"_Toc207835471"</w:instrText>
      </w:r>
      <w:r>
        <w:rPr>
          <w:rFonts w:hint="eastAsia"/>
          <w:color w:val="000000" w:themeColor="text1"/>
          <w:sz w:val="21"/>
          <w:szCs w:val="21"/>
          <w:highlight w:val="none"/>
          <w14:textFill>
            <w14:solidFill>
              <w14:schemeClr w14:val="tx1"/>
            </w14:solidFill>
          </w14:textFill>
        </w:rPr>
        <w:fldChar w:fldCharType="separate"/>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2</w:t>
      </w:r>
      <w:r>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tab/>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规范性引用文件</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_Toc207835471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4</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6406E8BF">
      <w:pPr>
        <w:pStyle w:val="15"/>
        <w:shd w:val="clear"/>
        <w:tabs>
          <w:tab w:val="left" w:pos="420"/>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"_Toc207835472"</w:instrText>
      </w:r>
      <w:r>
        <w:rPr>
          <w:rFonts w:hint="eastAsia"/>
          <w:color w:val="000000" w:themeColor="text1"/>
          <w:sz w:val="21"/>
          <w:szCs w:val="21"/>
          <w:highlight w:val="none"/>
          <w14:textFill>
            <w14:solidFill>
              <w14:schemeClr w14:val="tx1"/>
            </w14:solidFill>
          </w14:textFill>
        </w:rPr>
        <w:fldChar w:fldCharType="separate"/>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3</w:t>
      </w:r>
      <w:r>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tab/>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术语和定义</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_Toc207835472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4</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1AE302BA">
      <w:pPr>
        <w:pStyle w:val="15"/>
        <w:shd w:val="clear"/>
        <w:tabs>
          <w:tab w:val="left" w:pos="420"/>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"_Toc207835473"</w:instrText>
      </w:r>
      <w:r>
        <w:rPr>
          <w:rFonts w:hint="eastAsia"/>
          <w:color w:val="000000" w:themeColor="text1"/>
          <w:sz w:val="21"/>
          <w:szCs w:val="21"/>
          <w:highlight w:val="none"/>
          <w14:textFill>
            <w14:solidFill>
              <w14:schemeClr w14:val="tx1"/>
            </w14:solidFill>
          </w14:textFill>
        </w:rPr>
        <w:fldChar w:fldCharType="separate"/>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4</w:t>
      </w:r>
      <w:r>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tab/>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缩略语</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_Toc207835473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5</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45CF8E6F">
      <w:pPr>
        <w:pStyle w:val="15"/>
        <w:shd w:val="clear"/>
        <w:tabs>
          <w:tab w:val="left" w:pos="420"/>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"_Toc207835474"</w:instrText>
      </w:r>
      <w:r>
        <w:rPr>
          <w:rFonts w:hint="eastAsia"/>
          <w:color w:val="000000" w:themeColor="text1"/>
          <w:sz w:val="21"/>
          <w:szCs w:val="21"/>
          <w:highlight w:val="none"/>
          <w14:textFill>
            <w14:solidFill>
              <w14:schemeClr w14:val="tx1"/>
            </w14:solidFill>
          </w14:textFill>
        </w:rPr>
        <w:fldChar w:fldCharType="separate"/>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5</w:t>
      </w:r>
      <w:r>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tab/>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资质培训</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_Toc207835474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6</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6E8DB395">
      <w:pPr>
        <w:pStyle w:val="15"/>
        <w:shd w:val="clear"/>
        <w:tabs>
          <w:tab w:val="left" w:pos="420"/>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"_Toc207835475"</w:instrText>
      </w:r>
      <w:r>
        <w:rPr>
          <w:rFonts w:hint="eastAsia"/>
          <w:color w:val="000000" w:themeColor="text1"/>
          <w:sz w:val="21"/>
          <w:szCs w:val="21"/>
          <w:highlight w:val="none"/>
          <w14:textFill>
            <w14:solidFill>
              <w14:schemeClr w14:val="tx1"/>
            </w14:solidFill>
          </w14:textFill>
        </w:rPr>
        <w:fldChar w:fldCharType="separate"/>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6</w:t>
      </w:r>
      <w:r>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tab/>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适应证</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_Toc207835475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6</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15047845">
      <w:pPr>
        <w:pStyle w:val="15"/>
        <w:shd w:val="clear"/>
        <w:tabs>
          <w:tab w:val="left" w:pos="420"/>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"_Toc207835476"</w:instrText>
      </w:r>
      <w:r>
        <w:rPr>
          <w:rFonts w:hint="eastAsia"/>
          <w:color w:val="000000" w:themeColor="text1"/>
          <w:sz w:val="21"/>
          <w:szCs w:val="21"/>
          <w:highlight w:val="none"/>
          <w14:textFill>
            <w14:solidFill>
              <w14:schemeClr w14:val="tx1"/>
            </w14:solidFill>
          </w14:textFill>
        </w:rPr>
        <w:fldChar w:fldCharType="separate"/>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7</w:t>
      </w:r>
      <w:r>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tab/>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基本设备</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_Toc207835476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6</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62C6455B">
      <w:pPr>
        <w:pStyle w:val="15"/>
        <w:shd w:val="clear"/>
        <w:tabs>
          <w:tab w:val="left" w:pos="420"/>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"_Toc207835477"</w:instrText>
      </w:r>
      <w:r>
        <w:rPr>
          <w:rFonts w:hint="eastAsia"/>
          <w:color w:val="000000" w:themeColor="text1"/>
          <w:sz w:val="21"/>
          <w:szCs w:val="21"/>
          <w:highlight w:val="none"/>
          <w14:textFill>
            <w14:solidFill>
              <w14:schemeClr w14:val="tx1"/>
            </w14:solidFill>
          </w14:textFill>
        </w:rPr>
        <w:fldChar w:fldCharType="separate"/>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8</w:t>
      </w:r>
      <w:r>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tab/>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系统建立</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_Toc207835477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7</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7C90BB01">
      <w:pPr>
        <w:pStyle w:val="15"/>
        <w:shd w:val="clear"/>
        <w:tabs>
          <w:tab w:val="left" w:pos="420"/>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"_Toc207835478"</w:instrText>
      </w:r>
      <w:r>
        <w:rPr>
          <w:rFonts w:hint="eastAsia"/>
          <w:color w:val="000000" w:themeColor="text1"/>
          <w:sz w:val="21"/>
          <w:szCs w:val="21"/>
          <w:highlight w:val="none"/>
          <w14:textFill>
            <w14:solidFill>
              <w14:schemeClr w14:val="tx1"/>
            </w14:solidFill>
          </w14:textFill>
        </w:rPr>
        <w:fldChar w:fldCharType="separate"/>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9</w:t>
      </w:r>
      <w:r>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tab/>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技术要点</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_Toc207835478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8</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1DA2BB0C">
      <w:pPr>
        <w:pStyle w:val="15"/>
        <w:shd w:val="clear"/>
        <w:tabs>
          <w:tab w:val="left" w:pos="440"/>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"_Toc207835479"</w:instrText>
      </w:r>
      <w:r>
        <w:rPr>
          <w:rFonts w:hint="eastAsia"/>
          <w:color w:val="000000" w:themeColor="text1"/>
          <w:sz w:val="21"/>
          <w:szCs w:val="21"/>
          <w:highlight w:val="none"/>
          <w14:textFill>
            <w14:solidFill>
              <w14:schemeClr w14:val="tx1"/>
            </w14:solidFill>
          </w14:textFill>
        </w:rPr>
        <w:fldChar w:fldCharType="separate"/>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10</w:t>
      </w:r>
      <w:r>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tab/>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结果判读</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_Toc207835479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9</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69EEFD8E">
      <w:pPr>
        <w:pStyle w:val="15"/>
        <w:shd w:val="clear"/>
        <w:tabs>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"_Toc207835481"</w:instrText>
      </w:r>
      <w:r>
        <w:rPr>
          <w:rFonts w:hint="eastAsia"/>
          <w:color w:val="000000" w:themeColor="text1"/>
          <w:sz w:val="21"/>
          <w:szCs w:val="21"/>
          <w:highlight w:val="none"/>
          <w14:textFill>
            <w14:solidFill>
              <w14:schemeClr w14:val="tx1"/>
            </w14:solidFill>
          </w14:textFill>
        </w:rPr>
        <w:fldChar w:fldCharType="separate"/>
      </w:r>
      <w:r>
        <w:rPr>
          <w:rStyle w:val="31"/>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附录A（</w:t>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规范性）记录电极留置位置示意图</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_Toc207835481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12</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532B09CC">
      <w:pPr>
        <w:pStyle w:val="15"/>
        <w:shd w:val="clear"/>
        <w:tabs>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"_Toc207835482"</w:instrText>
      </w:r>
      <w:r>
        <w:rPr>
          <w:rFonts w:hint="eastAsia"/>
          <w:color w:val="000000" w:themeColor="text1"/>
          <w:sz w:val="21"/>
          <w:szCs w:val="21"/>
          <w:highlight w:val="none"/>
          <w14:textFill>
            <w14:solidFill>
              <w14:schemeClr w14:val="tx1"/>
            </w14:solidFill>
          </w14:textFill>
        </w:rPr>
        <w:fldChar w:fldCharType="separate"/>
      </w:r>
      <w:r>
        <w:rPr>
          <w:rStyle w:val="31"/>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附录B（</w:t>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资料性）非返性喉返神经监测方法</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_Toc207835482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13</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245484D4">
      <w:pPr>
        <w:pStyle w:val="15"/>
        <w:shd w:val="clear"/>
        <w:tabs>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"_Toc207835483"</w:instrText>
      </w:r>
      <w:r>
        <w:rPr>
          <w:rFonts w:hint="eastAsia"/>
          <w:color w:val="000000" w:themeColor="text1"/>
          <w:sz w:val="21"/>
          <w:szCs w:val="21"/>
          <w:highlight w:val="none"/>
          <w14:textFill>
            <w14:solidFill>
              <w14:schemeClr w14:val="tx1"/>
            </w14:solidFill>
          </w14:textFill>
        </w:rPr>
        <w:fldChar w:fldCharType="separate"/>
      </w:r>
      <w:r>
        <w:rPr>
          <w:rStyle w:val="31"/>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附录C（</w:t>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资料性）胸骨甲状肌-喉三角示意图</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_Toc207835483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14</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221F8EA5">
      <w:pPr>
        <w:pStyle w:val="15"/>
        <w:shd w:val="clear"/>
        <w:tabs>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"_Toc207835484"</w:instrText>
      </w:r>
      <w:r>
        <w:rPr>
          <w:rFonts w:hint="eastAsia"/>
          <w:color w:val="000000" w:themeColor="text1"/>
          <w:sz w:val="21"/>
          <w:szCs w:val="21"/>
          <w:highlight w:val="none"/>
          <w14:textFill>
            <w14:solidFill>
              <w14:schemeClr w14:val="tx1"/>
            </w14:solidFill>
          </w14:textFill>
        </w:rPr>
        <w:fldChar w:fldCharType="separate"/>
      </w:r>
      <w:r>
        <w:rPr>
          <w:rStyle w:val="31"/>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附录D（</w:t>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资料性）肌电信号的基本参数</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_Toc207835484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15</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207742BC">
      <w:pPr>
        <w:pStyle w:val="15"/>
        <w:shd w:val="clear"/>
        <w:tabs>
          <w:tab w:val="right" w:leader="dot" w:pos="8296"/>
        </w:tabs>
        <w:spacing w:before="0" w:after="0"/>
        <w:jc w:val="both"/>
        <w:rPr>
          <w:rFonts w:ascii="Times New Roman" w:hAnsi="Times New Roman" w:eastAsia="宋体" w:cs="Times New Roman"/>
          <w:b w:val="0"/>
          <w:bCs w:val="0"/>
          <w:caps w:val="0"/>
          <w:color w:val="000000" w:themeColor="text1"/>
          <w:sz w:val="21"/>
          <w:szCs w:val="21"/>
          <w:highlight w:val="none"/>
          <w14:textFill>
            <w14:solidFill>
              <w14:schemeClr w14:val="tx1"/>
            </w14:solidFill>
          </w14:textFill>
          <w14:ligatures w14:val="standardContextua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HYPERLINK \l "_Toc207835485"</w:instrText>
      </w:r>
      <w:r>
        <w:rPr>
          <w:rFonts w:hint="eastAsia"/>
          <w:color w:val="000000" w:themeColor="text1"/>
          <w:sz w:val="21"/>
          <w:szCs w:val="21"/>
          <w:highlight w:val="none"/>
          <w14:textFill>
            <w14:solidFill>
              <w14:schemeClr w14:val="tx1"/>
            </w14:solidFill>
          </w14:textFill>
        </w:rPr>
        <w:fldChar w:fldCharType="separate"/>
      </w:r>
      <w:r>
        <w:rPr>
          <w:rStyle w:val="31"/>
          <w:rFonts w:ascii="Times New Roman" w:hAnsi="Times New Roman" w:eastAsia="宋体" w:cs="Times New Roman"/>
          <w:b w:val="0"/>
          <w:bCs w:val="0"/>
          <w:color w:val="000000" w:themeColor="text1"/>
          <w:sz w:val="21"/>
          <w:szCs w:val="21"/>
          <w:highlight w:val="none"/>
          <w14:textFill>
            <w14:solidFill>
              <w14:schemeClr w14:val="tx1"/>
            </w14:solidFill>
          </w14:textFill>
        </w:rPr>
        <w:t>参考文献</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ab/>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PAGEREF _Toc207835485 \h </w:instrTex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b w:val="0"/>
          <w:bCs w:val="0"/>
          <w:color w:val="000000" w:themeColor="text1"/>
          <w:sz w:val="21"/>
          <w:szCs w:val="21"/>
          <w:highlight w:val="none"/>
          <w14:textFill>
            <w14:solidFill>
              <w14:schemeClr w14:val="tx1"/>
            </w14:solidFill>
          </w14:textFill>
        </w:rPr>
        <w:t>16</w:t>
      </w:r>
      <w:r>
        <w:rPr>
          <w:rFonts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34801D3D">
      <w:pPr>
        <w:shd w:val="clear"/>
        <w:tabs>
          <w:tab w:val="right" w:leader="dot" w:pos="8190"/>
        </w:tabs>
        <w:rPr>
          <w:rFonts w:hint="eastAsia"/>
          <w:b/>
          <w:bCs/>
          <w:caps/>
          <w:color w:val="000000" w:themeColor="text1"/>
          <w:highlight w:val="none"/>
          <w14:textFill>
            <w14:solidFill>
              <w14:schemeClr w14:val="tx1"/>
            </w14:solidFill>
          </w14:textFill>
        </w:rPr>
        <w:sectPr>
          <w:headerReference r:id="rId6" w:type="first"/>
          <w:footerReference r:id="rId9" w:type="first"/>
          <w:footerReference r:id="rId7" w:type="default"/>
          <w:footerReference r:id="rId8" w:type="even"/>
          <w:pgSz w:w="11906" w:h="16838"/>
          <w:pgMar w:top="1440" w:right="1800" w:bottom="1440" w:left="1800" w:header="851" w:footer="992" w:gutter="0"/>
          <w:pgNumType w:fmt="upperRoman" w:start="1"/>
          <w:cols w:space="425" w:num="1"/>
          <w:titlePg/>
          <w:docGrid w:type="lines" w:linePitch="312" w:charSpace="0"/>
        </w:sectPr>
      </w:pPr>
      <w:r>
        <w:rPr>
          <w:rFonts w:ascii="Times New Roman" w:hAnsi="Times New Roman" w:eastAsia="宋体" w:cs="Times New Roman"/>
          <w:color w:val="000000" w:themeColor="text1"/>
          <w:szCs w:val="21"/>
          <w:highlight w:val="none"/>
          <w14:textFill>
            <w14:solidFill>
              <w14:schemeClr w14:val="tx1"/>
            </w14:solidFill>
          </w14:textFill>
        </w:rPr>
        <w:fldChar w:fldCharType="end"/>
      </w:r>
    </w:p>
    <w:p w14:paraId="6EB1438B">
      <w:pPr>
        <w:shd w:val="clear"/>
        <w:spacing w:before="156" w:beforeLines="50" w:after="156" w:afterLines="50" w:line="240" w:lineRule="auto"/>
        <w:jc w:val="center"/>
        <w:outlineLvl w:val="0"/>
        <w:rPr>
          <w:rFonts w:hint="eastAsia" w:ascii="宋体" w:hAnsi="宋体" w:eastAsia="宋体" w:cs="Times New Roman"/>
          <w:color w:val="000000" w:themeColor="text1"/>
          <w:sz w:val="24"/>
          <w:szCs w:val="24"/>
          <w:highlight w:val="none"/>
          <w14:textFill>
            <w14:solidFill>
              <w14:schemeClr w14:val="tx1"/>
            </w14:solidFill>
          </w14:textFill>
        </w:rPr>
      </w:pPr>
      <w:bookmarkStart w:id="3" w:name="_Toc207835468"/>
      <w:r>
        <w:rPr>
          <w:rFonts w:hint="eastAsia" w:ascii="黑体" w:hAnsi="黑体" w:eastAsia="黑体" w:cs="黑体"/>
          <w:color w:val="000000" w:themeColor="text1"/>
          <w:sz w:val="32"/>
          <w:szCs w:val="32"/>
          <w:highlight w:val="none"/>
          <w14:textFill>
            <w14:solidFill>
              <w14:schemeClr w14:val="tx1"/>
            </w14:solidFill>
          </w14:textFill>
        </w:rPr>
        <w:t>前  言</w:t>
      </w:r>
      <w:bookmarkEnd w:id="3"/>
    </w:p>
    <w:p w14:paraId="79634B23">
      <w:pPr>
        <w:shd w:val="clear"/>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本文件按照GB/T 1.1</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2020</w:t>
      </w:r>
      <w:r>
        <w:rPr>
          <w:rFonts w:hint="eastAsia"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Cs w:val="21"/>
          <w:highlight w:val="none"/>
          <w14:textFill>
            <w14:solidFill>
              <w14:schemeClr w14:val="tx1"/>
            </w14:solidFill>
          </w14:textFill>
        </w:rPr>
        <w:t xml:space="preserve">《标准化工作导则 </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w:t>
      </w:r>
      <w:r>
        <w:rPr>
          <w:rFonts w:ascii="Times New Roman" w:hAnsi="Times New Roman" w:eastAsia="宋体" w:cs="Times New Roman"/>
          <w:color w:val="000000" w:themeColor="text1"/>
          <w:szCs w:val="21"/>
          <w:highlight w:val="none"/>
          <w14:textFill>
            <w14:solidFill>
              <w14:schemeClr w14:val="tx1"/>
            </w14:solidFill>
          </w14:textFill>
        </w:rPr>
        <w:t>第1部分：标准化文件的结构和起草规则》的规定起草。</w:t>
      </w:r>
    </w:p>
    <w:p w14:paraId="7FEB5F85">
      <w:pPr>
        <w:pStyle w:val="62"/>
        <w:shd w:val="clear"/>
        <w:spacing w:line="24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请注意本文件的某些内容可能涉及专利。本文件的发布机构不承担识别专利的责任。</w:t>
      </w:r>
    </w:p>
    <w:p w14:paraId="32344B19">
      <w:pPr>
        <w:shd w:val="clear"/>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本文件由中国研究型医院学会</w:t>
      </w:r>
      <w:r>
        <w:rPr>
          <w:rFonts w:ascii="Times New Roman" w:hAnsi="Times New Roman" w:eastAsia="宋体" w:cs="Times New Roman"/>
          <w:color w:val="000000" w:themeColor="text1"/>
          <w:szCs w:val="21"/>
          <w:highlight w:val="none"/>
          <w14:textFill>
            <w14:solidFill>
              <w14:schemeClr w14:val="tx1"/>
            </w14:solidFill>
          </w14:textFill>
        </w:rPr>
        <w:t>甲状腺疾病专业委员会</w:t>
      </w:r>
      <w:r>
        <w:rPr>
          <w:rFonts w:ascii="Times New Roman" w:hAnsi="Times New Roman" w:eastAsia="宋体" w:cs="Times New Roman"/>
          <w:color w:val="000000" w:themeColor="text1"/>
          <w:szCs w:val="21"/>
          <w:highlight w:val="none"/>
          <w14:textFill>
            <w14:solidFill>
              <w14:schemeClr w14:val="tx1"/>
            </w14:solidFill>
          </w14:textFill>
        </w:rPr>
        <w:t>提出。</w:t>
      </w:r>
    </w:p>
    <w:p w14:paraId="5890727B">
      <w:pPr>
        <w:shd w:val="clear"/>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本文件由中国研究型医院学会归口。</w:t>
      </w:r>
    </w:p>
    <w:p w14:paraId="19570871">
      <w:pPr>
        <w:shd w:val="clear"/>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本文件起草单位：</w:t>
      </w:r>
      <w:r>
        <w:rPr>
          <w:rFonts w:hint="eastAsia" w:ascii="Times New Roman" w:hAnsi="Times New Roman" w:eastAsia="宋体" w:cs="Times New Roman"/>
          <w:color w:val="000000" w:themeColor="text1"/>
          <w:szCs w:val="21"/>
          <w:highlight w:val="none"/>
          <w14:textFill>
            <w14:solidFill>
              <w14:schemeClr w14:val="tx1"/>
            </w14:solidFill>
          </w14:textFill>
        </w:rPr>
        <w:t>。</w:t>
      </w:r>
    </w:p>
    <w:p w14:paraId="36027009">
      <w:pPr>
        <w:shd w:val="clear"/>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本文件主要起草人：</w:t>
      </w:r>
      <w:bookmarkStart w:id="29" w:name="_GoBack"/>
      <w:bookmarkEnd w:id="29"/>
      <w:r>
        <w:rPr>
          <w:rFonts w:ascii="Times New Roman" w:hAnsi="Times New Roman" w:eastAsia="宋体" w:cs="Times New Roman"/>
          <w:color w:val="000000" w:themeColor="text1"/>
          <w:szCs w:val="21"/>
          <w:highlight w:val="none"/>
          <w14:textFill>
            <w14:solidFill>
              <w14:schemeClr w14:val="tx1"/>
            </w14:solidFill>
          </w14:textFill>
        </w:rPr>
        <w:t>。</w:t>
      </w:r>
    </w:p>
    <w:p w14:paraId="2B9A61EE">
      <w:pPr>
        <w:shd w:val="clear"/>
        <w:rPr>
          <w:rFonts w:hint="eastAsia" w:ascii="宋体" w:hAnsi="宋体" w:eastAsia="宋体" w:cs="Times New Roman"/>
          <w:color w:val="000000" w:themeColor="text1"/>
          <w:szCs w:val="21"/>
          <w:highlight w:val="none"/>
          <w14:textFill>
            <w14:solidFill>
              <w14:schemeClr w14:val="tx1"/>
            </w14:solidFill>
          </w14:textFill>
        </w:rPr>
        <w:sectPr>
          <w:footerReference r:id="rId11" w:type="first"/>
          <w:footerReference r:id="rId10" w:type="default"/>
          <w:pgSz w:w="11906" w:h="16838"/>
          <w:pgMar w:top="1440" w:right="1800" w:bottom="1440" w:left="1800" w:header="851" w:footer="992" w:gutter="0"/>
          <w:pgNumType w:fmt="upperRoman"/>
          <w:cols w:space="425" w:num="1"/>
          <w:docGrid w:type="lines" w:linePitch="312" w:charSpace="0"/>
        </w:sectPr>
      </w:pPr>
    </w:p>
    <w:p w14:paraId="45A053E9">
      <w:pPr>
        <w:shd w:val="clear"/>
        <w:spacing w:before="156" w:beforeLines="50" w:after="156" w:afterLines="50" w:line="240" w:lineRule="auto"/>
        <w:jc w:val="center"/>
        <w:outlineLvl w:val="0"/>
        <w:rPr>
          <w:rFonts w:hint="eastAsia" w:ascii="宋体" w:hAnsi="宋体" w:eastAsia="宋体" w:cs="Times New Roman"/>
          <w:color w:val="000000" w:themeColor="text1"/>
          <w:sz w:val="24"/>
          <w:szCs w:val="24"/>
          <w:highlight w:val="none"/>
          <w14:textFill>
            <w14:solidFill>
              <w14:schemeClr w14:val="tx1"/>
            </w14:solidFill>
          </w14:textFill>
        </w:rPr>
      </w:pPr>
      <w:bookmarkStart w:id="4" w:name="_Toc207835469"/>
      <w:r>
        <w:rPr>
          <w:rFonts w:hint="eastAsia" w:ascii="黑体" w:hAnsi="黑体" w:eastAsia="黑体" w:cs="黑体"/>
          <w:color w:val="000000" w:themeColor="text1"/>
          <w:sz w:val="32"/>
          <w:szCs w:val="32"/>
          <w:highlight w:val="none"/>
          <w14:textFill>
            <w14:solidFill>
              <w14:schemeClr w14:val="tx1"/>
            </w14:solidFill>
          </w14:textFill>
        </w:rPr>
        <w:t>引  言</w:t>
      </w:r>
      <w:bookmarkEnd w:id="4"/>
    </w:p>
    <w:p w14:paraId="6391929F">
      <w:pPr>
        <w:shd w:val="clear"/>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甲状腺与喉返神经、喉上神经解剖关系密切，神经损伤是甲状腺及甲状旁腺手术的严重并发症，可显著影响患者术后生活质量。因此，喉部神经功能保护</w:t>
      </w:r>
      <w:r>
        <w:rPr>
          <w:rFonts w:hint="eastAsia" w:ascii="Times New Roman" w:hAnsi="Times New Roman" w:eastAsia="宋体" w:cs="Times New Roman"/>
          <w:color w:val="000000" w:themeColor="text1"/>
          <w:szCs w:val="21"/>
          <w:highlight w:val="none"/>
          <w14:textFill>
            <w14:solidFill>
              <w14:schemeClr w14:val="tx1"/>
            </w14:solidFill>
          </w14:textFill>
        </w:rPr>
        <w:t>始终</w:t>
      </w:r>
      <w:r>
        <w:rPr>
          <w:rFonts w:ascii="Times New Roman" w:hAnsi="Times New Roman" w:eastAsia="宋体" w:cs="Times New Roman"/>
          <w:color w:val="000000" w:themeColor="text1"/>
          <w:szCs w:val="21"/>
          <w:highlight w:val="none"/>
          <w14:textFill>
            <w14:solidFill>
              <w14:schemeClr w14:val="tx1"/>
            </w14:solidFill>
          </w14:textFill>
        </w:rPr>
        <w:t xml:space="preserve">是该类手术的关注焦点和难点。术中神经监测（intraoperative </w:t>
      </w:r>
      <w:r>
        <w:rPr>
          <w:rFonts w:ascii="Times New Roman" w:hAnsi="Times New Roman" w:eastAsia="黑体" w:cs="Times New Roman"/>
          <w:bCs/>
          <w:color w:val="000000" w:themeColor="text1"/>
          <w:szCs w:val="21"/>
          <w:highlight w:val="none"/>
          <w14:textFill>
            <w14:solidFill>
              <w14:schemeClr w14:val="tx1"/>
            </w14:solidFill>
          </w14:textFill>
        </w:rPr>
        <w:t>neuromonitoring</w:t>
      </w:r>
      <w:r>
        <w:rPr>
          <w:rFonts w:hint="eastAsia"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Cs w:val="21"/>
          <w:highlight w:val="none"/>
          <w14:textFill>
            <w14:solidFill>
              <w14:schemeClr w14:val="tx1"/>
            </w14:solidFill>
          </w14:textFill>
        </w:rPr>
        <w:t>IONM）技术通过实时电生理反馈评估神经功能状态，作为一种辅助工具，在神经功能保护方面发挥了积极作用，近年来在国内外得到迅速发展和广泛应用。</w:t>
      </w:r>
    </w:p>
    <w:p w14:paraId="354926A5">
      <w:pPr>
        <w:shd w:val="clear"/>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本文件旨在</w:t>
      </w:r>
      <w:r>
        <w:rPr>
          <w:rFonts w:hint="eastAsia" w:ascii="Times New Roman" w:hAnsi="Times New Roman" w:eastAsia="宋体" w:cs="Times New Roman"/>
          <w:color w:val="000000" w:themeColor="text1"/>
          <w:szCs w:val="21"/>
          <w:highlight w:val="none"/>
          <w14:textFill>
            <w14:solidFill>
              <w14:schemeClr w14:val="tx1"/>
            </w14:solidFill>
          </w14:textFill>
        </w:rPr>
        <w:t>提供</w:t>
      </w:r>
      <w:r>
        <w:rPr>
          <w:rFonts w:ascii="Times New Roman" w:hAnsi="Times New Roman" w:eastAsia="宋体" w:cs="Times New Roman"/>
          <w:color w:val="000000" w:themeColor="text1"/>
          <w:szCs w:val="21"/>
          <w:highlight w:val="none"/>
          <w14:textFill>
            <w14:solidFill>
              <w14:schemeClr w14:val="tx1"/>
            </w14:solidFill>
          </w14:textFill>
        </w:rPr>
        <w:t>甲状腺及甲状旁腺术中神经监测技术</w:t>
      </w:r>
      <w:r>
        <w:rPr>
          <w:rFonts w:hint="eastAsia" w:ascii="Times New Roman" w:hAnsi="Times New Roman" w:eastAsia="宋体" w:cs="Times New Roman"/>
          <w:color w:val="000000" w:themeColor="text1"/>
          <w:szCs w:val="21"/>
          <w:highlight w:val="none"/>
          <w14:textFill>
            <w14:solidFill>
              <w14:schemeClr w14:val="tx1"/>
            </w14:solidFill>
          </w14:textFill>
        </w:rPr>
        <w:t>规范</w:t>
      </w:r>
      <w:r>
        <w:rPr>
          <w:rFonts w:ascii="Times New Roman" w:hAnsi="Times New Roman" w:eastAsia="宋体" w:cs="Times New Roman"/>
          <w:color w:val="000000" w:themeColor="text1"/>
          <w:szCs w:val="21"/>
          <w:highlight w:val="none"/>
          <w14:textFill>
            <w14:solidFill>
              <w14:schemeClr w14:val="tx1"/>
            </w14:solidFill>
          </w14:textFill>
        </w:rPr>
        <w:t>，推动该技术在各级医疗机构实现规范化、同质化应用，提升手术安全性，保障患者安全，促进临床研究与学术交流，为医疗机构开展相关技术操作和人员培训提供技术依据，并为医疗设备研发生产、行业管理及科研工作提供参考。</w:t>
      </w:r>
    </w:p>
    <w:p w14:paraId="769398B4">
      <w:pPr>
        <w:shd w:val="clear"/>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本文件在充分借鉴国内外IONM技术相关指南、专家共识及最新研究进展的基础上，结合我国临床实践现状与技术发展水平，依据国家标准文件的起草规范与技术要求编制而成。全文在结构设计、总体原则与要求、技术要素编写及内容表述等方面严格遵循标准化工作导则，兼顾技术的先进性、实用性与可操作性，力求提升</w:t>
      </w:r>
      <w:r>
        <w:rPr>
          <w:rFonts w:hint="eastAsia" w:ascii="Times New Roman" w:hAnsi="Times New Roman" w:eastAsia="宋体" w:cs="Times New Roman"/>
          <w:color w:val="000000" w:themeColor="text1"/>
          <w:szCs w:val="21"/>
          <w:highlight w:val="none"/>
          <w14:textFill>
            <w14:solidFill>
              <w14:schemeClr w14:val="tx1"/>
            </w14:solidFill>
          </w14:textFill>
        </w:rPr>
        <w:t>该团体</w:t>
      </w:r>
      <w:r>
        <w:rPr>
          <w:rFonts w:ascii="Times New Roman" w:hAnsi="Times New Roman" w:eastAsia="宋体" w:cs="Times New Roman"/>
          <w:color w:val="000000" w:themeColor="text1"/>
          <w:szCs w:val="21"/>
          <w:highlight w:val="none"/>
          <w14:textFill>
            <w14:solidFill>
              <w14:schemeClr w14:val="tx1"/>
            </w14:solidFill>
          </w14:textFill>
        </w:rPr>
        <w:t>标准的科学性和适用性，确保其在临床实践中发挥有效指导作用，推动甲状腺及甲状旁腺术中神经监测技术的规范应用与持续改进。</w:t>
      </w:r>
    </w:p>
    <w:p w14:paraId="245E6773">
      <w:pPr>
        <w:shd w:val="clear"/>
        <w:ind w:firstLine="420" w:firstLineChars="200"/>
        <w:rPr>
          <w:rFonts w:hint="eastAsia" w:ascii="宋体" w:hAnsi="宋体" w:eastAsia="宋体" w:cs="Times New Roman"/>
          <w:color w:val="000000" w:themeColor="text1"/>
          <w:szCs w:val="21"/>
          <w:highlight w:val="none"/>
          <w14:textFill>
            <w14:solidFill>
              <w14:schemeClr w14:val="tx1"/>
            </w14:solidFill>
          </w14:textFill>
        </w:rPr>
        <w:sectPr>
          <w:pgSz w:w="11906" w:h="16838"/>
          <w:pgMar w:top="1440" w:right="1800" w:bottom="1440" w:left="1800" w:header="851" w:footer="992" w:gutter="0"/>
          <w:pgNumType w:fmt="upperRoman"/>
          <w:cols w:space="425" w:num="1"/>
          <w:docGrid w:type="lines" w:linePitch="312" w:charSpace="0"/>
        </w:sectPr>
      </w:pPr>
      <w:r>
        <w:rPr>
          <w:rFonts w:hint="eastAsia" w:ascii="宋体" w:hAnsi="宋体" w:eastAsia="宋体" w:cs="Times New Roman"/>
          <w:color w:val="000000" w:themeColor="text1"/>
          <w:szCs w:val="21"/>
          <w:highlight w:val="none"/>
          <w14:textFill>
            <w14:solidFill>
              <w14:schemeClr w14:val="tx1"/>
            </w14:solidFill>
          </w14:textFill>
        </w:rPr>
        <w:br w:type="page"/>
      </w:r>
    </w:p>
    <w:p w14:paraId="2BF6311F">
      <w:pPr>
        <w:shd w:val="clear"/>
        <w:spacing w:before="156" w:beforeLines="50" w:after="156" w:afterLines="50"/>
        <w:jc w:val="center"/>
        <w:rPr>
          <w:rFonts w:hint="eastAsia" w:ascii="黑体" w:hAnsi="黑体" w:eastAsia="黑体" w:cs="黑体"/>
          <w:color w:val="000000" w:themeColor="text1"/>
          <w:sz w:val="28"/>
          <w:szCs w:val="28"/>
          <w:highlight w:val="none"/>
          <w14:textFill>
            <w14:solidFill>
              <w14:schemeClr w14:val="tx1"/>
            </w14:solidFill>
          </w14:textFill>
        </w:rPr>
      </w:pPr>
      <w:r>
        <w:rPr>
          <w:rFonts w:ascii="黑体" w:hAnsi="黑体" w:eastAsia="黑体" w:cs="黑体"/>
          <w:color w:val="000000" w:themeColor="text1"/>
          <w:sz w:val="32"/>
          <w:szCs w:val="32"/>
          <w:highlight w:val="none"/>
          <w14:textFill>
            <w14:solidFill>
              <w14:schemeClr w14:val="tx1"/>
            </w14:solidFill>
          </w14:textFill>
        </w:rPr>
        <w:t>甲状腺及甲状旁腺术中神经监测技术规范</w:t>
      </w:r>
    </w:p>
    <w:p w14:paraId="615DD61F">
      <w:pPr>
        <w:pStyle w:val="33"/>
        <w:numPr>
          <w:ilvl w:val="0"/>
          <w:numId w:val="6"/>
        </w:numPr>
        <w:shd w:val="clear"/>
        <w:spacing w:before="312" w:beforeLines="100" w:after="312" w:afterLines="100"/>
        <w:ind w:firstLineChars="0"/>
        <w:jc w:val="left"/>
        <w:outlineLvl w:val="0"/>
        <w:rPr>
          <w:rFonts w:hint="eastAsia" w:ascii="黑体" w:hAnsi="黑体" w:eastAsia="黑体" w:cs="黑体"/>
          <w:bCs/>
          <w:color w:val="000000" w:themeColor="text1"/>
          <w:szCs w:val="21"/>
          <w:highlight w:val="none"/>
          <w14:textFill>
            <w14:solidFill>
              <w14:schemeClr w14:val="tx1"/>
            </w14:solidFill>
          </w14:textFill>
        </w:rPr>
      </w:pPr>
      <w:bookmarkStart w:id="5" w:name="_Toc207835470"/>
      <w:r>
        <w:rPr>
          <w:rFonts w:hint="eastAsia" w:ascii="黑体" w:hAnsi="黑体" w:eastAsia="黑体" w:cs="黑体"/>
          <w:bCs/>
          <w:color w:val="000000" w:themeColor="text1"/>
          <w:szCs w:val="21"/>
          <w:highlight w:val="none"/>
          <w14:textFill>
            <w14:solidFill>
              <w14:schemeClr w14:val="tx1"/>
            </w14:solidFill>
          </w14:textFill>
        </w:rPr>
        <w:t>范围</w:t>
      </w:r>
      <w:bookmarkEnd w:id="5"/>
    </w:p>
    <w:p w14:paraId="39110A0D">
      <w:pPr>
        <w:pStyle w:val="63"/>
        <w:shd w:val="clear"/>
        <w:rPr>
          <w:rFonts w:hint="eastAsia"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本文件规定了甲状腺及甲状旁腺手术中神经监测的设备要求、操作流程、信号判读</w:t>
      </w:r>
      <w:r>
        <w:rPr>
          <w:rFonts w:hint="eastAsia" w:ascii="宋体" w:hAnsi="宋体" w:eastAsia="宋体" w:cs="宋体"/>
          <w:color w:val="000000" w:themeColor="text1"/>
          <w:szCs w:val="21"/>
          <w:highlight w:val="none"/>
          <w14:textFill>
            <w14:solidFill>
              <w14:schemeClr w14:val="tx1"/>
            </w14:solidFill>
          </w14:textFill>
        </w:rPr>
        <w:t>及质</w:t>
      </w:r>
      <w:r>
        <w:rPr>
          <w:rFonts w:ascii="宋体" w:hAnsi="宋体" w:eastAsia="宋体" w:cs="宋体"/>
          <w:color w:val="000000" w:themeColor="text1"/>
          <w:szCs w:val="21"/>
          <w:highlight w:val="none"/>
          <w14:textFill>
            <w14:solidFill>
              <w14:schemeClr w14:val="tx1"/>
            </w14:solidFill>
          </w14:textFill>
        </w:rPr>
        <w:t>量控制等内容。</w:t>
      </w:r>
    </w:p>
    <w:p w14:paraId="72BEFC6C">
      <w:pPr>
        <w:pStyle w:val="63"/>
        <w:shd w:val="clear"/>
        <w:ind w:firstLineChars="0"/>
        <w:rPr>
          <w:rFonts w:hint="eastAsia"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本文件适用于各级医疗机构开展甲状腺及甲状旁腺术中神经监测相关工作，医疗设备生产企业、行业管理机构、教学</w:t>
      </w:r>
      <w:r>
        <w:rPr>
          <w:rFonts w:hint="eastAsia" w:ascii="宋体" w:hAnsi="宋体" w:eastAsia="宋体" w:cs="宋体"/>
          <w:color w:val="000000" w:themeColor="text1"/>
          <w:szCs w:val="21"/>
          <w:highlight w:val="none"/>
          <w14:textFill>
            <w14:solidFill>
              <w14:schemeClr w14:val="tx1"/>
            </w14:solidFill>
          </w14:textFill>
        </w:rPr>
        <w:t>及科学研究</w:t>
      </w:r>
      <w:r>
        <w:rPr>
          <w:rFonts w:ascii="宋体" w:hAnsi="宋体" w:eastAsia="宋体" w:cs="宋体"/>
          <w:color w:val="000000" w:themeColor="text1"/>
          <w:szCs w:val="21"/>
          <w:highlight w:val="none"/>
          <w14:textFill>
            <w14:solidFill>
              <w14:schemeClr w14:val="tx1"/>
            </w14:solidFill>
          </w14:textFill>
        </w:rPr>
        <w:t>单位等参</w:t>
      </w:r>
      <w:r>
        <w:rPr>
          <w:rFonts w:hint="eastAsia" w:ascii="宋体" w:hAnsi="宋体" w:eastAsia="宋体" w:cs="宋体"/>
          <w:color w:val="000000" w:themeColor="text1"/>
          <w:szCs w:val="21"/>
          <w:highlight w:val="none"/>
          <w:lang w:val="en-US" w:eastAsia="zh-CN"/>
          <w14:textFill>
            <w14:solidFill>
              <w14:schemeClr w14:val="tx1"/>
            </w14:solidFill>
          </w14:textFill>
        </w:rPr>
        <w:t>照</w:t>
      </w:r>
      <w:r>
        <w:rPr>
          <w:rFonts w:ascii="宋体" w:hAnsi="宋体" w:eastAsia="宋体" w:cs="宋体"/>
          <w:color w:val="000000" w:themeColor="text1"/>
          <w:szCs w:val="21"/>
          <w:highlight w:val="none"/>
          <w14:textFill>
            <w14:solidFill>
              <w14:schemeClr w14:val="tx1"/>
            </w14:solidFill>
          </w14:textFill>
        </w:rPr>
        <w:t>使用。</w:t>
      </w:r>
    </w:p>
    <w:p w14:paraId="6C0EF49D">
      <w:pPr>
        <w:pStyle w:val="33"/>
        <w:numPr>
          <w:ilvl w:val="0"/>
          <w:numId w:val="6"/>
        </w:numPr>
        <w:shd w:val="clear"/>
        <w:spacing w:before="312" w:beforeLines="100" w:after="312" w:afterLines="100"/>
        <w:ind w:firstLineChars="0"/>
        <w:jc w:val="left"/>
        <w:outlineLvl w:val="0"/>
        <w:rPr>
          <w:rFonts w:hint="eastAsia" w:ascii="黑体" w:hAnsi="黑体" w:eastAsia="黑体" w:cs="黑体"/>
          <w:bCs/>
          <w:color w:val="000000" w:themeColor="text1"/>
          <w:szCs w:val="21"/>
          <w:highlight w:val="none"/>
          <w14:textFill>
            <w14:solidFill>
              <w14:schemeClr w14:val="tx1"/>
            </w14:solidFill>
          </w14:textFill>
        </w:rPr>
      </w:pPr>
      <w:bookmarkStart w:id="6" w:name="_Toc207835471"/>
      <w:r>
        <w:rPr>
          <w:rFonts w:hint="eastAsia" w:ascii="黑体" w:hAnsi="黑体" w:eastAsia="黑体" w:cs="黑体"/>
          <w:bCs/>
          <w:color w:val="000000" w:themeColor="text1"/>
          <w:szCs w:val="21"/>
          <w:highlight w:val="none"/>
          <w14:textFill>
            <w14:solidFill>
              <w14:schemeClr w14:val="tx1"/>
            </w14:solidFill>
          </w14:textFill>
        </w:rPr>
        <w:t>规范性引用文件</w:t>
      </w:r>
      <w:bookmarkEnd w:id="6"/>
    </w:p>
    <w:p w14:paraId="06D5671F">
      <w:pPr>
        <w:pStyle w:val="8"/>
        <w:shd w:val="clear"/>
        <w:spacing w:before="0"/>
        <w:ind w:left="0" w:firstLine="404" w:firstLineChars="200"/>
        <w:rPr>
          <w:rFonts w:hint="eastAsia"/>
          <w:color w:val="000000" w:themeColor="text1"/>
          <w:highlight w:val="none"/>
          <w14:textFill>
            <w14:solidFill>
              <w14:schemeClr w14:val="tx1"/>
            </w14:solidFill>
          </w14:textFill>
        </w:rPr>
      </w:pPr>
      <w:bookmarkStart w:id="7" w:name="OLE_LINK10"/>
      <w:bookmarkStart w:id="8" w:name="_Hlk146830852"/>
      <w:r>
        <w:rPr>
          <w:rFonts w:cs="宋体"/>
          <w:color w:val="000000" w:themeColor="text1"/>
          <w:spacing w:val="-4"/>
          <w:highlight w:val="none"/>
          <w14:textFill>
            <w14:solidFill>
              <w14:schemeClr w14:val="tx1"/>
            </w14:solidFill>
          </w14:textFill>
        </w:rPr>
        <w:t>下列文件中的内容通过文中的规范性引用而构成本文件必不可少的条款。其中，</w:t>
      </w:r>
      <w:r>
        <w:rPr>
          <w:rFonts w:hint="eastAsia" w:cs="宋体"/>
          <w:color w:val="000000" w:themeColor="text1"/>
          <w:spacing w:val="-4"/>
          <w:highlight w:val="none"/>
          <w14:textFill>
            <w14:solidFill>
              <w14:schemeClr w14:val="tx1"/>
            </w14:solidFill>
          </w14:textFill>
        </w:rPr>
        <w:t>标</w:t>
      </w:r>
      <w:r>
        <w:rPr>
          <w:rFonts w:cs="宋体"/>
          <w:color w:val="000000" w:themeColor="text1"/>
          <w:spacing w:val="-4"/>
          <w:highlight w:val="none"/>
          <w14:textFill>
            <w14:solidFill>
              <w14:schemeClr w14:val="tx1"/>
            </w14:solidFill>
          </w14:textFill>
        </w:rPr>
        <w:t>注日期</w:t>
      </w:r>
      <w:r>
        <w:rPr>
          <w:rFonts w:cs="宋体"/>
          <w:color w:val="000000" w:themeColor="text1"/>
          <w:highlight w:val="none"/>
          <w14:textFill>
            <w14:solidFill>
              <w14:schemeClr w14:val="tx1"/>
            </w14:solidFill>
          </w14:textFill>
        </w:rPr>
        <w:t xml:space="preserve"> </w:t>
      </w:r>
      <w:r>
        <w:rPr>
          <w:rFonts w:cs="宋体"/>
          <w:color w:val="000000" w:themeColor="text1"/>
          <w:spacing w:val="-4"/>
          <w:highlight w:val="none"/>
          <w14:textFill>
            <w14:solidFill>
              <w14:schemeClr w14:val="tx1"/>
            </w14:solidFill>
          </w14:textFill>
        </w:rPr>
        <w:t>的引用文件，仅该日期对应的版本适用于本文件；不注日期的引用文件，其最新版本（包括</w:t>
      </w:r>
      <w:r>
        <w:rPr>
          <w:rFonts w:cs="宋体"/>
          <w:color w:val="000000" w:themeColor="text1"/>
          <w:spacing w:val="-44"/>
          <w:highlight w:val="none"/>
          <w14:textFill>
            <w14:solidFill>
              <w14:schemeClr w14:val="tx1"/>
            </w14:solidFill>
          </w14:textFill>
        </w:rPr>
        <w:t xml:space="preserve"> </w:t>
      </w:r>
      <w:r>
        <w:rPr>
          <w:rFonts w:cs="宋体"/>
          <w:color w:val="000000" w:themeColor="text1"/>
          <w:highlight w:val="none"/>
          <w14:textFill>
            <w14:solidFill>
              <w14:schemeClr w14:val="tx1"/>
            </w14:solidFill>
          </w14:textFill>
        </w:rPr>
        <w:t>所有的修改单）适用于本文件。</w:t>
      </w:r>
      <w:bookmarkEnd w:id="7"/>
      <w:bookmarkEnd w:id="8"/>
    </w:p>
    <w:p w14:paraId="596252EE">
      <w:pPr>
        <w:shd w:val="clear"/>
        <w:ind w:firstLine="420" w:firstLineChars="200"/>
        <w:jc w:val="both"/>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GB/T 1.1</w:t>
      </w:r>
      <w:r>
        <w:rPr>
          <w:rFonts w:hint="eastAsia"/>
          <w:color w:val="000000" w:themeColor="text1"/>
          <w:highlight w:val="none"/>
          <w:lang w:val="en-US" w:eastAsia="zh-CN"/>
          <w14:textFill>
            <w14:solidFill>
              <w14:schemeClr w14:val="tx1"/>
            </w14:solidFill>
          </w14:textFill>
        </w:rPr>
        <w:t>一</w:t>
      </w:r>
      <w:r>
        <w:rPr>
          <w:rFonts w:ascii="Times New Roman" w:hAnsi="Times New Roman" w:eastAsia="宋体" w:cs="Times New Roman"/>
          <w:color w:val="000000" w:themeColor="text1"/>
          <w:szCs w:val="21"/>
          <w:highlight w:val="none"/>
          <w14:textFill>
            <w14:solidFill>
              <w14:schemeClr w14:val="tx1"/>
            </w14:solidFill>
          </w14:textFill>
        </w:rPr>
        <w:t>2020</w:t>
      </w:r>
      <w:r>
        <w:rPr>
          <w:rFonts w:hint="eastAsia"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Cs w:val="21"/>
          <w:highlight w:val="none"/>
          <w14:textFill>
            <w14:solidFill>
              <w14:schemeClr w14:val="tx1"/>
            </w14:solidFill>
          </w14:textFill>
        </w:rPr>
        <w:t>标准化工作导则</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Cs w:val="21"/>
          <w:highlight w:val="none"/>
          <w14:textFill>
            <w14:solidFill>
              <w14:schemeClr w14:val="tx1"/>
            </w14:solidFill>
          </w14:textFill>
        </w:rPr>
        <w:t>第1部分：标准化文件的结构和起草规则</w:t>
      </w:r>
    </w:p>
    <w:p w14:paraId="015CD59B">
      <w:pPr>
        <w:shd w:val="clear"/>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GB/T 20001.5</w:t>
      </w:r>
      <w:r>
        <w:rPr>
          <w:rFonts w:hint="eastAsia"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Cs w:val="21"/>
          <w:highlight w:val="none"/>
          <w14:textFill>
            <w14:solidFill>
              <w14:schemeClr w14:val="tx1"/>
            </w14:solidFill>
          </w14:textFill>
        </w:rPr>
        <w:t xml:space="preserve">标准编写规则 </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xml:space="preserve"> </w:t>
      </w:r>
      <w:r>
        <w:rPr>
          <w:rFonts w:ascii="Times New Roman" w:hAnsi="Times New Roman" w:eastAsia="宋体" w:cs="Times New Roman"/>
          <w:color w:val="000000" w:themeColor="text1"/>
          <w:szCs w:val="21"/>
          <w:highlight w:val="none"/>
          <w14:textFill>
            <w14:solidFill>
              <w14:schemeClr w14:val="tx1"/>
            </w14:solidFill>
          </w14:textFill>
        </w:rPr>
        <w:t>第5部分：规范标准</w:t>
      </w:r>
    </w:p>
    <w:p w14:paraId="325DB2EE">
      <w:pPr>
        <w:pStyle w:val="33"/>
        <w:numPr>
          <w:ilvl w:val="0"/>
          <w:numId w:val="6"/>
        </w:numPr>
        <w:shd w:val="clear"/>
        <w:spacing w:before="312" w:beforeLines="100" w:after="312" w:afterLines="100"/>
        <w:ind w:firstLineChars="0"/>
        <w:jc w:val="left"/>
        <w:outlineLvl w:val="0"/>
        <w:rPr>
          <w:rFonts w:hint="eastAsia" w:ascii="黑体" w:hAnsi="黑体" w:eastAsia="黑体" w:cs="黑体"/>
          <w:bCs/>
          <w:color w:val="000000" w:themeColor="text1"/>
          <w:szCs w:val="21"/>
          <w:highlight w:val="none"/>
          <w14:textFill>
            <w14:solidFill>
              <w14:schemeClr w14:val="tx1"/>
            </w14:solidFill>
          </w14:textFill>
        </w:rPr>
      </w:pPr>
      <w:bookmarkStart w:id="9" w:name="_Toc207835472"/>
      <w:r>
        <w:rPr>
          <w:rFonts w:hint="eastAsia" w:ascii="黑体" w:hAnsi="黑体" w:eastAsia="黑体" w:cs="黑体"/>
          <w:bCs/>
          <w:color w:val="000000" w:themeColor="text1"/>
          <w:szCs w:val="21"/>
          <w:highlight w:val="none"/>
          <w14:textFill>
            <w14:solidFill>
              <w14:schemeClr w14:val="tx1"/>
            </w14:solidFill>
          </w14:textFill>
        </w:rPr>
        <w:t>术语和定义</w:t>
      </w:r>
      <w:bookmarkEnd w:id="9"/>
    </w:p>
    <w:p w14:paraId="3E615983">
      <w:pPr>
        <w:shd w:val="clear"/>
        <w:spacing w:beforeLines="0" w:afterLines="0"/>
        <w:ind w:firstLine="420" w:firstLineChars="200"/>
        <w:rPr>
          <w:rFonts w:hint="eastAsia"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Times New Roman"/>
          <w:bCs/>
          <w:color w:val="000000" w:themeColor="text1"/>
          <w:szCs w:val="21"/>
          <w:highlight w:val="none"/>
          <w14:textFill>
            <w14:solidFill>
              <w14:schemeClr w14:val="tx1"/>
            </w14:solidFill>
          </w14:textFill>
        </w:rPr>
        <w:t>下列术语和定义适用于本文件。</w:t>
      </w:r>
    </w:p>
    <w:p w14:paraId="19F76EC9">
      <w:pPr>
        <w:pStyle w:val="33"/>
        <w:numPr>
          <w:ilvl w:val="1"/>
          <w:numId w:val="6"/>
        </w:numPr>
        <w:shd w:val="clear"/>
        <w:spacing w:before="0" w:beforeLines="0" w:after="0" w:afterLines="0"/>
        <w:ind w:firstLine="0" w:firstLineChars="0"/>
        <w:rPr>
          <w:rFonts w:hint="eastAsia" w:ascii="宋体" w:hAnsi="宋体" w:eastAsia="宋体" w:cs="Times New Roman"/>
          <w:b/>
          <w:color w:val="000000" w:themeColor="text1"/>
          <w:szCs w:val="21"/>
          <w:highlight w:val="none"/>
          <w14:textFill>
            <w14:solidFill>
              <w14:schemeClr w14:val="tx1"/>
            </w14:solidFill>
          </w14:textFill>
        </w:rPr>
      </w:pPr>
    </w:p>
    <w:p w14:paraId="2E05A1AF">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黑体" w:cs="Times New Roman"/>
          <w:bCs/>
          <w:color w:val="000000" w:themeColor="text1"/>
          <w:szCs w:val="21"/>
          <w:highlight w:val="none"/>
          <w14:textFill>
            <w14:solidFill>
              <w14:schemeClr w14:val="tx1"/>
            </w14:solidFill>
          </w14:textFill>
        </w:rPr>
        <w:t>术中神经监测技术</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w:t>
      </w:r>
      <w:r>
        <w:rPr>
          <w:rFonts w:ascii="Times New Roman" w:hAnsi="Times New Roman" w:eastAsia="黑体" w:cs="Times New Roman"/>
          <w:bCs/>
          <w:color w:val="000000" w:themeColor="text1"/>
          <w:szCs w:val="21"/>
          <w:highlight w:val="none"/>
          <w14:textFill>
            <w14:solidFill>
              <w14:schemeClr w14:val="tx1"/>
            </w14:solidFill>
          </w14:textFill>
        </w:rPr>
        <w:t>intraoperative neuromonitoring</w:t>
      </w:r>
      <w:r>
        <w:rPr>
          <w:rFonts w:hint="eastAsia" w:ascii="Times New Roman" w:hAnsi="Times New Roman" w:eastAsia="黑体" w:cs="Times New Roman"/>
          <w:bCs/>
          <w:color w:val="000000" w:themeColor="text1"/>
          <w:szCs w:val="21"/>
          <w:highlight w:val="none"/>
          <w14:textFill>
            <w14:solidFill>
              <w14:schemeClr w14:val="tx1"/>
            </w14:solidFill>
          </w14:textFill>
        </w:rPr>
        <w:t>; IONM</w:t>
      </w:r>
    </w:p>
    <w:p w14:paraId="79A623AC">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通过运动神经电生理反馈效应，实时显示相关神经功能的外科辅助技术。</w:t>
      </w:r>
    </w:p>
    <w:p w14:paraId="40B9759D">
      <w:pPr>
        <w:pStyle w:val="33"/>
        <w:numPr>
          <w:ilvl w:val="1"/>
          <w:numId w:val="6"/>
        </w:numPr>
        <w:shd w:val="clear"/>
        <w:spacing w:before="0" w:beforeLines="0" w:after="0" w:afterLines="0"/>
        <w:ind w:firstLine="0" w:firstLineChars="0"/>
        <w:rPr>
          <w:rFonts w:hint="eastAsia" w:ascii="宋体" w:hAnsi="宋体" w:eastAsia="宋体" w:cs="Times New Roman"/>
          <w:b/>
          <w:color w:val="000000" w:themeColor="text1"/>
          <w:szCs w:val="21"/>
          <w:highlight w:val="none"/>
          <w14:textFill>
            <w14:solidFill>
              <w14:schemeClr w14:val="tx1"/>
            </w14:solidFill>
          </w14:textFill>
        </w:rPr>
      </w:pPr>
    </w:p>
    <w:p w14:paraId="41C65C15">
      <w:pPr>
        <w:pStyle w:val="33"/>
        <w:shd w:val="clear"/>
        <w:spacing w:beforeLines="0" w:afterLines="0"/>
        <w:rPr>
          <w:rFonts w:ascii="Times New Roman" w:hAnsi="Times New Roman" w:eastAsia="黑体" w:cs="Times New Roman"/>
          <w:bCs/>
          <w:color w:val="000000" w:themeColor="text1"/>
          <w:szCs w:val="21"/>
          <w:highlight w:val="none"/>
          <w14:textFill>
            <w14:solidFill>
              <w14:schemeClr w14:val="tx1"/>
            </w14:solidFill>
          </w14:textFill>
        </w:rPr>
      </w:pPr>
      <w:r>
        <w:rPr>
          <w:rFonts w:ascii="Times New Roman" w:hAnsi="Times New Roman" w:eastAsia="黑体" w:cs="Times New Roman"/>
          <w:bCs/>
          <w:color w:val="000000" w:themeColor="text1"/>
          <w:szCs w:val="21"/>
          <w:highlight w:val="none"/>
          <w14:textFill>
            <w14:solidFill>
              <w14:schemeClr w14:val="tx1"/>
            </w14:solidFill>
          </w14:textFill>
        </w:rPr>
        <w:t>间断性术中神经监测</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i</w:t>
      </w:r>
      <w:r>
        <w:rPr>
          <w:rFonts w:ascii="Times New Roman" w:hAnsi="Times New Roman" w:eastAsia="黑体" w:cs="Times New Roman"/>
          <w:bCs/>
          <w:color w:val="000000" w:themeColor="text1"/>
          <w:szCs w:val="21"/>
          <w:highlight w:val="none"/>
          <w14:textFill>
            <w14:solidFill>
              <w14:schemeClr w14:val="tx1"/>
            </w14:solidFill>
          </w14:textFill>
        </w:rPr>
        <w:t>ntermittent-IONM</w:t>
      </w:r>
    </w:p>
    <w:p w14:paraId="08A0A036">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通过使用</w:t>
      </w:r>
      <w:r>
        <w:rPr>
          <w:rFonts w:ascii="Times New Roman" w:hAnsi="Times New Roman" w:eastAsia="宋体" w:cs="Times New Roman"/>
          <w:color w:val="000000" w:themeColor="text1"/>
          <w:szCs w:val="21"/>
          <w:highlight w:val="none"/>
          <w14:textFill>
            <w14:solidFill>
              <w14:schemeClr w14:val="tx1"/>
            </w14:solidFill>
          </w14:textFill>
        </w:rPr>
        <w:t>手持</w:t>
      </w:r>
      <w:r>
        <w:rPr>
          <w:rFonts w:hint="eastAsia" w:ascii="Times New Roman" w:hAnsi="Times New Roman" w:eastAsia="宋体" w:cs="Times New Roman"/>
          <w:color w:val="000000" w:themeColor="text1"/>
          <w:szCs w:val="21"/>
          <w:highlight w:val="none"/>
          <w14:textFill>
            <w14:solidFill>
              <w14:schemeClr w14:val="tx1"/>
            </w14:solidFill>
          </w14:textFill>
        </w:rPr>
        <w:t>式</w:t>
      </w:r>
      <w:r>
        <w:rPr>
          <w:rFonts w:ascii="Times New Roman" w:hAnsi="Times New Roman" w:eastAsia="宋体" w:cs="Times New Roman"/>
          <w:color w:val="000000" w:themeColor="text1"/>
          <w:szCs w:val="21"/>
          <w:highlight w:val="none"/>
          <w14:textFill>
            <w14:solidFill>
              <w14:schemeClr w14:val="tx1"/>
            </w14:solidFill>
          </w14:textFill>
        </w:rPr>
        <w:t>刺激</w:t>
      </w:r>
      <w:r>
        <w:rPr>
          <w:rFonts w:hint="eastAsia" w:ascii="Times New Roman" w:hAnsi="Times New Roman" w:eastAsia="宋体" w:cs="Times New Roman"/>
          <w:color w:val="000000" w:themeColor="text1"/>
          <w:szCs w:val="21"/>
          <w:highlight w:val="none"/>
          <w14:textFill>
            <w14:solidFill>
              <w14:schemeClr w14:val="tx1"/>
            </w14:solidFill>
          </w14:textFill>
        </w:rPr>
        <w:t>探针，</w:t>
      </w:r>
      <w:r>
        <w:rPr>
          <w:rFonts w:ascii="Times New Roman" w:hAnsi="Times New Roman" w:eastAsia="宋体" w:cs="Times New Roman"/>
          <w:color w:val="000000" w:themeColor="text1"/>
          <w:szCs w:val="21"/>
          <w:highlight w:val="none"/>
          <w14:textFill>
            <w14:solidFill>
              <w14:schemeClr w14:val="tx1"/>
            </w14:solidFill>
          </w14:textFill>
        </w:rPr>
        <w:t>按需释放刺激</w:t>
      </w:r>
      <w:r>
        <w:rPr>
          <w:rFonts w:hint="eastAsia" w:ascii="Times New Roman" w:hAnsi="Times New Roman" w:eastAsia="宋体" w:cs="Times New Roman"/>
          <w:color w:val="000000" w:themeColor="text1"/>
          <w:szCs w:val="21"/>
          <w:highlight w:val="none"/>
          <w14:textFill>
            <w14:solidFill>
              <w14:schemeClr w14:val="tx1"/>
            </w14:solidFill>
          </w14:textFill>
        </w:rPr>
        <w:t>电流，进行神经功能监测的方式。</w:t>
      </w:r>
    </w:p>
    <w:p w14:paraId="5B0750A6">
      <w:pPr>
        <w:pStyle w:val="33"/>
        <w:numPr>
          <w:ilvl w:val="1"/>
          <w:numId w:val="6"/>
        </w:numPr>
        <w:shd w:val="clear"/>
        <w:spacing w:before="0" w:beforeLines="0" w:after="0" w:afterLines="0"/>
        <w:ind w:firstLine="0" w:firstLineChars="0"/>
        <w:rPr>
          <w:rFonts w:hint="eastAsia" w:ascii="宋体" w:hAnsi="宋体" w:eastAsia="宋体" w:cs="Times New Roman"/>
          <w:b/>
          <w:color w:val="000000" w:themeColor="text1"/>
          <w:szCs w:val="21"/>
          <w:highlight w:val="none"/>
          <w14:textFill>
            <w14:solidFill>
              <w14:schemeClr w14:val="tx1"/>
            </w14:solidFill>
          </w14:textFill>
        </w:rPr>
      </w:pPr>
    </w:p>
    <w:p w14:paraId="07A5ADE0">
      <w:pPr>
        <w:pStyle w:val="33"/>
        <w:shd w:val="clear"/>
        <w:spacing w:beforeLines="0" w:afterLines="0"/>
        <w:rPr>
          <w:rFonts w:ascii="Times New Roman" w:hAnsi="Times New Roman" w:eastAsia="黑体" w:cs="Times New Roman"/>
          <w:bCs/>
          <w:color w:val="000000" w:themeColor="text1"/>
          <w:szCs w:val="21"/>
          <w:highlight w:val="none"/>
          <w14:textFill>
            <w14:solidFill>
              <w14:schemeClr w14:val="tx1"/>
            </w14:solidFill>
          </w14:textFill>
        </w:rPr>
      </w:pPr>
      <w:r>
        <w:rPr>
          <w:rFonts w:ascii="Times New Roman" w:hAnsi="Times New Roman" w:eastAsia="黑体" w:cs="Times New Roman"/>
          <w:bCs/>
          <w:color w:val="000000" w:themeColor="text1"/>
          <w:szCs w:val="21"/>
          <w:highlight w:val="none"/>
          <w14:textFill>
            <w14:solidFill>
              <w14:schemeClr w14:val="tx1"/>
            </w14:solidFill>
          </w14:textFill>
        </w:rPr>
        <w:t>连续性术中神经监测</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c</w:t>
      </w:r>
      <w:r>
        <w:rPr>
          <w:rFonts w:ascii="Times New Roman" w:hAnsi="Times New Roman" w:eastAsia="黑体" w:cs="Times New Roman"/>
          <w:bCs/>
          <w:color w:val="000000" w:themeColor="text1"/>
          <w:szCs w:val="21"/>
          <w:highlight w:val="none"/>
          <w14:textFill>
            <w14:solidFill>
              <w14:schemeClr w14:val="tx1"/>
            </w14:solidFill>
          </w14:textFill>
        </w:rPr>
        <w:t>ontinuous-IONM</w:t>
      </w:r>
    </w:p>
    <w:p w14:paraId="1A09213A">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通过</w:t>
      </w:r>
      <w:r>
        <w:rPr>
          <w:rFonts w:hint="eastAsia" w:ascii="Times New Roman" w:hAnsi="Times New Roman" w:eastAsia="宋体" w:cs="Times New Roman"/>
          <w:color w:val="000000" w:themeColor="text1"/>
          <w:szCs w:val="21"/>
          <w:highlight w:val="none"/>
          <w14:textFill>
            <w14:solidFill>
              <w14:schemeClr w14:val="tx1"/>
            </w14:solidFill>
          </w14:textFill>
        </w:rPr>
        <w:t>置入迷走神经自动周期刺激电极，连续</w:t>
      </w:r>
      <w:r>
        <w:rPr>
          <w:rFonts w:ascii="Times New Roman" w:hAnsi="Times New Roman" w:eastAsia="宋体" w:cs="Times New Roman"/>
          <w:color w:val="000000" w:themeColor="text1"/>
          <w:szCs w:val="21"/>
          <w:highlight w:val="none"/>
          <w14:textFill>
            <w14:solidFill>
              <w14:schemeClr w14:val="tx1"/>
            </w14:solidFill>
          </w14:textFill>
        </w:rPr>
        <w:t>释放刺激</w:t>
      </w:r>
      <w:r>
        <w:rPr>
          <w:rFonts w:hint="eastAsia" w:ascii="Times New Roman" w:hAnsi="Times New Roman" w:eastAsia="宋体" w:cs="Times New Roman"/>
          <w:color w:val="000000" w:themeColor="text1"/>
          <w:szCs w:val="21"/>
          <w:highlight w:val="none"/>
          <w14:textFill>
            <w14:solidFill>
              <w14:schemeClr w14:val="tx1"/>
            </w14:solidFill>
          </w14:textFill>
        </w:rPr>
        <w:t>电流，进行神经功能监测的方式。</w:t>
      </w:r>
    </w:p>
    <w:p w14:paraId="3A4EF648">
      <w:pPr>
        <w:pStyle w:val="33"/>
        <w:numPr>
          <w:ilvl w:val="1"/>
          <w:numId w:val="6"/>
        </w:numPr>
        <w:shd w:val="clear"/>
        <w:spacing w:before="0" w:beforeLines="0" w:after="0" w:afterLines="0"/>
        <w:ind w:firstLine="0" w:firstLineChars="0"/>
        <w:rPr>
          <w:rFonts w:hint="eastAsia" w:ascii="宋体" w:hAnsi="宋体" w:eastAsia="宋体" w:cs="Times New Roman"/>
          <w:b/>
          <w:color w:val="000000" w:themeColor="text1"/>
          <w:szCs w:val="21"/>
          <w:highlight w:val="none"/>
          <w14:textFill>
            <w14:solidFill>
              <w14:schemeClr w14:val="tx1"/>
            </w14:solidFill>
          </w14:textFill>
        </w:rPr>
      </w:pPr>
    </w:p>
    <w:p w14:paraId="05DE442C">
      <w:pPr>
        <w:pStyle w:val="33"/>
        <w:shd w:val="clear"/>
        <w:spacing w:beforeLines="0" w:afterLines="0"/>
        <w:rPr>
          <w:rFonts w:ascii="Times New Roman" w:hAnsi="Times New Roman" w:eastAsia="黑体" w:cs="Times New Roman"/>
          <w:bCs/>
          <w:color w:val="000000" w:themeColor="text1"/>
          <w:szCs w:val="21"/>
          <w:highlight w:val="none"/>
          <w14:textFill>
            <w14:solidFill>
              <w14:schemeClr w14:val="tx1"/>
            </w14:solidFill>
          </w14:textFill>
        </w:rPr>
      </w:pPr>
      <w:r>
        <w:rPr>
          <w:rFonts w:ascii="Times New Roman" w:hAnsi="Times New Roman" w:eastAsia="黑体" w:cs="Times New Roman"/>
          <w:bCs/>
          <w:color w:val="000000" w:themeColor="text1"/>
          <w:szCs w:val="21"/>
          <w:highlight w:val="none"/>
          <w14:textFill>
            <w14:solidFill>
              <w14:schemeClr w14:val="tx1"/>
            </w14:solidFill>
          </w14:textFill>
        </w:rPr>
        <w:t>肌电</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图 </w:t>
      </w:r>
      <w:r>
        <w:rPr>
          <w:rFonts w:ascii="Times New Roman" w:hAnsi="Times New Roman" w:eastAsia="宋体" w:cs="Times New Roman"/>
          <w:color w:val="000000" w:themeColor="text1"/>
          <w:szCs w:val="21"/>
          <w:highlight w:val="none"/>
          <w14:textFill>
            <w14:solidFill>
              <w14:schemeClr w14:val="tx1"/>
            </w14:solidFill>
          </w14:textFill>
        </w:rPr>
        <w:t>electromyogra</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w:t>
      </w:r>
      <w:r>
        <w:rPr>
          <w:rFonts w:ascii="Times New Roman" w:hAnsi="Times New Roman" w:eastAsia="黑体" w:cs="Times New Roman"/>
          <w:bCs/>
          <w:color w:val="000000" w:themeColor="text1"/>
          <w:szCs w:val="21"/>
          <w:highlight w:val="none"/>
          <w14:textFill>
            <w14:solidFill>
              <w14:schemeClr w14:val="tx1"/>
            </w14:solidFill>
          </w14:textFill>
        </w:rPr>
        <w:t>EMG</w:t>
      </w:r>
    </w:p>
    <w:p w14:paraId="016CF50D">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由</w:t>
      </w:r>
      <w:r>
        <w:rPr>
          <w:rFonts w:hint="eastAsia" w:ascii="Times New Roman" w:hAnsi="Times New Roman" w:eastAsia="宋体" w:cs="Times New Roman"/>
          <w:color w:val="000000" w:themeColor="text1"/>
          <w:szCs w:val="21"/>
          <w:highlight w:val="none"/>
          <w14:textFill>
            <w14:solidFill>
              <w14:schemeClr w14:val="tx1"/>
            </w14:solidFill>
          </w14:textFill>
        </w:rPr>
        <w:t>神经支配的</w:t>
      </w:r>
      <w:r>
        <w:rPr>
          <w:rFonts w:ascii="Times New Roman" w:hAnsi="Times New Roman" w:eastAsia="宋体" w:cs="Times New Roman"/>
          <w:color w:val="000000" w:themeColor="text1"/>
          <w:szCs w:val="21"/>
          <w:highlight w:val="none"/>
          <w14:textFill>
            <w14:solidFill>
              <w14:schemeClr w14:val="tx1"/>
            </w14:solidFill>
          </w14:textFill>
        </w:rPr>
        <w:t>效应肌产生并被记录电极接收、经监测仪放大处理后的</w:t>
      </w:r>
      <w:r>
        <w:rPr>
          <w:rFonts w:hint="eastAsia" w:ascii="Times New Roman" w:hAnsi="Times New Roman" w:eastAsia="宋体" w:cs="Times New Roman"/>
          <w:color w:val="000000" w:themeColor="text1"/>
          <w:szCs w:val="21"/>
          <w:highlight w:val="none"/>
          <w14:textFill>
            <w14:solidFill>
              <w14:schemeClr w14:val="tx1"/>
            </w14:solidFill>
          </w14:textFill>
        </w:rPr>
        <w:t>波</w:t>
      </w:r>
      <w:r>
        <w:rPr>
          <w:rFonts w:ascii="Times New Roman" w:hAnsi="Times New Roman" w:eastAsia="宋体" w:cs="Times New Roman"/>
          <w:color w:val="000000" w:themeColor="text1"/>
          <w:szCs w:val="21"/>
          <w:highlight w:val="none"/>
          <w14:textFill>
            <w14:solidFill>
              <w14:schemeClr w14:val="tx1"/>
            </w14:solidFill>
          </w14:textFill>
        </w:rPr>
        <w:t>形信号</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可客观、准确、量化反映神经功能。</w:t>
      </w:r>
    </w:p>
    <w:p w14:paraId="2D79B2B8">
      <w:pPr>
        <w:pStyle w:val="33"/>
        <w:numPr>
          <w:ilvl w:val="1"/>
          <w:numId w:val="6"/>
        </w:numPr>
        <w:shd w:val="clear"/>
        <w:spacing w:before="0" w:beforeLines="0" w:after="0" w:afterLines="0"/>
        <w:ind w:firstLine="0" w:firstLineChars="0"/>
        <w:rPr>
          <w:rFonts w:hint="eastAsia" w:ascii="宋体" w:hAnsi="宋体" w:eastAsia="宋体" w:cs="Times New Roman"/>
          <w:b/>
          <w:color w:val="000000" w:themeColor="text1"/>
          <w:szCs w:val="21"/>
          <w:highlight w:val="none"/>
          <w14:textFill>
            <w14:solidFill>
              <w14:schemeClr w14:val="tx1"/>
            </w14:solidFill>
          </w14:textFill>
        </w:rPr>
      </w:pPr>
    </w:p>
    <w:p w14:paraId="790BB354">
      <w:pPr>
        <w:pStyle w:val="33"/>
        <w:shd w:val="clear"/>
        <w:spacing w:beforeLines="0" w:afterLines="0"/>
        <w:rPr>
          <w:rFonts w:ascii="Times New Roman" w:hAnsi="Times New Roman" w:eastAsia="黑体" w:cs="Times New Roman"/>
          <w:bCs/>
          <w:color w:val="000000" w:themeColor="text1"/>
          <w:szCs w:val="21"/>
          <w:highlight w:val="none"/>
          <w14:textFill>
            <w14:solidFill>
              <w14:schemeClr w14:val="tx1"/>
            </w14:solidFill>
          </w14:textFill>
        </w:rPr>
      </w:pPr>
      <w:r>
        <w:rPr>
          <w:rFonts w:ascii="Times New Roman" w:hAnsi="Times New Roman" w:eastAsia="黑体" w:cs="Times New Roman"/>
          <w:bCs/>
          <w:color w:val="000000" w:themeColor="text1"/>
          <w:szCs w:val="21"/>
          <w:highlight w:val="none"/>
          <w14:textFill>
            <w14:solidFill>
              <w14:schemeClr w14:val="tx1"/>
            </w14:solidFill>
          </w14:textFill>
        </w:rPr>
        <w:t>振幅</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a</w:t>
      </w:r>
      <w:r>
        <w:rPr>
          <w:rFonts w:ascii="Times New Roman" w:hAnsi="Times New Roman" w:eastAsia="黑体" w:cs="Times New Roman"/>
          <w:bCs/>
          <w:color w:val="000000" w:themeColor="text1"/>
          <w:szCs w:val="21"/>
          <w:highlight w:val="none"/>
          <w14:textFill>
            <w14:solidFill>
              <w14:schemeClr w14:val="tx1"/>
            </w14:solidFill>
          </w14:textFill>
        </w:rPr>
        <w:t>mplitude</w:t>
      </w:r>
    </w:p>
    <w:p w14:paraId="5DF87D67">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肌电图（</w:t>
      </w:r>
      <w:r>
        <w:rPr>
          <w:rFonts w:ascii="Times New Roman" w:hAnsi="Times New Roman" w:eastAsia="宋体" w:cs="Times New Roman"/>
          <w:color w:val="000000" w:themeColor="text1"/>
          <w:szCs w:val="21"/>
          <w:highlight w:val="none"/>
          <w14:textFill>
            <w14:solidFill>
              <w14:schemeClr w14:val="tx1"/>
            </w14:solidFill>
          </w14:textFill>
        </w:rPr>
        <w:t>EMG</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波形</w:t>
      </w:r>
      <w:r>
        <w:rPr>
          <w:rFonts w:hint="eastAsia" w:ascii="Times New Roman" w:hAnsi="Times New Roman" w:eastAsia="宋体" w:cs="Times New Roman"/>
          <w:color w:val="000000" w:themeColor="text1"/>
          <w:szCs w:val="21"/>
          <w:highlight w:val="none"/>
          <w14:textFill>
            <w14:solidFill>
              <w14:schemeClr w14:val="tx1"/>
            </w14:solidFill>
          </w14:textFill>
        </w:rPr>
        <w:t>从波峰或波谷到基线之间的最大</w:t>
      </w:r>
      <w:r>
        <w:rPr>
          <w:rFonts w:ascii="Times New Roman" w:hAnsi="Times New Roman" w:eastAsia="宋体" w:cs="Times New Roman"/>
          <w:color w:val="000000" w:themeColor="text1"/>
          <w:szCs w:val="21"/>
          <w:highlight w:val="none"/>
          <w14:textFill>
            <w14:solidFill>
              <w14:schemeClr w14:val="tx1"/>
            </w14:solidFill>
          </w14:textFill>
        </w:rPr>
        <w:t>电压差值</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单位微伏</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μV</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代表肌肉运动单位动作电位的总和，是</w:t>
      </w:r>
      <w:r>
        <w:rPr>
          <w:rFonts w:hint="eastAsia" w:ascii="Times New Roman" w:hAnsi="Times New Roman" w:eastAsia="宋体" w:cs="Times New Roman"/>
          <w:color w:val="000000" w:themeColor="text1"/>
          <w:szCs w:val="21"/>
          <w:highlight w:val="none"/>
          <w14:textFill>
            <w14:solidFill>
              <w14:schemeClr w14:val="tx1"/>
            </w14:solidFill>
          </w14:textFill>
        </w:rPr>
        <w:t>反映</w:t>
      </w:r>
      <w:r>
        <w:rPr>
          <w:rFonts w:ascii="Times New Roman" w:hAnsi="Times New Roman" w:eastAsia="宋体" w:cs="Times New Roman"/>
          <w:color w:val="000000" w:themeColor="text1"/>
          <w:szCs w:val="21"/>
          <w:highlight w:val="none"/>
          <w14:textFill>
            <w14:solidFill>
              <w14:schemeClr w14:val="tx1"/>
            </w14:solidFill>
          </w14:textFill>
        </w:rPr>
        <w:t>神经功能变化的敏感指标。</w:t>
      </w:r>
    </w:p>
    <w:p w14:paraId="3BA97E61">
      <w:pPr>
        <w:pStyle w:val="33"/>
        <w:numPr>
          <w:ilvl w:val="1"/>
          <w:numId w:val="6"/>
        </w:numPr>
        <w:shd w:val="clear"/>
        <w:spacing w:before="0" w:beforeLines="0" w:after="0" w:afterLines="0"/>
        <w:ind w:firstLine="0" w:firstLineChars="0"/>
        <w:rPr>
          <w:rFonts w:hint="eastAsia" w:ascii="宋体" w:hAnsi="宋体" w:eastAsia="宋体" w:cs="Times New Roman"/>
          <w:b/>
          <w:color w:val="000000" w:themeColor="text1"/>
          <w:szCs w:val="21"/>
          <w:highlight w:val="none"/>
          <w14:textFill>
            <w14:solidFill>
              <w14:schemeClr w14:val="tx1"/>
            </w14:solidFill>
          </w14:textFill>
        </w:rPr>
      </w:pPr>
    </w:p>
    <w:p w14:paraId="48EC3741">
      <w:pPr>
        <w:pStyle w:val="33"/>
        <w:shd w:val="clear"/>
        <w:spacing w:beforeLines="0" w:afterLines="0"/>
        <w:rPr>
          <w:rFonts w:ascii="Times New Roman" w:hAnsi="Times New Roman" w:eastAsia="黑体" w:cs="Times New Roman"/>
          <w:bCs/>
          <w:color w:val="000000" w:themeColor="text1"/>
          <w:szCs w:val="21"/>
          <w:highlight w:val="none"/>
          <w14:textFill>
            <w14:solidFill>
              <w14:schemeClr w14:val="tx1"/>
            </w14:solidFill>
          </w14:textFill>
        </w:rPr>
      </w:pPr>
      <w:r>
        <w:rPr>
          <w:rFonts w:ascii="Times New Roman" w:hAnsi="Times New Roman" w:eastAsia="黑体" w:cs="Times New Roman"/>
          <w:bCs/>
          <w:color w:val="000000" w:themeColor="text1"/>
          <w:szCs w:val="21"/>
          <w:highlight w:val="none"/>
          <w14:textFill>
            <w14:solidFill>
              <w14:schemeClr w14:val="tx1"/>
            </w14:solidFill>
          </w14:textFill>
        </w:rPr>
        <w:t>潜伏期</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l</w:t>
      </w:r>
      <w:r>
        <w:rPr>
          <w:rFonts w:ascii="Times New Roman" w:hAnsi="Times New Roman" w:eastAsia="黑体" w:cs="Times New Roman"/>
          <w:bCs/>
          <w:color w:val="000000" w:themeColor="text1"/>
          <w:szCs w:val="21"/>
          <w:highlight w:val="none"/>
          <w14:textFill>
            <w14:solidFill>
              <w14:schemeClr w14:val="tx1"/>
            </w14:solidFill>
          </w14:textFill>
        </w:rPr>
        <w:t>atency</w:t>
      </w:r>
    </w:p>
    <w:p w14:paraId="54B85857">
      <w:pPr>
        <w:pStyle w:val="33"/>
        <w:numPr>
          <w:ilvl w:val="255"/>
          <w:numId w:val="0"/>
        </w:numPr>
        <w:shd w:val="clear"/>
        <w:spacing w:beforeLines="0" w:afterLines="0"/>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肌电图（</w:t>
      </w:r>
      <w:r>
        <w:rPr>
          <w:rFonts w:hint="eastAsia" w:ascii="Times New Roman" w:hAnsi="Times New Roman" w:eastAsia="宋体" w:cs="Times New Roman"/>
          <w:color w:val="000000" w:themeColor="text1"/>
          <w:szCs w:val="21"/>
          <w:highlight w:val="none"/>
          <w14:textFill>
            <w14:solidFill>
              <w14:schemeClr w14:val="tx1"/>
            </w14:solidFill>
          </w14:textFill>
        </w:rPr>
        <w:t>EMG</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波形</w:t>
      </w:r>
      <w:r>
        <w:rPr>
          <w:rFonts w:ascii="Times New Roman" w:hAnsi="Times New Roman" w:eastAsia="宋体" w:cs="Times New Roman"/>
          <w:color w:val="000000" w:themeColor="text1"/>
          <w:szCs w:val="21"/>
          <w:highlight w:val="none"/>
          <w14:textFill>
            <w14:solidFill>
              <w14:schemeClr w14:val="tx1"/>
            </w14:solidFill>
          </w14:textFill>
        </w:rPr>
        <w:t>从电刺激开始至第一个波形首次偏离基线之间的时长</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单位毫秒</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ms</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受神经传导速度与距离影响。</w:t>
      </w:r>
    </w:p>
    <w:p w14:paraId="7BAFC508">
      <w:pPr>
        <w:pStyle w:val="33"/>
        <w:numPr>
          <w:ilvl w:val="1"/>
          <w:numId w:val="6"/>
        </w:numPr>
        <w:shd w:val="clear"/>
        <w:spacing w:before="0" w:beforeLines="0" w:after="0" w:afterLines="0"/>
        <w:ind w:firstLine="0" w:firstLineChars="0"/>
        <w:rPr>
          <w:rFonts w:hint="eastAsia" w:ascii="宋体" w:hAnsi="宋体" w:eastAsia="宋体" w:cs="Times New Roman"/>
          <w:b/>
          <w:color w:val="000000" w:themeColor="text1"/>
          <w:szCs w:val="21"/>
          <w:highlight w:val="none"/>
          <w14:textFill>
            <w14:solidFill>
              <w14:schemeClr w14:val="tx1"/>
            </w14:solidFill>
          </w14:textFill>
        </w:rPr>
      </w:pPr>
    </w:p>
    <w:p w14:paraId="6D1C79C4">
      <w:pPr>
        <w:pStyle w:val="33"/>
        <w:shd w:val="clear"/>
        <w:spacing w:beforeLines="0" w:afterLines="0"/>
        <w:rPr>
          <w:rFonts w:ascii="Times New Roman" w:hAnsi="Times New Roman" w:eastAsia="黑体" w:cs="Times New Roman"/>
          <w:bCs/>
          <w:color w:val="000000" w:themeColor="text1"/>
          <w:szCs w:val="21"/>
          <w:highlight w:val="none"/>
          <w14:textFill>
            <w14:solidFill>
              <w14:schemeClr w14:val="tx1"/>
            </w14:solidFill>
          </w14:textFill>
        </w:rPr>
      </w:pPr>
      <w:r>
        <w:rPr>
          <w:rFonts w:ascii="Times New Roman" w:hAnsi="Times New Roman" w:eastAsia="黑体" w:cs="Times New Roman"/>
          <w:bCs/>
          <w:color w:val="000000" w:themeColor="text1"/>
          <w:szCs w:val="21"/>
          <w:highlight w:val="none"/>
          <w14:textFill>
            <w14:solidFill>
              <w14:schemeClr w14:val="tx1"/>
            </w14:solidFill>
          </w14:textFill>
        </w:rPr>
        <w:t>事件阈值</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e</w:t>
      </w:r>
      <w:r>
        <w:rPr>
          <w:rFonts w:ascii="Times New Roman" w:hAnsi="Times New Roman" w:eastAsia="黑体" w:cs="Times New Roman"/>
          <w:bCs/>
          <w:color w:val="000000" w:themeColor="text1"/>
          <w:szCs w:val="21"/>
          <w:highlight w:val="none"/>
          <w14:textFill>
            <w14:solidFill>
              <w14:schemeClr w14:val="tx1"/>
            </w14:solidFill>
          </w14:textFill>
        </w:rPr>
        <w:t>vent threshold</w:t>
      </w:r>
    </w:p>
    <w:p w14:paraId="7854495B">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可触发监测系统报警/响应的最低振幅值。</w:t>
      </w:r>
    </w:p>
    <w:p w14:paraId="533CB2CE">
      <w:pPr>
        <w:pStyle w:val="33"/>
        <w:numPr>
          <w:ilvl w:val="1"/>
          <w:numId w:val="6"/>
        </w:numPr>
        <w:shd w:val="clear"/>
        <w:spacing w:before="0" w:beforeLines="0" w:after="0" w:afterLines="0"/>
        <w:ind w:firstLine="0" w:firstLineChars="0"/>
        <w:rPr>
          <w:rFonts w:hint="eastAsia" w:ascii="宋体" w:hAnsi="宋体" w:eastAsia="宋体" w:cs="Times New Roman"/>
          <w:b/>
          <w:color w:val="000000" w:themeColor="text1"/>
          <w:szCs w:val="21"/>
          <w:highlight w:val="none"/>
          <w14:textFill>
            <w14:solidFill>
              <w14:schemeClr w14:val="tx1"/>
            </w14:solidFill>
          </w14:textFill>
        </w:rPr>
      </w:pPr>
    </w:p>
    <w:p w14:paraId="6DE99EB6">
      <w:pPr>
        <w:pStyle w:val="33"/>
        <w:shd w:val="clear"/>
        <w:spacing w:beforeLines="0" w:afterLines="0"/>
        <w:rPr>
          <w:rFonts w:ascii="Times New Roman" w:hAnsi="Times New Roman" w:eastAsia="黑体" w:cs="Times New Roman"/>
          <w:bCs/>
          <w:color w:val="000000" w:themeColor="text1"/>
          <w:szCs w:val="21"/>
          <w:highlight w:val="none"/>
          <w14:textFill>
            <w14:solidFill>
              <w14:schemeClr w14:val="tx1"/>
            </w14:solidFill>
          </w14:textFill>
        </w:rPr>
      </w:pPr>
      <w:r>
        <w:rPr>
          <w:rFonts w:ascii="Times New Roman" w:hAnsi="Times New Roman" w:eastAsia="黑体" w:cs="Times New Roman"/>
          <w:bCs/>
          <w:color w:val="000000" w:themeColor="text1"/>
          <w:szCs w:val="21"/>
          <w:highlight w:val="none"/>
          <w14:textFill>
            <w14:solidFill>
              <w14:schemeClr w14:val="tx1"/>
            </w14:solidFill>
          </w14:textFill>
        </w:rPr>
        <w:t>V1 信号</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w:t>
      </w:r>
      <w:r>
        <w:rPr>
          <w:rFonts w:ascii="Times New Roman" w:hAnsi="Times New Roman" w:eastAsia="黑体" w:cs="Times New Roman"/>
          <w:bCs/>
          <w:color w:val="000000" w:themeColor="text1"/>
          <w:szCs w:val="21"/>
          <w:highlight w:val="none"/>
          <w14:textFill>
            <w14:solidFill>
              <w14:schemeClr w14:val="tx1"/>
            </w14:solidFill>
          </w14:textFill>
        </w:rPr>
        <w:t>pre</w:t>
      </w:r>
      <w:r>
        <w:rPr>
          <w:rFonts w:hint="eastAsia" w:ascii="Times New Roman" w:hAnsi="Times New Roman" w:eastAsia="黑体" w:cs="Times New Roman"/>
          <w:bCs/>
          <w:color w:val="000000" w:themeColor="text1"/>
          <w:szCs w:val="21"/>
          <w:highlight w:val="none"/>
          <w14:textFill>
            <w14:solidFill>
              <w14:schemeClr w14:val="tx1"/>
            </w14:solidFill>
          </w14:textFill>
        </w:rPr>
        <w:t>-v</w:t>
      </w:r>
      <w:r>
        <w:rPr>
          <w:rFonts w:ascii="Times New Roman" w:hAnsi="Times New Roman" w:eastAsia="黑体" w:cs="Times New Roman"/>
          <w:bCs/>
          <w:color w:val="000000" w:themeColor="text1"/>
          <w:szCs w:val="21"/>
          <w:highlight w:val="none"/>
          <w14:textFill>
            <w14:solidFill>
              <w14:schemeClr w14:val="tx1"/>
            </w14:solidFill>
          </w14:textFill>
        </w:rPr>
        <w:t>agus</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signal</w:t>
      </w:r>
    </w:p>
    <w:p w14:paraId="44C77381">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术</w:t>
      </w:r>
      <w:r>
        <w:rPr>
          <w:rFonts w:hint="eastAsia" w:ascii="Times New Roman" w:hAnsi="Times New Roman" w:eastAsia="宋体" w:cs="Times New Roman"/>
          <w:color w:val="000000" w:themeColor="text1"/>
          <w:szCs w:val="21"/>
          <w:highlight w:val="none"/>
          <w14:textFill>
            <w14:solidFill>
              <w14:schemeClr w14:val="tx1"/>
            </w14:solidFill>
          </w14:textFill>
        </w:rPr>
        <w:t>区</w:t>
      </w:r>
      <w:r>
        <w:rPr>
          <w:rFonts w:ascii="Times New Roman" w:hAnsi="Times New Roman" w:eastAsia="宋体" w:cs="Times New Roman"/>
          <w:color w:val="000000" w:themeColor="text1"/>
          <w:szCs w:val="21"/>
          <w:highlight w:val="none"/>
          <w14:textFill>
            <w14:solidFill>
              <w14:schemeClr w14:val="tx1"/>
            </w14:solidFill>
          </w14:textFill>
        </w:rPr>
        <w:t>操作开始前</w:t>
      </w:r>
      <w:r>
        <w:rPr>
          <w:rFonts w:hint="eastAsia" w:ascii="Times New Roman" w:hAnsi="Times New Roman" w:eastAsia="宋体" w:cs="Times New Roman"/>
          <w:color w:val="000000" w:themeColor="text1"/>
          <w:szCs w:val="21"/>
          <w:highlight w:val="none"/>
          <w14:textFill>
            <w14:solidFill>
              <w14:schemeClr w14:val="tx1"/>
            </w14:solidFill>
          </w14:textFill>
        </w:rPr>
        <w:t>，以3.0 mA</w:t>
      </w:r>
      <w:r>
        <w:rPr>
          <w:rFonts w:ascii="Times New Roman" w:hAnsi="Times New Roman" w:eastAsia="宋体" w:cs="Times New Roman"/>
          <w:color w:val="000000" w:themeColor="text1"/>
          <w:szCs w:val="21"/>
          <w:highlight w:val="none"/>
          <w14:textFill>
            <w14:solidFill>
              <w14:schemeClr w14:val="tx1"/>
            </w14:solidFill>
          </w14:textFill>
        </w:rPr>
        <w:t>探测</w:t>
      </w:r>
      <w:r>
        <w:rPr>
          <w:rFonts w:hint="eastAsia" w:ascii="Times New Roman" w:hAnsi="Times New Roman" w:eastAsia="宋体" w:cs="Times New Roman"/>
          <w:color w:val="000000" w:themeColor="text1"/>
          <w:szCs w:val="21"/>
          <w:highlight w:val="none"/>
          <w14:textFill>
            <w14:solidFill>
              <w14:schemeClr w14:val="tx1"/>
            </w14:solidFill>
          </w14:textFill>
        </w:rPr>
        <w:t>双</w:t>
      </w:r>
      <w:r>
        <w:rPr>
          <w:rFonts w:ascii="Times New Roman" w:hAnsi="Times New Roman" w:eastAsia="宋体" w:cs="Times New Roman"/>
          <w:color w:val="000000" w:themeColor="text1"/>
          <w:szCs w:val="21"/>
          <w:highlight w:val="none"/>
          <w14:textFill>
            <w14:solidFill>
              <w14:schemeClr w14:val="tx1"/>
            </w14:solidFill>
          </w14:textFill>
        </w:rPr>
        <w:t>侧迷走神经获得</w:t>
      </w:r>
      <w:r>
        <w:rPr>
          <w:rFonts w:hint="eastAsia" w:ascii="Times New Roman" w:hAnsi="Times New Roman" w:eastAsia="宋体" w:cs="Times New Roman"/>
          <w:color w:val="000000" w:themeColor="text1"/>
          <w:szCs w:val="21"/>
          <w:highlight w:val="none"/>
          <w14:textFill>
            <w14:solidFill>
              <w14:schemeClr w14:val="tx1"/>
            </w14:solidFill>
          </w14:textFill>
        </w:rPr>
        <w:t>的振幅值</w:t>
      </w:r>
      <w:r>
        <w:rPr>
          <w:rFonts w:ascii="Times New Roman" w:hAnsi="Times New Roman" w:eastAsia="宋体" w:cs="Times New Roman"/>
          <w:color w:val="000000" w:themeColor="text1"/>
          <w:szCs w:val="21"/>
          <w:highlight w:val="none"/>
          <w14:textFill>
            <w14:solidFill>
              <w14:schemeClr w14:val="tx1"/>
            </w14:solidFill>
          </w14:textFill>
        </w:rPr>
        <w:t>，用于</w:t>
      </w:r>
      <w:r>
        <w:rPr>
          <w:rFonts w:hint="eastAsia" w:ascii="Times New Roman" w:hAnsi="Times New Roman" w:eastAsia="宋体" w:cs="Times New Roman"/>
          <w:color w:val="000000" w:themeColor="text1"/>
          <w:szCs w:val="21"/>
          <w:highlight w:val="none"/>
          <w14:textFill>
            <w14:solidFill>
              <w14:schemeClr w14:val="tx1"/>
            </w14:solidFill>
          </w14:textFill>
        </w:rPr>
        <w:t>确定初始基线值</w:t>
      </w:r>
      <w:r>
        <w:rPr>
          <w:rFonts w:ascii="Times New Roman" w:hAnsi="Times New Roman" w:eastAsia="宋体" w:cs="Times New Roman"/>
          <w:color w:val="000000" w:themeColor="text1"/>
          <w:szCs w:val="21"/>
          <w:highlight w:val="none"/>
          <w14:textFill>
            <w14:solidFill>
              <w14:schemeClr w14:val="tx1"/>
            </w14:solidFill>
          </w14:textFill>
        </w:rPr>
        <w:t>。</w:t>
      </w:r>
    </w:p>
    <w:p w14:paraId="49ADF390">
      <w:pPr>
        <w:pStyle w:val="33"/>
        <w:numPr>
          <w:ilvl w:val="1"/>
          <w:numId w:val="6"/>
        </w:numPr>
        <w:shd w:val="clear"/>
        <w:spacing w:before="0" w:beforeLines="0" w:after="0" w:afterLines="0"/>
        <w:ind w:firstLine="0" w:firstLineChars="0"/>
        <w:jc w:val="both"/>
        <w:rPr>
          <w:rFonts w:hint="eastAsia" w:ascii="宋体" w:hAnsi="宋体" w:eastAsia="宋体" w:cs="Times New Roman"/>
          <w:b/>
          <w:color w:val="000000" w:themeColor="text1"/>
          <w:szCs w:val="21"/>
          <w:highlight w:val="none"/>
          <w14:textFill>
            <w14:solidFill>
              <w14:schemeClr w14:val="tx1"/>
            </w14:solidFill>
          </w14:textFill>
        </w:rPr>
      </w:pPr>
    </w:p>
    <w:p w14:paraId="2D48FB8D">
      <w:pPr>
        <w:pStyle w:val="33"/>
        <w:shd w:val="clear"/>
        <w:spacing w:beforeLines="0" w:afterLines="0"/>
        <w:rPr>
          <w:rFonts w:ascii="Times New Roman" w:hAnsi="Times New Roman" w:eastAsia="黑体" w:cs="Times New Roman"/>
          <w:bCs/>
          <w:color w:val="000000" w:themeColor="text1"/>
          <w:szCs w:val="21"/>
          <w:highlight w:val="none"/>
          <w14:textFill>
            <w14:solidFill>
              <w14:schemeClr w14:val="tx1"/>
            </w14:solidFill>
          </w14:textFill>
        </w:rPr>
      </w:pPr>
      <w:r>
        <w:rPr>
          <w:rFonts w:ascii="Times New Roman" w:hAnsi="Times New Roman" w:eastAsia="黑体" w:cs="Times New Roman"/>
          <w:bCs/>
          <w:color w:val="000000" w:themeColor="text1"/>
          <w:szCs w:val="21"/>
          <w:highlight w:val="none"/>
          <w14:textFill>
            <w14:solidFill>
              <w14:schemeClr w14:val="tx1"/>
            </w14:solidFill>
          </w14:textFill>
        </w:rPr>
        <w:t>V2 信号</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post-vagus signal</w:t>
      </w:r>
    </w:p>
    <w:p w14:paraId="458C4958">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术</w:t>
      </w:r>
      <w:r>
        <w:rPr>
          <w:rFonts w:hint="eastAsia" w:ascii="Times New Roman" w:hAnsi="Times New Roman" w:eastAsia="宋体" w:cs="Times New Roman"/>
          <w:color w:val="000000" w:themeColor="text1"/>
          <w:szCs w:val="21"/>
          <w:highlight w:val="none"/>
          <w14:textFill>
            <w14:solidFill>
              <w14:schemeClr w14:val="tx1"/>
            </w14:solidFill>
          </w14:textFill>
        </w:rPr>
        <w:t>区</w:t>
      </w:r>
      <w:r>
        <w:rPr>
          <w:rFonts w:ascii="Times New Roman" w:hAnsi="Times New Roman" w:eastAsia="宋体" w:cs="Times New Roman"/>
          <w:color w:val="000000" w:themeColor="text1"/>
          <w:szCs w:val="21"/>
          <w:highlight w:val="none"/>
          <w14:textFill>
            <w14:solidFill>
              <w14:schemeClr w14:val="tx1"/>
            </w14:solidFill>
          </w14:textFill>
        </w:rPr>
        <w:t>操作结束后</w:t>
      </w:r>
      <w:r>
        <w:rPr>
          <w:rFonts w:hint="eastAsia" w:ascii="Times New Roman" w:hAnsi="Times New Roman" w:eastAsia="宋体" w:cs="Times New Roman"/>
          <w:color w:val="000000" w:themeColor="text1"/>
          <w:szCs w:val="21"/>
          <w:highlight w:val="none"/>
          <w14:textFill>
            <w14:solidFill>
              <w14:schemeClr w14:val="tx1"/>
            </w14:solidFill>
          </w14:textFill>
        </w:rPr>
        <w:t>，以3</w:t>
      </w:r>
      <w:r>
        <w:rPr>
          <w:rFonts w:ascii="Times New Roman" w:hAnsi="Times New Roman" w:eastAsia="宋体" w:cs="Times New Roman"/>
          <w:color w:val="000000" w:themeColor="text1"/>
          <w:szCs w:val="21"/>
          <w:highlight w:val="none"/>
          <w14:textFill>
            <w14:solidFill>
              <w14:schemeClr w14:val="tx1"/>
            </w14:solidFill>
          </w14:textFill>
        </w:rPr>
        <w:t>.0 mA复测</w:t>
      </w:r>
      <w:r>
        <w:rPr>
          <w:rFonts w:hint="eastAsia" w:ascii="Times New Roman" w:hAnsi="Times New Roman" w:eastAsia="宋体" w:cs="Times New Roman"/>
          <w:color w:val="000000" w:themeColor="text1"/>
          <w:szCs w:val="21"/>
          <w:highlight w:val="none"/>
          <w14:textFill>
            <w14:solidFill>
              <w14:schemeClr w14:val="tx1"/>
            </w14:solidFill>
          </w14:textFill>
        </w:rPr>
        <w:t>双侧</w:t>
      </w:r>
      <w:r>
        <w:rPr>
          <w:rFonts w:ascii="Times New Roman" w:hAnsi="Times New Roman" w:eastAsia="宋体" w:cs="Times New Roman"/>
          <w:color w:val="000000" w:themeColor="text1"/>
          <w:szCs w:val="21"/>
          <w:highlight w:val="none"/>
          <w14:textFill>
            <w14:solidFill>
              <w14:schemeClr w14:val="tx1"/>
            </w14:solidFill>
          </w14:textFill>
        </w:rPr>
        <w:t>迷走神经获得的</w:t>
      </w:r>
      <w:r>
        <w:rPr>
          <w:rFonts w:hint="eastAsia" w:ascii="Times New Roman" w:hAnsi="Times New Roman" w:eastAsia="宋体" w:cs="Times New Roman"/>
          <w:color w:val="000000" w:themeColor="text1"/>
          <w:szCs w:val="21"/>
          <w:highlight w:val="none"/>
          <w14:textFill>
            <w14:solidFill>
              <w14:schemeClr w14:val="tx1"/>
            </w14:solidFill>
          </w14:textFill>
        </w:rPr>
        <w:t>振幅值，</w:t>
      </w:r>
      <w:r>
        <w:rPr>
          <w:rFonts w:ascii="Times New Roman" w:hAnsi="Times New Roman" w:eastAsia="宋体" w:cs="Times New Roman"/>
          <w:color w:val="000000" w:themeColor="text1"/>
          <w:szCs w:val="21"/>
          <w:highlight w:val="none"/>
          <w14:textFill>
            <w14:solidFill>
              <w14:schemeClr w14:val="tx1"/>
            </w14:solidFill>
          </w14:textFill>
        </w:rPr>
        <w:t>用</w:t>
      </w:r>
      <w:r>
        <w:rPr>
          <w:rFonts w:hint="eastAsia" w:ascii="Times New Roman" w:hAnsi="Times New Roman" w:eastAsia="宋体" w:cs="Times New Roman"/>
          <w:color w:val="000000" w:themeColor="text1"/>
          <w:szCs w:val="21"/>
          <w:highlight w:val="none"/>
          <w14:textFill>
            <w14:solidFill>
              <w14:schemeClr w14:val="tx1"/>
            </w14:solidFill>
          </w14:textFill>
        </w:rPr>
        <w:t>于评估神经功能</w:t>
      </w:r>
      <w:r>
        <w:rPr>
          <w:rFonts w:ascii="Times New Roman" w:hAnsi="Times New Roman" w:eastAsia="宋体" w:cs="Times New Roman"/>
          <w:color w:val="000000" w:themeColor="text1"/>
          <w:szCs w:val="21"/>
          <w:highlight w:val="none"/>
          <w14:textFill>
            <w14:solidFill>
              <w14:schemeClr w14:val="tx1"/>
            </w14:solidFill>
          </w14:textFill>
        </w:rPr>
        <w:t>。</w:t>
      </w:r>
    </w:p>
    <w:p w14:paraId="53F88EA1">
      <w:pPr>
        <w:pStyle w:val="33"/>
        <w:numPr>
          <w:ilvl w:val="1"/>
          <w:numId w:val="6"/>
        </w:numPr>
        <w:shd w:val="clear"/>
        <w:spacing w:before="0" w:beforeLines="0" w:after="0" w:afterLines="0"/>
        <w:ind w:firstLine="0" w:firstLineChars="0"/>
        <w:jc w:val="both"/>
        <w:rPr>
          <w:rFonts w:hint="eastAsia" w:ascii="宋体" w:hAnsi="宋体" w:eastAsia="宋体" w:cs="Times New Roman"/>
          <w:b/>
          <w:color w:val="000000" w:themeColor="text1"/>
          <w:szCs w:val="21"/>
          <w:highlight w:val="none"/>
          <w14:textFill>
            <w14:solidFill>
              <w14:schemeClr w14:val="tx1"/>
            </w14:solidFill>
          </w14:textFill>
        </w:rPr>
      </w:pPr>
    </w:p>
    <w:p w14:paraId="70ABECA0">
      <w:pPr>
        <w:pStyle w:val="33"/>
        <w:shd w:val="clear"/>
        <w:spacing w:beforeLines="0" w:afterLines="0"/>
        <w:rPr>
          <w:rFonts w:ascii="Times New Roman" w:hAnsi="Times New Roman" w:eastAsia="黑体" w:cs="Times New Roman"/>
          <w:bCs/>
          <w:color w:val="000000" w:themeColor="text1"/>
          <w:szCs w:val="21"/>
          <w:highlight w:val="none"/>
          <w14:textFill>
            <w14:solidFill>
              <w14:schemeClr w14:val="tx1"/>
            </w14:solidFill>
          </w14:textFill>
        </w:rPr>
      </w:pPr>
      <w:r>
        <w:rPr>
          <w:rFonts w:ascii="Times New Roman" w:hAnsi="Times New Roman" w:eastAsia="黑体" w:cs="Times New Roman"/>
          <w:bCs/>
          <w:color w:val="000000" w:themeColor="text1"/>
          <w:szCs w:val="21"/>
          <w:highlight w:val="none"/>
          <w14:textFill>
            <w14:solidFill>
              <w14:schemeClr w14:val="tx1"/>
            </w14:solidFill>
          </w14:textFill>
        </w:rPr>
        <w:t>R1 信号</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pre-RLN signal</w:t>
      </w:r>
    </w:p>
    <w:p w14:paraId="5D6B714F">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喉返神经</w:t>
      </w:r>
      <w:r>
        <w:rPr>
          <w:rFonts w:hint="eastAsia" w:ascii="Times New Roman" w:hAnsi="Times New Roman" w:eastAsia="宋体" w:cs="Times New Roman"/>
          <w:color w:val="000000" w:themeColor="text1"/>
          <w:szCs w:val="21"/>
          <w:highlight w:val="none"/>
          <w14:textFill>
            <w14:solidFill>
              <w14:schemeClr w14:val="tx1"/>
            </w14:solidFill>
          </w14:textFill>
        </w:rPr>
        <w:t>初步显露后，以</w:t>
      </w:r>
      <w:r>
        <w:rPr>
          <w:rFonts w:ascii="Times New Roman" w:hAnsi="Times New Roman" w:eastAsia="宋体" w:cs="Times New Roman"/>
          <w:color w:val="000000" w:themeColor="text1"/>
          <w:szCs w:val="21"/>
          <w:highlight w:val="none"/>
          <w14:textFill>
            <w14:solidFill>
              <w14:schemeClr w14:val="tx1"/>
            </w14:solidFill>
          </w14:textFill>
        </w:rPr>
        <w:t>1.0 mA</w:t>
      </w:r>
      <w:r>
        <w:rPr>
          <w:rFonts w:hint="eastAsia" w:ascii="Times New Roman" w:hAnsi="Times New Roman" w:eastAsia="宋体" w:cs="Times New Roman"/>
          <w:color w:val="000000" w:themeColor="text1"/>
          <w:szCs w:val="21"/>
          <w:highlight w:val="none"/>
          <w14:textFill>
            <w14:solidFill>
              <w14:schemeClr w14:val="tx1"/>
            </w14:solidFill>
          </w14:textFill>
        </w:rPr>
        <w:t>探测</w:t>
      </w:r>
      <w:r>
        <w:rPr>
          <w:rFonts w:ascii="Times New Roman" w:hAnsi="Times New Roman" w:eastAsia="宋体" w:cs="Times New Roman"/>
          <w:color w:val="000000" w:themeColor="text1"/>
          <w:szCs w:val="21"/>
          <w:highlight w:val="none"/>
          <w14:textFill>
            <w14:solidFill>
              <w14:schemeClr w14:val="tx1"/>
            </w14:solidFill>
          </w14:textFill>
        </w:rPr>
        <w:t>RLN获得的</w:t>
      </w:r>
      <w:r>
        <w:rPr>
          <w:rFonts w:hint="eastAsia" w:ascii="Times New Roman" w:hAnsi="Times New Roman" w:eastAsia="宋体" w:cs="Times New Roman"/>
          <w:color w:val="000000" w:themeColor="text1"/>
          <w:szCs w:val="21"/>
          <w:highlight w:val="none"/>
          <w14:textFill>
            <w14:solidFill>
              <w14:schemeClr w14:val="tx1"/>
            </w14:solidFill>
          </w14:textFill>
        </w:rPr>
        <w:t>初始振幅值</w:t>
      </w:r>
      <w:r>
        <w:rPr>
          <w:rFonts w:ascii="Times New Roman" w:hAnsi="Times New Roman" w:eastAsia="宋体" w:cs="Times New Roman"/>
          <w:color w:val="000000" w:themeColor="text1"/>
          <w:szCs w:val="21"/>
          <w:highlight w:val="none"/>
          <w14:textFill>
            <w14:solidFill>
              <w14:schemeClr w14:val="tx1"/>
            </w14:solidFill>
          </w14:textFill>
        </w:rPr>
        <w:t>。</w:t>
      </w:r>
    </w:p>
    <w:p w14:paraId="70AC663C">
      <w:pPr>
        <w:pStyle w:val="33"/>
        <w:numPr>
          <w:ilvl w:val="1"/>
          <w:numId w:val="6"/>
        </w:numPr>
        <w:shd w:val="clear"/>
        <w:spacing w:before="0" w:beforeLines="0" w:after="0" w:afterLines="0"/>
        <w:ind w:firstLine="0" w:firstLineChars="0"/>
        <w:jc w:val="both"/>
        <w:rPr>
          <w:rFonts w:hint="eastAsia" w:ascii="宋体" w:hAnsi="宋体" w:eastAsia="宋体" w:cs="Times New Roman"/>
          <w:b/>
          <w:color w:val="000000" w:themeColor="text1"/>
          <w:szCs w:val="21"/>
          <w:highlight w:val="none"/>
          <w14:textFill>
            <w14:solidFill>
              <w14:schemeClr w14:val="tx1"/>
            </w14:solidFill>
          </w14:textFill>
        </w:rPr>
      </w:pPr>
    </w:p>
    <w:p w14:paraId="6ED20499">
      <w:pPr>
        <w:pStyle w:val="33"/>
        <w:shd w:val="clear"/>
        <w:spacing w:beforeLines="0" w:afterLines="0"/>
        <w:rPr>
          <w:rFonts w:ascii="Times New Roman" w:hAnsi="Times New Roman" w:eastAsia="黑体" w:cs="Times New Roman"/>
          <w:bCs/>
          <w:color w:val="000000" w:themeColor="text1"/>
          <w:szCs w:val="21"/>
          <w:highlight w:val="none"/>
          <w14:textFill>
            <w14:solidFill>
              <w14:schemeClr w14:val="tx1"/>
            </w14:solidFill>
          </w14:textFill>
        </w:rPr>
      </w:pPr>
      <w:r>
        <w:rPr>
          <w:rFonts w:ascii="Times New Roman" w:hAnsi="Times New Roman" w:eastAsia="黑体" w:cs="Times New Roman"/>
          <w:bCs/>
          <w:color w:val="000000" w:themeColor="text1"/>
          <w:szCs w:val="21"/>
          <w:highlight w:val="none"/>
          <w14:textFill>
            <w14:solidFill>
              <w14:schemeClr w14:val="tx1"/>
            </w14:solidFill>
          </w14:textFill>
        </w:rPr>
        <w:t>R2 信号</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post-RLN signal</w:t>
      </w:r>
    </w:p>
    <w:p w14:paraId="7EA95B3C">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术区操</w:t>
      </w:r>
      <w:r>
        <w:rPr>
          <w:rFonts w:ascii="Times New Roman" w:hAnsi="Times New Roman" w:eastAsia="宋体" w:cs="Times New Roman"/>
          <w:color w:val="000000" w:themeColor="text1"/>
          <w:szCs w:val="21"/>
          <w:highlight w:val="none"/>
          <w14:textFill>
            <w14:solidFill>
              <w14:schemeClr w14:val="tx1"/>
            </w14:solidFill>
          </w14:textFill>
        </w:rPr>
        <w:t>作结束后，</w:t>
      </w:r>
      <w:r>
        <w:rPr>
          <w:rFonts w:hint="eastAsia" w:ascii="Times New Roman" w:hAnsi="Times New Roman" w:eastAsia="宋体" w:cs="Times New Roman"/>
          <w:color w:val="000000" w:themeColor="text1"/>
          <w:szCs w:val="21"/>
          <w:highlight w:val="none"/>
          <w14:textFill>
            <w14:solidFill>
              <w14:schemeClr w14:val="tx1"/>
            </w14:solidFill>
          </w14:textFill>
        </w:rPr>
        <w:t>以</w:t>
      </w:r>
      <w:r>
        <w:rPr>
          <w:rFonts w:ascii="Times New Roman" w:hAnsi="Times New Roman" w:eastAsia="宋体" w:cs="Times New Roman"/>
          <w:color w:val="000000" w:themeColor="text1"/>
          <w:szCs w:val="21"/>
          <w:highlight w:val="none"/>
          <w14:textFill>
            <w14:solidFill>
              <w14:schemeClr w14:val="tx1"/>
            </w14:solidFill>
          </w14:textFill>
        </w:rPr>
        <w:t>1.0 mA复测RLN显露部最近端获得的</w:t>
      </w:r>
      <w:r>
        <w:rPr>
          <w:rFonts w:hint="eastAsia" w:ascii="Times New Roman" w:hAnsi="Times New Roman" w:eastAsia="宋体" w:cs="Times New Roman"/>
          <w:color w:val="000000" w:themeColor="text1"/>
          <w:szCs w:val="21"/>
          <w:highlight w:val="none"/>
          <w14:textFill>
            <w14:solidFill>
              <w14:schemeClr w14:val="tx1"/>
            </w14:solidFill>
          </w14:textFill>
        </w:rPr>
        <w:t>振幅值</w:t>
      </w:r>
      <w:r>
        <w:rPr>
          <w:rFonts w:ascii="Times New Roman" w:hAnsi="Times New Roman" w:eastAsia="宋体" w:cs="Times New Roman"/>
          <w:color w:val="000000" w:themeColor="text1"/>
          <w:szCs w:val="21"/>
          <w:highlight w:val="none"/>
          <w14:textFill>
            <w14:solidFill>
              <w14:schemeClr w14:val="tx1"/>
            </w14:solidFill>
          </w14:textFill>
        </w:rPr>
        <w:t>。</w:t>
      </w:r>
    </w:p>
    <w:p w14:paraId="60FC5F22">
      <w:pPr>
        <w:pStyle w:val="33"/>
        <w:numPr>
          <w:ilvl w:val="1"/>
          <w:numId w:val="6"/>
        </w:numPr>
        <w:shd w:val="clear"/>
        <w:spacing w:before="0" w:beforeLines="0" w:after="0" w:afterLines="0"/>
        <w:ind w:firstLine="0" w:firstLineChars="0"/>
        <w:rPr>
          <w:rFonts w:hint="eastAsia" w:ascii="宋体" w:hAnsi="宋体" w:eastAsia="宋体" w:cs="Times New Roman"/>
          <w:b/>
          <w:color w:val="000000" w:themeColor="text1"/>
          <w:szCs w:val="21"/>
          <w:highlight w:val="none"/>
          <w14:textFill>
            <w14:solidFill>
              <w14:schemeClr w14:val="tx1"/>
            </w14:solidFill>
          </w14:textFill>
        </w:rPr>
      </w:pPr>
    </w:p>
    <w:p w14:paraId="731EB922">
      <w:pPr>
        <w:pStyle w:val="33"/>
        <w:shd w:val="clear"/>
        <w:spacing w:beforeLines="0" w:afterLines="0"/>
        <w:rPr>
          <w:rFonts w:ascii="Times New Roman" w:hAnsi="Times New Roman" w:eastAsia="黑体" w:cs="Times New Roman"/>
          <w:bCs/>
          <w:color w:val="000000" w:themeColor="text1"/>
          <w:szCs w:val="21"/>
          <w:highlight w:val="none"/>
          <w14:textFill>
            <w14:solidFill>
              <w14:schemeClr w14:val="tx1"/>
            </w14:solidFill>
          </w14:textFill>
        </w:rPr>
      </w:pPr>
      <w:r>
        <w:rPr>
          <w:rFonts w:ascii="Times New Roman" w:hAnsi="Times New Roman" w:eastAsia="黑体" w:cs="Times New Roman"/>
          <w:bCs/>
          <w:color w:val="000000" w:themeColor="text1"/>
          <w:szCs w:val="21"/>
          <w:highlight w:val="none"/>
          <w14:textFill>
            <w14:solidFill>
              <w14:schemeClr w14:val="tx1"/>
            </w14:solidFill>
          </w14:textFill>
        </w:rPr>
        <w:t>S1 信号</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pre-</w:t>
      </w:r>
      <w:r>
        <w:rPr>
          <w:rFonts w:ascii="Times New Roman" w:hAnsi="Times New Roman" w:eastAsia="黑体" w:cs="Times New Roman"/>
          <w:bCs/>
          <w:color w:val="000000" w:themeColor="text1"/>
          <w:szCs w:val="21"/>
          <w:highlight w:val="none"/>
          <w14:textFill>
            <w14:solidFill>
              <w14:schemeClr w14:val="tx1"/>
            </w14:solidFill>
          </w14:textFill>
        </w:rPr>
        <w:t xml:space="preserve">EBSLN </w:t>
      </w:r>
      <w:r>
        <w:rPr>
          <w:rFonts w:hint="eastAsia" w:ascii="Times New Roman" w:hAnsi="Times New Roman" w:eastAsia="黑体" w:cs="Times New Roman"/>
          <w:bCs/>
          <w:color w:val="000000" w:themeColor="text1"/>
          <w:szCs w:val="21"/>
          <w:highlight w:val="none"/>
          <w14:textFill>
            <w14:solidFill>
              <w14:schemeClr w14:val="tx1"/>
            </w14:solidFill>
          </w14:textFill>
        </w:rPr>
        <w:t>signal</w:t>
      </w:r>
    </w:p>
    <w:p w14:paraId="4A449E5B">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甲状腺上极血管处理前，</w:t>
      </w:r>
      <w:r>
        <w:rPr>
          <w:rFonts w:hint="eastAsia" w:ascii="Times New Roman" w:hAnsi="Times New Roman" w:eastAsia="宋体" w:cs="Times New Roman"/>
          <w:color w:val="000000" w:themeColor="text1"/>
          <w:szCs w:val="21"/>
          <w:highlight w:val="none"/>
          <w14:textFill>
            <w14:solidFill>
              <w14:schemeClr w14:val="tx1"/>
            </w14:solidFill>
          </w14:textFill>
        </w:rPr>
        <w:t>以</w:t>
      </w:r>
      <w:r>
        <w:rPr>
          <w:rFonts w:ascii="Times New Roman" w:hAnsi="Times New Roman" w:eastAsia="宋体" w:cs="Times New Roman"/>
          <w:color w:val="000000" w:themeColor="text1"/>
          <w:szCs w:val="21"/>
          <w:highlight w:val="none"/>
          <w14:textFill>
            <w14:solidFill>
              <w14:schemeClr w14:val="tx1"/>
            </w14:solidFill>
          </w14:textFill>
        </w:rPr>
        <w:t>1.0 mA在EBSLN走行区诱发环甲肌震颤</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可伴或不伴EMG。</w:t>
      </w:r>
    </w:p>
    <w:p w14:paraId="1272A5A1">
      <w:pPr>
        <w:pStyle w:val="33"/>
        <w:numPr>
          <w:ilvl w:val="1"/>
          <w:numId w:val="6"/>
        </w:numPr>
        <w:shd w:val="clear"/>
        <w:spacing w:before="0" w:beforeLines="0" w:after="0" w:afterLines="0"/>
        <w:ind w:firstLine="0" w:firstLineChars="0"/>
        <w:rPr>
          <w:rFonts w:hint="eastAsia" w:ascii="宋体" w:hAnsi="宋体" w:eastAsia="宋体" w:cs="Times New Roman"/>
          <w:b/>
          <w:color w:val="000000" w:themeColor="text1"/>
          <w:szCs w:val="21"/>
          <w:highlight w:val="none"/>
          <w14:textFill>
            <w14:solidFill>
              <w14:schemeClr w14:val="tx1"/>
            </w14:solidFill>
          </w14:textFill>
        </w:rPr>
      </w:pPr>
    </w:p>
    <w:p w14:paraId="305CB42C">
      <w:pPr>
        <w:pStyle w:val="33"/>
        <w:shd w:val="clear"/>
        <w:spacing w:beforeLines="0" w:afterLines="0"/>
        <w:rPr>
          <w:rFonts w:ascii="Times New Roman" w:hAnsi="Times New Roman" w:eastAsia="黑体" w:cs="Times New Roman"/>
          <w:bCs/>
          <w:color w:val="000000" w:themeColor="text1"/>
          <w:szCs w:val="21"/>
          <w:highlight w:val="none"/>
          <w14:textFill>
            <w14:solidFill>
              <w14:schemeClr w14:val="tx1"/>
            </w14:solidFill>
          </w14:textFill>
        </w:rPr>
      </w:pPr>
      <w:r>
        <w:rPr>
          <w:rFonts w:ascii="Times New Roman" w:hAnsi="Times New Roman" w:eastAsia="黑体" w:cs="Times New Roman"/>
          <w:bCs/>
          <w:color w:val="000000" w:themeColor="text1"/>
          <w:szCs w:val="21"/>
          <w:highlight w:val="none"/>
          <w14:textFill>
            <w14:solidFill>
              <w14:schemeClr w14:val="tx1"/>
            </w14:solidFill>
          </w14:textFill>
        </w:rPr>
        <w:t>S2 信号</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post-</w:t>
      </w:r>
      <w:r>
        <w:rPr>
          <w:rFonts w:ascii="Times New Roman" w:hAnsi="Times New Roman" w:eastAsia="黑体" w:cs="Times New Roman"/>
          <w:bCs/>
          <w:color w:val="000000" w:themeColor="text1"/>
          <w:szCs w:val="21"/>
          <w:highlight w:val="none"/>
          <w14:textFill>
            <w14:solidFill>
              <w14:schemeClr w14:val="tx1"/>
            </w14:solidFill>
          </w14:textFill>
        </w:rPr>
        <w:t>EBSLN</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signal</w:t>
      </w:r>
    </w:p>
    <w:p w14:paraId="1D5CBD49">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甲状腺上极血管</w:t>
      </w:r>
      <w:r>
        <w:rPr>
          <w:rFonts w:hint="eastAsia" w:ascii="Times New Roman" w:hAnsi="Times New Roman" w:eastAsia="宋体" w:cs="Times New Roman"/>
          <w:color w:val="000000" w:themeColor="text1"/>
          <w:szCs w:val="21"/>
          <w:highlight w:val="none"/>
          <w14:textFill>
            <w14:solidFill>
              <w14:schemeClr w14:val="tx1"/>
            </w14:solidFill>
          </w14:textFill>
        </w:rPr>
        <w:t>处理</w:t>
      </w:r>
      <w:r>
        <w:rPr>
          <w:rFonts w:ascii="Times New Roman" w:hAnsi="Times New Roman" w:eastAsia="宋体" w:cs="Times New Roman"/>
          <w:color w:val="000000" w:themeColor="text1"/>
          <w:szCs w:val="21"/>
          <w:highlight w:val="none"/>
          <w14:textFill>
            <w14:solidFill>
              <w14:schemeClr w14:val="tx1"/>
            </w14:solidFill>
          </w14:textFill>
        </w:rPr>
        <w:t>后，以1.0 mA在EBSLN走行区复测诱发环甲肌震颤</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可伴或不伴EMG</w:t>
      </w:r>
      <w:r>
        <w:rPr>
          <w:rFonts w:hint="eastAsia" w:ascii="Times New Roman" w:hAnsi="Times New Roman" w:eastAsia="宋体" w:cs="Times New Roman"/>
          <w:color w:val="000000" w:themeColor="text1"/>
          <w:szCs w:val="21"/>
          <w:highlight w:val="none"/>
          <w14:textFill>
            <w14:solidFill>
              <w14:schemeClr w14:val="tx1"/>
            </w14:solidFill>
          </w14:textFill>
        </w:rPr>
        <w:t>。</w:t>
      </w:r>
    </w:p>
    <w:p w14:paraId="573C8913">
      <w:pPr>
        <w:pStyle w:val="33"/>
        <w:numPr>
          <w:ilvl w:val="1"/>
          <w:numId w:val="6"/>
        </w:numPr>
        <w:shd w:val="clear"/>
        <w:spacing w:before="0" w:beforeLines="0" w:after="0" w:afterLines="0"/>
        <w:ind w:firstLine="0" w:firstLineChars="0"/>
        <w:jc w:val="both"/>
        <w:rPr>
          <w:rFonts w:hint="eastAsia" w:ascii="宋体" w:hAnsi="宋体" w:eastAsia="宋体" w:cs="Times New Roman"/>
          <w:b/>
          <w:color w:val="000000" w:themeColor="text1"/>
          <w:szCs w:val="21"/>
          <w:highlight w:val="none"/>
          <w14:textFill>
            <w14:solidFill>
              <w14:schemeClr w14:val="tx1"/>
            </w14:solidFill>
          </w14:textFill>
        </w:rPr>
      </w:pPr>
    </w:p>
    <w:p w14:paraId="64ABC8CF">
      <w:pPr>
        <w:pStyle w:val="33"/>
        <w:shd w:val="clear"/>
        <w:spacing w:beforeLines="0" w:afterLines="0"/>
        <w:rPr>
          <w:rFonts w:ascii="Times New Roman" w:hAnsi="Times New Roman" w:eastAsia="黑体" w:cs="Times New Roman"/>
          <w:bCs/>
          <w:color w:val="000000" w:themeColor="text1"/>
          <w:szCs w:val="21"/>
          <w:highlight w:val="none"/>
          <w14:textFill>
            <w14:solidFill>
              <w14:schemeClr w14:val="tx1"/>
            </w14:solidFill>
          </w14:textFill>
        </w:rPr>
      </w:pPr>
      <w:r>
        <w:rPr>
          <w:rFonts w:ascii="Times New Roman" w:hAnsi="Times New Roman" w:eastAsia="黑体" w:cs="Times New Roman"/>
          <w:bCs/>
          <w:color w:val="000000" w:themeColor="text1"/>
          <w:szCs w:val="21"/>
          <w:highlight w:val="none"/>
          <w14:textFill>
            <w14:solidFill>
              <w14:schemeClr w14:val="tx1"/>
            </w14:solidFill>
          </w14:textFill>
        </w:rPr>
        <w:t>非返性喉返神经</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n</w:t>
      </w:r>
      <w:r>
        <w:rPr>
          <w:rFonts w:ascii="Times New Roman" w:hAnsi="Times New Roman" w:eastAsia="黑体" w:cs="Times New Roman"/>
          <w:bCs/>
          <w:color w:val="000000" w:themeColor="text1"/>
          <w:szCs w:val="21"/>
          <w:highlight w:val="none"/>
          <w14:textFill>
            <w14:solidFill>
              <w14:schemeClr w14:val="tx1"/>
            </w14:solidFill>
          </w14:textFill>
        </w:rPr>
        <w:t>on-recurrent laryngeal nerve</w:t>
      </w:r>
      <w:r>
        <w:rPr>
          <w:rFonts w:hint="eastAsia" w:ascii="Times New Roman" w:hAnsi="Times New Roman" w:eastAsia="黑体" w:cs="Times New Roman"/>
          <w:bCs/>
          <w:color w:val="000000" w:themeColor="text1"/>
          <w:szCs w:val="21"/>
          <w:highlight w:val="none"/>
          <w14:textFill>
            <w14:solidFill>
              <w14:schemeClr w14:val="tx1"/>
            </w14:solidFill>
          </w14:textFill>
        </w:rPr>
        <w:t>; NRLN</w:t>
      </w:r>
    </w:p>
    <w:p w14:paraId="2AFCCD37">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喉返神经（</w:t>
      </w:r>
      <w:r>
        <w:rPr>
          <w:rFonts w:hint="eastAsia" w:ascii="Times New Roman" w:hAnsi="Times New Roman" w:eastAsia="宋体" w:cs="Times New Roman"/>
          <w:color w:val="000000" w:themeColor="text1"/>
          <w:szCs w:val="21"/>
          <w:highlight w:val="none"/>
          <w14:textFill>
            <w14:solidFill>
              <w14:schemeClr w14:val="tx1"/>
            </w14:solidFill>
          </w14:textFill>
        </w:rPr>
        <w:t>RLN</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自迷走神经发出后不经胸腔返折而直接入喉的解剖变异。</w:t>
      </w:r>
    </w:p>
    <w:p w14:paraId="4BB3A8EB">
      <w:pPr>
        <w:pStyle w:val="33"/>
        <w:numPr>
          <w:ilvl w:val="1"/>
          <w:numId w:val="6"/>
        </w:numPr>
        <w:shd w:val="clear"/>
        <w:spacing w:before="0" w:beforeLines="0" w:after="0" w:afterLines="0"/>
        <w:ind w:firstLine="0" w:firstLineChars="0"/>
        <w:jc w:val="both"/>
        <w:rPr>
          <w:rFonts w:hint="eastAsia" w:ascii="宋体" w:hAnsi="宋体" w:eastAsia="宋体" w:cs="Times New Roman"/>
          <w:b/>
          <w:color w:val="000000" w:themeColor="text1"/>
          <w:szCs w:val="21"/>
          <w:highlight w:val="none"/>
          <w14:textFill>
            <w14:solidFill>
              <w14:schemeClr w14:val="tx1"/>
            </w14:solidFill>
          </w14:textFill>
        </w:rPr>
      </w:pPr>
    </w:p>
    <w:p w14:paraId="127D274A">
      <w:pPr>
        <w:pStyle w:val="33"/>
        <w:shd w:val="clear"/>
        <w:spacing w:beforeLines="0" w:afterLines="0"/>
        <w:rPr>
          <w:rFonts w:ascii="Times New Roman" w:hAnsi="Times New Roman" w:eastAsia="黑体" w:cs="Times New Roman"/>
          <w:bCs/>
          <w:color w:val="000000" w:themeColor="text1"/>
          <w:szCs w:val="21"/>
          <w:highlight w:val="none"/>
          <w14:textFill>
            <w14:solidFill>
              <w14:schemeClr w14:val="tx1"/>
            </w14:solidFill>
          </w14:textFill>
        </w:rPr>
      </w:pPr>
      <w:r>
        <w:rPr>
          <w:rFonts w:ascii="Times New Roman" w:hAnsi="Times New Roman" w:eastAsia="黑体" w:cs="Times New Roman"/>
          <w:bCs/>
          <w:color w:val="000000" w:themeColor="text1"/>
          <w:szCs w:val="21"/>
          <w:highlight w:val="none"/>
          <w14:textFill>
            <w14:solidFill>
              <w14:schemeClr w14:val="tx1"/>
            </w14:solidFill>
          </w14:textFill>
        </w:rPr>
        <w:t>信号丢失</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loss of </w:t>
      </w:r>
      <w:r>
        <w:rPr>
          <w:rFonts w:ascii="Times New Roman" w:hAnsi="Times New Roman" w:eastAsia="黑体" w:cs="Times New Roman"/>
          <w:bCs/>
          <w:color w:val="000000" w:themeColor="text1"/>
          <w:szCs w:val="21"/>
          <w:highlight w:val="none"/>
          <w14:textFill>
            <w14:solidFill>
              <w14:schemeClr w14:val="tx1"/>
            </w14:solidFill>
          </w14:textFill>
        </w:rPr>
        <w:t>signal</w:t>
      </w:r>
      <w:r>
        <w:rPr>
          <w:rFonts w:hint="eastAsia" w:ascii="Times New Roman" w:hAnsi="Times New Roman" w:eastAsia="黑体" w:cs="Times New Roman"/>
          <w:bCs/>
          <w:color w:val="000000" w:themeColor="text1"/>
          <w:szCs w:val="21"/>
          <w:highlight w:val="none"/>
          <w14:textFill>
            <w14:solidFill>
              <w14:schemeClr w14:val="tx1"/>
            </w14:solidFill>
          </w14:textFill>
        </w:rPr>
        <w:t>; LOS</w:t>
      </w:r>
    </w:p>
    <w:p w14:paraId="054EA813">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术中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肌电图（</w:t>
      </w:r>
      <w:r>
        <w:rPr>
          <w:rFonts w:ascii="Times New Roman" w:hAnsi="Times New Roman" w:eastAsia="宋体" w:cs="Times New Roman"/>
          <w:color w:val="000000" w:themeColor="text1"/>
          <w:szCs w:val="21"/>
          <w:highlight w:val="none"/>
          <w14:textFill>
            <w14:solidFill>
              <w14:schemeClr w14:val="tx1"/>
            </w14:solidFill>
          </w14:textFill>
        </w:rPr>
        <w:t>EMG</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振幅</w:t>
      </w:r>
      <w:r>
        <w:rPr>
          <w:rFonts w:hint="eastAsia" w:ascii="Times New Roman" w:hAnsi="Times New Roman" w:eastAsia="宋体" w:cs="Times New Roman"/>
          <w:color w:val="000000" w:themeColor="text1"/>
          <w:szCs w:val="21"/>
          <w:highlight w:val="none"/>
          <w14:textFill>
            <w14:solidFill>
              <w14:schemeClr w14:val="tx1"/>
            </w14:solidFill>
          </w14:textFill>
        </w:rPr>
        <w:t>值</w:t>
      </w:r>
      <w:r>
        <w:rPr>
          <w:rFonts w:ascii="Times New Roman" w:hAnsi="Times New Roman" w:eastAsia="宋体" w:cs="Times New Roman"/>
          <w:color w:val="000000" w:themeColor="text1"/>
          <w:szCs w:val="21"/>
          <w:highlight w:val="none"/>
          <w14:textFill>
            <w14:solidFill>
              <w14:schemeClr w14:val="tx1"/>
            </w14:solidFill>
          </w14:textFill>
        </w:rPr>
        <w:t>发生显著下降至100 μV以下</w:t>
      </w:r>
      <w:r>
        <w:rPr>
          <w:rFonts w:hint="eastAsia" w:ascii="Times New Roman" w:hAnsi="Times New Roman" w:eastAsia="宋体" w:cs="Times New Roman"/>
          <w:color w:val="000000" w:themeColor="text1"/>
          <w:szCs w:val="21"/>
          <w:highlight w:val="none"/>
          <w14:textFill>
            <w14:solidFill>
              <w14:schemeClr w14:val="tx1"/>
            </w14:solidFill>
          </w14:textFill>
        </w:rPr>
        <w:t>或消失</w:t>
      </w:r>
      <w:r>
        <w:rPr>
          <w:rFonts w:ascii="Times New Roman" w:hAnsi="Times New Roman" w:eastAsia="宋体" w:cs="Times New Roman"/>
          <w:color w:val="000000" w:themeColor="text1"/>
          <w:szCs w:val="21"/>
          <w:highlight w:val="none"/>
          <w14:textFill>
            <w14:solidFill>
              <w14:schemeClr w14:val="tx1"/>
            </w14:solidFill>
          </w14:textFill>
        </w:rPr>
        <w:t>。</w:t>
      </w:r>
    </w:p>
    <w:p w14:paraId="7100C071">
      <w:pPr>
        <w:pStyle w:val="33"/>
        <w:numPr>
          <w:ilvl w:val="1"/>
          <w:numId w:val="6"/>
        </w:numPr>
        <w:shd w:val="clear"/>
        <w:spacing w:before="0" w:beforeLines="0" w:after="0" w:afterLines="0"/>
        <w:ind w:firstLine="0" w:firstLineChars="0"/>
        <w:jc w:val="both"/>
        <w:rPr>
          <w:rFonts w:hint="eastAsia" w:ascii="宋体" w:hAnsi="宋体" w:eastAsia="宋体" w:cs="Times New Roman"/>
          <w:b/>
          <w:color w:val="000000" w:themeColor="text1"/>
          <w:szCs w:val="21"/>
          <w:highlight w:val="none"/>
          <w14:textFill>
            <w14:solidFill>
              <w14:schemeClr w14:val="tx1"/>
            </w14:solidFill>
          </w14:textFill>
        </w:rPr>
      </w:pPr>
    </w:p>
    <w:p w14:paraId="239821BA">
      <w:pPr>
        <w:pStyle w:val="33"/>
        <w:shd w:val="clear"/>
        <w:spacing w:beforeLines="0" w:afterLines="0"/>
        <w:rPr>
          <w:rFonts w:ascii="Times New Roman" w:hAnsi="Times New Roman" w:eastAsia="黑体" w:cs="Times New Roman"/>
          <w:bCs/>
          <w:color w:val="000000" w:themeColor="text1"/>
          <w:szCs w:val="21"/>
          <w:highlight w:val="none"/>
          <w14:textFill>
            <w14:solidFill>
              <w14:schemeClr w14:val="tx1"/>
            </w14:solidFill>
          </w14:textFill>
        </w:rPr>
      </w:pPr>
      <w:r>
        <w:rPr>
          <w:rFonts w:hint="eastAsia" w:ascii="Times New Roman" w:hAnsi="Times New Roman" w:eastAsia="黑体" w:cs="Times New Roman"/>
          <w:bCs/>
          <w:color w:val="000000" w:themeColor="text1"/>
          <w:szCs w:val="21"/>
          <w:highlight w:val="none"/>
          <w14:textFill>
            <w14:solidFill>
              <w14:schemeClr w14:val="tx1"/>
            </w14:solidFill>
          </w14:textFill>
        </w:rPr>
        <w:t>I</w:t>
      </w:r>
      <w:r>
        <w:rPr>
          <w:rFonts w:ascii="Times New Roman" w:hAnsi="Times New Roman" w:eastAsia="黑体" w:cs="Times New Roman"/>
          <w:bCs/>
          <w:color w:val="000000" w:themeColor="text1"/>
          <w:szCs w:val="21"/>
          <w:highlight w:val="none"/>
          <w14:textFill>
            <w14:solidFill>
              <w14:schemeClr w14:val="tx1"/>
            </w14:solidFill>
          </w14:textFill>
        </w:rPr>
        <w:t>型</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神经损伤 </w:t>
      </w:r>
      <w:r>
        <w:rPr>
          <w:rFonts w:ascii="Times New Roman" w:hAnsi="Times New Roman" w:eastAsia="黑体" w:cs="Times New Roman"/>
          <w:bCs/>
          <w:color w:val="000000" w:themeColor="text1"/>
          <w:szCs w:val="21"/>
          <w:highlight w:val="none"/>
          <w14:textFill>
            <w14:solidFill>
              <w14:schemeClr w14:val="tx1"/>
            </w14:solidFill>
          </w14:textFill>
        </w:rPr>
        <w:t>nerve injury</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t</w:t>
      </w:r>
      <w:r>
        <w:rPr>
          <w:rFonts w:ascii="Times New Roman" w:hAnsi="Times New Roman" w:eastAsia="黑体" w:cs="Times New Roman"/>
          <w:bCs/>
          <w:color w:val="000000" w:themeColor="text1"/>
          <w:szCs w:val="21"/>
          <w:highlight w:val="none"/>
          <w14:textFill>
            <w14:solidFill>
              <w14:schemeClr w14:val="tx1"/>
            </w14:solidFill>
          </w14:textFill>
        </w:rPr>
        <w:t>ype I</w:t>
      </w:r>
    </w:p>
    <w:p w14:paraId="0EBA13E9">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刺激</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喉返神经（（</w:t>
      </w:r>
      <w:r>
        <w:rPr>
          <w:rFonts w:ascii="Times New Roman" w:hAnsi="Times New Roman" w:eastAsia="宋体" w:cs="Times New Roman"/>
          <w:color w:val="000000" w:themeColor="text1"/>
          <w:szCs w:val="21"/>
          <w:highlight w:val="none"/>
          <w14:textFill>
            <w14:solidFill>
              <w14:schemeClr w14:val="tx1"/>
            </w14:solidFill>
          </w14:textFill>
        </w:rPr>
        <w:t>RLN</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入喉点有肌电信号，但刺激同侧</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迷走神经（</w:t>
      </w:r>
      <w:r>
        <w:rPr>
          <w:rFonts w:ascii="Times New Roman" w:hAnsi="Times New Roman" w:eastAsia="宋体" w:cs="Times New Roman"/>
          <w:color w:val="000000" w:themeColor="text1"/>
          <w:szCs w:val="21"/>
          <w:highlight w:val="none"/>
          <w14:textFill>
            <w14:solidFill>
              <w14:schemeClr w14:val="tx1"/>
            </w14:solidFill>
          </w14:textFill>
        </w:rPr>
        <w:t>VN</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无肌电信号</w:t>
      </w:r>
      <w:r>
        <w:rPr>
          <w:rFonts w:hint="eastAsia" w:ascii="Times New Roman" w:hAnsi="Times New Roman" w:eastAsia="宋体" w:cs="Times New Roman"/>
          <w:color w:val="000000" w:themeColor="text1"/>
          <w:szCs w:val="21"/>
          <w:highlight w:val="none"/>
          <w14:textFill>
            <w14:solidFill>
              <w14:schemeClr w14:val="tx1"/>
            </w14:solidFill>
          </w14:textFill>
        </w:rPr>
        <w:t>的神经损伤类型，</w:t>
      </w:r>
      <w:r>
        <w:rPr>
          <w:rFonts w:ascii="Times New Roman" w:hAnsi="Times New Roman" w:eastAsia="宋体" w:cs="Times New Roman"/>
          <w:color w:val="000000" w:themeColor="text1"/>
          <w:szCs w:val="21"/>
          <w:highlight w:val="none"/>
          <w14:textFill>
            <w14:solidFill>
              <w14:schemeClr w14:val="tx1"/>
            </w14:solidFill>
          </w14:textFill>
        </w:rPr>
        <w:t>多见于牵拉、卡压、钳夹、热损伤等</w:t>
      </w:r>
      <w:r>
        <w:rPr>
          <w:rFonts w:hint="eastAsia" w:ascii="Times New Roman" w:hAnsi="Times New Roman" w:eastAsia="宋体" w:cs="Times New Roman"/>
          <w:color w:val="000000" w:themeColor="text1"/>
          <w:szCs w:val="21"/>
          <w:highlight w:val="none"/>
          <w14:textFill>
            <w14:solidFill>
              <w14:schemeClr w14:val="tx1"/>
            </w14:solidFill>
          </w14:textFill>
        </w:rPr>
        <w:t>。</w:t>
      </w:r>
    </w:p>
    <w:p w14:paraId="34A47421">
      <w:pPr>
        <w:pStyle w:val="33"/>
        <w:numPr>
          <w:ilvl w:val="1"/>
          <w:numId w:val="6"/>
        </w:numPr>
        <w:shd w:val="clear"/>
        <w:spacing w:before="0" w:beforeLines="0" w:after="0" w:afterLines="0"/>
        <w:ind w:firstLine="0" w:firstLineChars="0"/>
        <w:rPr>
          <w:rFonts w:hint="eastAsia" w:ascii="宋体" w:hAnsi="宋体" w:eastAsia="宋体" w:cs="Times New Roman"/>
          <w:b/>
          <w:color w:val="000000" w:themeColor="text1"/>
          <w:szCs w:val="21"/>
          <w:highlight w:val="none"/>
          <w14:textFill>
            <w14:solidFill>
              <w14:schemeClr w14:val="tx1"/>
            </w14:solidFill>
          </w14:textFill>
        </w:rPr>
      </w:pPr>
    </w:p>
    <w:p w14:paraId="621AE72C">
      <w:pPr>
        <w:pStyle w:val="33"/>
        <w:shd w:val="clear"/>
        <w:spacing w:beforeLines="0" w:afterLines="0"/>
        <w:rPr>
          <w:rFonts w:ascii="Times New Roman" w:hAnsi="Times New Roman" w:eastAsia="黑体" w:cs="Times New Roman"/>
          <w:bCs/>
          <w:color w:val="000000" w:themeColor="text1"/>
          <w:szCs w:val="21"/>
          <w:highlight w:val="none"/>
          <w14:textFill>
            <w14:solidFill>
              <w14:schemeClr w14:val="tx1"/>
            </w14:solidFill>
          </w14:textFill>
        </w:rPr>
      </w:pP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II型神经损伤 </w:t>
      </w:r>
      <w:r>
        <w:rPr>
          <w:rFonts w:ascii="Times New Roman" w:hAnsi="Times New Roman" w:eastAsia="黑体" w:cs="Times New Roman"/>
          <w:bCs/>
          <w:color w:val="000000" w:themeColor="text1"/>
          <w:szCs w:val="21"/>
          <w:highlight w:val="none"/>
          <w14:textFill>
            <w14:solidFill>
              <w14:schemeClr w14:val="tx1"/>
            </w14:solidFill>
          </w14:textFill>
        </w:rPr>
        <w:t>nerve injury</w:t>
      </w:r>
      <w:r>
        <w:rPr>
          <w:rFonts w:hint="eastAsia" w:ascii="Times New Roman" w:hAnsi="Times New Roman" w:eastAsia="黑体" w:cs="Times New Roman"/>
          <w:bCs/>
          <w:color w:val="000000" w:themeColor="text1"/>
          <w:szCs w:val="21"/>
          <w:highlight w:val="none"/>
          <w14:textFill>
            <w14:solidFill>
              <w14:schemeClr w14:val="tx1"/>
            </w14:solidFill>
          </w14:textFill>
        </w:rPr>
        <w:t xml:space="preserve"> t</w:t>
      </w:r>
      <w:r>
        <w:rPr>
          <w:rFonts w:ascii="Times New Roman" w:hAnsi="Times New Roman" w:eastAsia="黑体" w:cs="Times New Roman"/>
          <w:bCs/>
          <w:color w:val="000000" w:themeColor="text1"/>
          <w:szCs w:val="21"/>
          <w:highlight w:val="none"/>
          <w14:textFill>
            <w14:solidFill>
              <w14:schemeClr w14:val="tx1"/>
            </w14:solidFill>
          </w14:textFill>
        </w:rPr>
        <w:t>ype I</w:t>
      </w:r>
      <w:r>
        <w:rPr>
          <w:rFonts w:hint="eastAsia" w:ascii="Times New Roman" w:hAnsi="Times New Roman" w:eastAsia="黑体" w:cs="Times New Roman"/>
          <w:bCs/>
          <w:color w:val="000000" w:themeColor="text1"/>
          <w:szCs w:val="21"/>
          <w:highlight w:val="none"/>
          <w14:textFill>
            <w14:solidFill>
              <w14:schemeClr w14:val="tx1"/>
            </w14:solidFill>
          </w14:textFill>
        </w:rPr>
        <w:t>I</w:t>
      </w:r>
    </w:p>
    <w:p w14:paraId="205696D3">
      <w:pPr>
        <w:pStyle w:val="33"/>
        <w:shd w:val="clear"/>
        <w:spacing w:beforeLines="0" w:afterLine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刺激</w:t>
      </w:r>
      <w:r>
        <w:rPr>
          <w:rFonts w:hint="eastAsia" w:ascii="Times New Roman" w:hAnsi="Times New Roman" w:eastAsia="宋体" w:cs="Times New Roman"/>
          <w:color w:val="000000" w:themeColor="text1"/>
          <w:szCs w:val="21"/>
          <w:highlight w:val="none"/>
          <w14:textFill>
            <w14:solidFill>
              <w14:schemeClr w14:val="tx1"/>
            </w14:solidFill>
          </w14:textFill>
        </w:rPr>
        <w:t>同侧</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喉返神经（</w:t>
      </w:r>
      <w:r>
        <w:rPr>
          <w:rFonts w:ascii="Times New Roman" w:hAnsi="Times New Roman" w:eastAsia="宋体" w:cs="Times New Roman"/>
          <w:color w:val="000000" w:themeColor="text1"/>
          <w:szCs w:val="21"/>
          <w:highlight w:val="none"/>
          <w14:textFill>
            <w14:solidFill>
              <w14:schemeClr w14:val="tx1"/>
            </w14:solidFill>
          </w14:textFill>
        </w:rPr>
        <w:t>RLN</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与</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迷走神经（</w:t>
      </w:r>
      <w:r>
        <w:rPr>
          <w:rFonts w:ascii="Times New Roman" w:hAnsi="Times New Roman" w:eastAsia="宋体" w:cs="Times New Roman"/>
          <w:color w:val="000000" w:themeColor="text1"/>
          <w:szCs w:val="21"/>
          <w:highlight w:val="none"/>
          <w14:textFill>
            <w14:solidFill>
              <w14:schemeClr w14:val="tx1"/>
            </w14:solidFill>
          </w14:textFill>
        </w:rPr>
        <w:t>VN</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全程均无肌电信号，但刺激对侧</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迷走神经（</w:t>
      </w:r>
      <w:r>
        <w:rPr>
          <w:rFonts w:ascii="Times New Roman" w:hAnsi="Times New Roman" w:eastAsia="宋体" w:cs="Times New Roman"/>
          <w:color w:val="000000" w:themeColor="text1"/>
          <w:szCs w:val="21"/>
          <w:highlight w:val="none"/>
          <w14:textFill>
            <w14:solidFill>
              <w14:schemeClr w14:val="tx1"/>
            </w14:solidFill>
          </w14:textFill>
        </w:rPr>
        <w:t>VN</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有肌电信号</w:t>
      </w:r>
      <w:r>
        <w:rPr>
          <w:rFonts w:hint="eastAsia" w:ascii="Times New Roman" w:hAnsi="Times New Roman" w:eastAsia="宋体" w:cs="Times New Roman"/>
          <w:color w:val="000000" w:themeColor="text1"/>
          <w:szCs w:val="21"/>
          <w:highlight w:val="none"/>
          <w14:textFill>
            <w14:solidFill>
              <w14:schemeClr w14:val="tx1"/>
            </w14:solidFill>
          </w14:textFill>
        </w:rPr>
        <w:t>的神经损伤类型，损伤原因尚不明确</w:t>
      </w:r>
      <w:r>
        <w:rPr>
          <w:rFonts w:ascii="Times New Roman" w:hAnsi="Times New Roman" w:eastAsia="宋体" w:cs="Times New Roman"/>
          <w:color w:val="000000" w:themeColor="text1"/>
          <w:szCs w:val="21"/>
          <w:highlight w:val="none"/>
          <w14:textFill>
            <w14:solidFill>
              <w14:schemeClr w14:val="tx1"/>
            </w14:solidFill>
          </w14:textFill>
        </w:rPr>
        <w:t>。</w:t>
      </w:r>
    </w:p>
    <w:p w14:paraId="414FAFF3">
      <w:pPr>
        <w:pStyle w:val="33"/>
        <w:numPr>
          <w:ilvl w:val="0"/>
          <w:numId w:val="6"/>
        </w:numPr>
        <w:shd w:val="clear"/>
        <w:spacing w:before="312" w:beforeLines="100" w:after="312" w:afterLines="100"/>
        <w:ind w:firstLineChars="0"/>
        <w:jc w:val="left"/>
        <w:outlineLvl w:val="0"/>
        <w:rPr>
          <w:rFonts w:hint="eastAsia" w:ascii="黑体" w:hAnsi="黑体" w:eastAsia="黑体" w:cs="黑体"/>
          <w:bCs/>
          <w:color w:val="000000" w:themeColor="text1"/>
          <w:szCs w:val="21"/>
          <w:highlight w:val="none"/>
          <w14:textFill>
            <w14:solidFill>
              <w14:schemeClr w14:val="tx1"/>
            </w14:solidFill>
          </w14:textFill>
        </w:rPr>
      </w:pPr>
      <w:bookmarkStart w:id="10" w:name="_Toc207835473"/>
      <w:r>
        <w:rPr>
          <w:rFonts w:hint="eastAsia" w:ascii="黑体" w:hAnsi="黑体" w:eastAsia="黑体" w:cs="黑体"/>
          <w:bCs/>
          <w:color w:val="000000" w:themeColor="text1"/>
          <w:szCs w:val="21"/>
          <w:highlight w:val="none"/>
          <w14:textFill>
            <w14:solidFill>
              <w14:schemeClr w14:val="tx1"/>
            </w14:solidFill>
          </w14:textFill>
        </w:rPr>
        <w:t>缩略语</w:t>
      </w:r>
      <w:bookmarkEnd w:id="10"/>
    </w:p>
    <w:p w14:paraId="7DE82D41">
      <w:pPr>
        <w:shd w:val="clear"/>
        <w:ind w:firstLine="420" w:firstLineChars="20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下列缩略语适用于本文件。</w:t>
      </w:r>
    </w:p>
    <w:p w14:paraId="02021380">
      <w:pPr>
        <w:shd w:val="clear"/>
        <w:ind w:firstLine="420" w:firstLineChars="20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C</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IONM</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连续术中神经监测</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 xml:space="preserve">Continuous </w:t>
      </w:r>
      <w:r>
        <w:rPr>
          <w:rFonts w:hint="eastAsia" w:ascii="Times New Roman" w:hAnsi="Times New Roman" w:eastAsia="宋体" w:cs="Times New Roman"/>
          <w:bCs/>
          <w:color w:val="000000" w:themeColor="text1"/>
          <w:szCs w:val="21"/>
          <w:highlight w:val="none"/>
          <w14:textFill>
            <w14:solidFill>
              <w14:schemeClr w14:val="tx1"/>
            </w14:solidFill>
          </w14:textFill>
        </w:rPr>
        <w:t>I</w:t>
      </w:r>
      <w:r>
        <w:rPr>
          <w:rFonts w:ascii="Times New Roman" w:hAnsi="Times New Roman" w:eastAsia="宋体" w:cs="Times New Roman"/>
          <w:bCs/>
          <w:color w:val="000000" w:themeColor="text1"/>
          <w:szCs w:val="21"/>
          <w:highlight w:val="none"/>
          <w14:textFill>
            <w14:solidFill>
              <w14:schemeClr w14:val="tx1"/>
            </w14:solidFill>
          </w14:textFill>
        </w:rPr>
        <w:t xml:space="preserve">ntraoperative </w:t>
      </w:r>
      <w:r>
        <w:rPr>
          <w:rFonts w:hint="eastAsia" w:ascii="Times New Roman" w:hAnsi="Times New Roman" w:eastAsia="宋体" w:cs="Times New Roman"/>
          <w:bCs/>
          <w:color w:val="000000" w:themeColor="text1"/>
          <w:szCs w:val="21"/>
          <w:highlight w:val="none"/>
          <w14:textFill>
            <w14:solidFill>
              <w14:schemeClr w14:val="tx1"/>
            </w14:solidFill>
          </w14:textFill>
        </w:rPr>
        <w:t>N</w:t>
      </w:r>
      <w:r>
        <w:rPr>
          <w:rFonts w:ascii="Times New Roman" w:hAnsi="Times New Roman" w:eastAsia="宋体" w:cs="Times New Roman"/>
          <w:bCs/>
          <w:color w:val="000000" w:themeColor="text1"/>
          <w:szCs w:val="21"/>
          <w:highlight w:val="none"/>
          <w14:textFill>
            <w14:solidFill>
              <w14:schemeClr w14:val="tx1"/>
            </w14:solidFill>
          </w14:textFill>
        </w:rPr>
        <w:t>euromonitoring</w:t>
      </w:r>
      <w:r>
        <w:rPr>
          <w:rFonts w:hint="eastAsia" w:ascii="Times New Roman" w:hAnsi="Times New Roman" w:eastAsia="宋体" w:cs="Times New Roman"/>
          <w:bCs/>
          <w:color w:val="000000" w:themeColor="text1"/>
          <w:szCs w:val="21"/>
          <w:highlight w:val="none"/>
          <w14:textFill>
            <w14:solidFill>
              <w14:schemeClr w14:val="tx1"/>
            </w14:solidFill>
          </w14:textFill>
        </w:rPr>
        <w:t>）</w:t>
      </w:r>
    </w:p>
    <w:p w14:paraId="7FDDAE56">
      <w:pPr>
        <w:shd w:val="clear"/>
        <w:ind w:firstLine="420" w:firstLineChars="20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EB</w:t>
      </w:r>
      <w:r>
        <w:rPr>
          <w:rFonts w:ascii="Times New Roman" w:hAnsi="Times New Roman" w:eastAsia="宋体" w:cs="Times New Roman"/>
          <w:bCs/>
          <w:color w:val="000000" w:themeColor="text1"/>
          <w:szCs w:val="21"/>
          <w:highlight w:val="none"/>
          <w14:textFill>
            <w14:solidFill>
              <w14:schemeClr w14:val="tx1"/>
            </w14:solidFill>
          </w14:textFill>
        </w:rPr>
        <w:t>SLN</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喉上神经</w:t>
      </w:r>
      <w:r>
        <w:rPr>
          <w:rFonts w:hint="eastAsia" w:ascii="Times New Roman" w:hAnsi="Times New Roman" w:eastAsia="宋体" w:cs="Times New Roman"/>
          <w:bCs/>
          <w:color w:val="000000" w:themeColor="text1"/>
          <w:szCs w:val="21"/>
          <w:highlight w:val="none"/>
          <w14:textFill>
            <w14:solidFill>
              <w14:schemeClr w14:val="tx1"/>
            </w14:solidFill>
          </w14:textFill>
        </w:rPr>
        <w:t xml:space="preserve">外支（External Branch of </w:t>
      </w:r>
      <w:r>
        <w:rPr>
          <w:rFonts w:ascii="Times New Roman" w:hAnsi="Times New Roman" w:eastAsia="宋体" w:cs="Times New Roman"/>
          <w:bCs/>
          <w:color w:val="000000" w:themeColor="text1"/>
          <w:szCs w:val="21"/>
          <w:highlight w:val="none"/>
          <w14:textFill>
            <w14:solidFill>
              <w14:schemeClr w14:val="tx1"/>
            </w14:solidFill>
          </w14:textFill>
        </w:rPr>
        <w:t xml:space="preserve">Superior </w:t>
      </w:r>
      <w:r>
        <w:rPr>
          <w:rFonts w:hint="eastAsia" w:ascii="Times New Roman" w:hAnsi="Times New Roman" w:eastAsia="宋体" w:cs="Times New Roman"/>
          <w:bCs/>
          <w:color w:val="000000" w:themeColor="text1"/>
          <w:szCs w:val="21"/>
          <w:highlight w:val="none"/>
          <w14:textFill>
            <w14:solidFill>
              <w14:schemeClr w14:val="tx1"/>
            </w14:solidFill>
          </w14:textFill>
        </w:rPr>
        <w:t>L</w:t>
      </w:r>
      <w:r>
        <w:rPr>
          <w:rFonts w:ascii="Times New Roman" w:hAnsi="Times New Roman" w:eastAsia="宋体" w:cs="Times New Roman"/>
          <w:bCs/>
          <w:color w:val="000000" w:themeColor="text1"/>
          <w:szCs w:val="21"/>
          <w:highlight w:val="none"/>
          <w14:textFill>
            <w14:solidFill>
              <w14:schemeClr w14:val="tx1"/>
            </w14:solidFill>
          </w14:textFill>
        </w:rPr>
        <w:t xml:space="preserve">aryngeal </w:t>
      </w:r>
      <w:r>
        <w:rPr>
          <w:rFonts w:hint="eastAsia" w:ascii="Times New Roman" w:hAnsi="Times New Roman" w:eastAsia="宋体" w:cs="Times New Roman"/>
          <w:bCs/>
          <w:color w:val="000000" w:themeColor="text1"/>
          <w:szCs w:val="21"/>
          <w:highlight w:val="none"/>
          <w14:textFill>
            <w14:solidFill>
              <w14:schemeClr w14:val="tx1"/>
            </w14:solidFill>
          </w14:textFill>
        </w:rPr>
        <w:t>N</w:t>
      </w:r>
      <w:r>
        <w:rPr>
          <w:rFonts w:ascii="Times New Roman" w:hAnsi="Times New Roman" w:eastAsia="宋体" w:cs="Times New Roman"/>
          <w:bCs/>
          <w:color w:val="000000" w:themeColor="text1"/>
          <w:szCs w:val="21"/>
          <w:highlight w:val="none"/>
          <w14:textFill>
            <w14:solidFill>
              <w14:schemeClr w14:val="tx1"/>
            </w14:solidFill>
          </w14:textFill>
        </w:rPr>
        <w:t>erve</w:t>
      </w:r>
      <w:r>
        <w:rPr>
          <w:rFonts w:hint="eastAsia" w:ascii="Times New Roman" w:hAnsi="Times New Roman" w:eastAsia="宋体" w:cs="Times New Roman"/>
          <w:bCs/>
          <w:color w:val="000000" w:themeColor="text1"/>
          <w:szCs w:val="21"/>
          <w:highlight w:val="none"/>
          <w14:textFill>
            <w14:solidFill>
              <w14:schemeClr w14:val="tx1"/>
            </w14:solidFill>
          </w14:textFill>
        </w:rPr>
        <w:t>）</w:t>
      </w:r>
    </w:p>
    <w:p w14:paraId="174E55F8">
      <w:pPr>
        <w:shd w:val="clear"/>
        <w:ind w:firstLine="420" w:firstLineChars="20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EM</w:t>
      </w:r>
      <w:r>
        <w:rPr>
          <w:rFonts w:hint="eastAsia" w:ascii="Times New Roman" w:hAnsi="Times New Roman" w:eastAsia="宋体" w:cs="Times New Roman"/>
          <w:bCs/>
          <w:color w:val="000000" w:themeColor="text1"/>
          <w:szCs w:val="21"/>
          <w:highlight w:val="none"/>
          <w14:textFill>
            <w14:solidFill>
              <w14:schemeClr w14:val="tx1"/>
            </w14:solidFill>
          </w14:textFill>
        </w:rPr>
        <w:t>G：</w:t>
      </w:r>
      <w:r>
        <w:rPr>
          <w:rFonts w:ascii="Times New Roman" w:hAnsi="Times New Roman" w:eastAsia="宋体" w:cs="Times New Roman"/>
          <w:bCs/>
          <w:color w:val="000000" w:themeColor="text1"/>
          <w:szCs w:val="21"/>
          <w:highlight w:val="none"/>
          <w14:textFill>
            <w14:solidFill>
              <w14:schemeClr w14:val="tx1"/>
            </w14:solidFill>
          </w14:textFill>
        </w:rPr>
        <w:t>肌电图</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Electromyogram</w:t>
      </w:r>
      <w:r>
        <w:rPr>
          <w:rFonts w:ascii="Times New Roman" w:hAnsi="Times New Roman" w:eastAsia="宋体" w:cs="Times New Roman"/>
          <w:bCs/>
          <w:color w:val="000000" w:themeColor="text1"/>
          <w:szCs w:val="21"/>
          <w:highlight w:val="none"/>
          <w14:textFill>
            <w14:solidFill>
              <w14:schemeClr w14:val="tx1"/>
            </w14:solidFill>
          </w14:textFill>
        </w:rPr>
        <w:tab/>
      </w:r>
      <w:r>
        <w:rPr>
          <w:rFonts w:hint="eastAsia" w:ascii="Times New Roman" w:hAnsi="Times New Roman" w:eastAsia="宋体" w:cs="Times New Roman"/>
          <w:bCs/>
          <w:color w:val="000000" w:themeColor="text1"/>
          <w:szCs w:val="21"/>
          <w:highlight w:val="none"/>
          <w14:textFill>
            <w14:solidFill>
              <w14:schemeClr w14:val="tx1"/>
            </w14:solidFill>
          </w14:textFill>
        </w:rPr>
        <w:t>）</w:t>
      </w:r>
    </w:p>
    <w:p w14:paraId="7FA119B5">
      <w:pPr>
        <w:shd w:val="clear"/>
        <w:ind w:firstLine="420" w:firstLineChars="20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I</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IONM</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间断术中神经监测</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 xml:space="preserve">Intermittent </w:t>
      </w:r>
      <w:r>
        <w:rPr>
          <w:rFonts w:hint="eastAsia" w:ascii="Times New Roman" w:hAnsi="Times New Roman" w:eastAsia="宋体" w:cs="Times New Roman"/>
          <w:bCs/>
          <w:color w:val="000000" w:themeColor="text1"/>
          <w:szCs w:val="21"/>
          <w:highlight w:val="none"/>
          <w14:textFill>
            <w14:solidFill>
              <w14:schemeClr w14:val="tx1"/>
            </w14:solidFill>
          </w14:textFill>
        </w:rPr>
        <w:t>I</w:t>
      </w:r>
      <w:r>
        <w:rPr>
          <w:rFonts w:ascii="Times New Roman" w:hAnsi="Times New Roman" w:eastAsia="宋体" w:cs="Times New Roman"/>
          <w:bCs/>
          <w:color w:val="000000" w:themeColor="text1"/>
          <w:szCs w:val="21"/>
          <w:highlight w:val="none"/>
          <w14:textFill>
            <w14:solidFill>
              <w14:schemeClr w14:val="tx1"/>
            </w14:solidFill>
          </w14:textFill>
        </w:rPr>
        <w:t xml:space="preserve">ntraoperative </w:t>
      </w:r>
      <w:r>
        <w:rPr>
          <w:rFonts w:hint="eastAsia" w:ascii="Times New Roman" w:hAnsi="Times New Roman" w:eastAsia="宋体" w:cs="Times New Roman"/>
          <w:bCs/>
          <w:color w:val="000000" w:themeColor="text1"/>
          <w:szCs w:val="21"/>
          <w:highlight w:val="none"/>
          <w14:textFill>
            <w14:solidFill>
              <w14:schemeClr w14:val="tx1"/>
            </w14:solidFill>
          </w14:textFill>
        </w:rPr>
        <w:t>N</w:t>
      </w:r>
      <w:r>
        <w:rPr>
          <w:rFonts w:ascii="Times New Roman" w:hAnsi="Times New Roman" w:eastAsia="宋体" w:cs="Times New Roman"/>
          <w:bCs/>
          <w:color w:val="000000" w:themeColor="text1"/>
          <w:szCs w:val="21"/>
          <w:highlight w:val="none"/>
          <w14:textFill>
            <w14:solidFill>
              <w14:schemeClr w14:val="tx1"/>
            </w14:solidFill>
          </w14:textFill>
        </w:rPr>
        <w:t>euromonitoring</w:t>
      </w:r>
      <w:r>
        <w:rPr>
          <w:rFonts w:hint="eastAsia" w:ascii="Times New Roman" w:hAnsi="Times New Roman" w:eastAsia="宋体" w:cs="Times New Roman"/>
          <w:bCs/>
          <w:color w:val="000000" w:themeColor="text1"/>
          <w:szCs w:val="21"/>
          <w:highlight w:val="none"/>
          <w14:textFill>
            <w14:solidFill>
              <w14:schemeClr w14:val="tx1"/>
            </w14:solidFill>
          </w14:textFill>
        </w:rPr>
        <w:t>）</w:t>
      </w:r>
    </w:p>
    <w:p w14:paraId="346517CD">
      <w:pPr>
        <w:shd w:val="clear"/>
        <w:ind w:firstLine="420" w:firstLineChars="20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IONM</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术中神经监测</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 xml:space="preserve">Intraoperative </w:t>
      </w:r>
      <w:r>
        <w:rPr>
          <w:rFonts w:hint="eastAsia" w:ascii="Times New Roman" w:hAnsi="Times New Roman" w:eastAsia="宋体" w:cs="Times New Roman"/>
          <w:bCs/>
          <w:color w:val="000000" w:themeColor="text1"/>
          <w:szCs w:val="21"/>
          <w:highlight w:val="none"/>
          <w14:textFill>
            <w14:solidFill>
              <w14:schemeClr w14:val="tx1"/>
            </w14:solidFill>
          </w14:textFill>
        </w:rPr>
        <w:t>N</w:t>
      </w:r>
      <w:r>
        <w:rPr>
          <w:rFonts w:ascii="Times New Roman" w:hAnsi="Times New Roman" w:eastAsia="宋体" w:cs="Times New Roman"/>
          <w:bCs/>
          <w:color w:val="000000" w:themeColor="text1"/>
          <w:szCs w:val="21"/>
          <w:highlight w:val="none"/>
          <w14:textFill>
            <w14:solidFill>
              <w14:schemeClr w14:val="tx1"/>
            </w14:solidFill>
          </w14:textFill>
        </w:rPr>
        <w:t>euromonitoring</w:t>
      </w:r>
      <w:r>
        <w:rPr>
          <w:rFonts w:hint="eastAsia" w:ascii="Times New Roman" w:hAnsi="Times New Roman" w:eastAsia="宋体" w:cs="Times New Roman"/>
          <w:bCs/>
          <w:color w:val="000000" w:themeColor="text1"/>
          <w:szCs w:val="21"/>
          <w:highlight w:val="none"/>
          <w14:textFill>
            <w14:solidFill>
              <w14:schemeClr w14:val="tx1"/>
            </w14:solidFill>
          </w14:textFill>
        </w:rPr>
        <w:t>）</w:t>
      </w:r>
    </w:p>
    <w:p w14:paraId="2447607D">
      <w:pPr>
        <w:shd w:val="clear"/>
        <w:ind w:firstLine="420" w:firstLineChars="20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LOS</w:t>
      </w:r>
      <w:r>
        <w:rPr>
          <w:rFonts w:ascii="Times New Roman" w:hAnsi="Times New Roman" w:eastAsia="宋体" w:cs="Times New Roman"/>
          <w:bCs/>
          <w:color w:val="000000" w:themeColor="text1"/>
          <w:szCs w:val="21"/>
          <w:highlight w:val="none"/>
          <w14:textFill>
            <w14:solidFill>
              <w14:schemeClr w14:val="tx1"/>
            </w14:solidFill>
          </w14:textFill>
        </w:rPr>
        <w:tab/>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信号丢失</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 xml:space="preserve">Loss of </w:t>
      </w:r>
      <w:r>
        <w:rPr>
          <w:rFonts w:hint="eastAsia" w:ascii="Times New Roman" w:hAnsi="Times New Roman" w:eastAsia="宋体" w:cs="Times New Roman"/>
          <w:bCs/>
          <w:color w:val="000000" w:themeColor="text1"/>
          <w:szCs w:val="21"/>
          <w:highlight w:val="none"/>
          <w14:textFill>
            <w14:solidFill>
              <w14:schemeClr w14:val="tx1"/>
            </w14:solidFill>
          </w14:textFill>
        </w:rPr>
        <w:t>Si</w:t>
      </w:r>
      <w:r>
        <w:rPr>
          <w:rFonts w:ascii="Times New Roman" w:hAnsi="Times New Roman" w:eastAsia="宋体" w:cs="Times New Roman"/>
          <w:bCs/>
          <w:color w:val="000000" w:themeColor="text1"/>
          <w:szCs w:val="21"/>
          <w:highlight w:val="none"/>
          <w14:textFill>
            <w14:solidFill>
              <w14:schemeClr w14:val="tx1"/>
            </w14:solidFill>
          </w14:textFill>
        </w:rPr>
        <w:t>gnal</w:t>
      </w:r>
      <w:r>
        <w:rPr>
          <w:rFonts w:hint="eastAsia" w:ascii="Times New Roman" w:hAnsi="Times New Roman" w:eastAsia="宋体" w:cs="Times New Roman"/>
          <w:bCs/>
          <w:color w:val="000000" w:themeColor="text1"/>
          <w:szCs w:val="21"/>
          <w:highlight w:val="none"/>
          <w14:textFill>
            <w14:solidFill>
              <w14:schemeClr w14:val="tx1"/>
            </w14:solidFill>
          </w14:textFill>
        </w:rPr>
        <w:t>）</w:t>
      </w:r>
    </w:p>
    <w:p w14:paraId="56B66587">
      <w:pPr>
        <w:shd w:val="clear"/>
        <w:ind w:firstLine="420" w:firstLineChars="20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NRLN</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非返性喉返神经</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Non-</w:t>
      </w:r>
      <w:r>
        <w:rPr>
          <w:rFonts w:hint="eastAsia" w:ascii="Times New Roman" w:hAnsi="Times New Roman" w:eastAsia="宋体" w:cs="Times New Roman"/>
          <w:bCs/>
          <w:color w:val="000000" w:themeColor="text1"/>
          <w:szCs w:val="21"/>
          <w:highlight w:val="none"/>
          <w14:textFill>
            <w14:solidFill>
              <w14:schemeClr w14:val="tx1"/>
            </w14:solidFill>
          </w14:textFill>
        </w:rPr>
        <w:t>R</w:t>
      </w:r>
      <w:r>
        <w:rPr>
          <w:rFonts w:ascii="Times New Roman" w:hAnsi="Times New Roman" w:eastAsia="宋体" w:cs="Times New Roman"/>
          <w:bCs/>
          <w:color w:val="000000" w:themeColor="text1"/>
          <w:szCs w:val="21"/>
          <w:highlight w:val="none"/>
          <w14:textFill>
            <w14:solidFill>
              <w14:schemeClr w14:val="tx1"/>
            </w14:solidFill>
          </w14:textFill>
        </w:rPr>
        <w:t xml:space="preserve">ecurrent </w:t>
      </w:r>
      <w:r>
        <w:rPr>
          <w:rFonts w:hint="eastAsia" w:ascii="Times New Roman" w:hAnsi="Times New Roman" w:eastAsia="宋体" w:cs="Times New Roman"/>
          <w:bCs/>
          <w:color w:val="000000" w:themeColor="text1"/>
          <w:szCs w:val="21"/>
          <w:highlight w:val="none"/>
          <w14:textFill>
            <w14:solidFill>
              <w14:schemeClr w14:val="tx1"/>
            </w14:solidFill>
          </w14:textFill>
        </w:rPr>
        <w:t>L</w:t>
      </w:r>
      <w:r>
        <w:rPr>
          <w:rFonts w:ascii="Times New Roman" w:hAnsi="Times New Roman" w:eastAsia="宋体" w:cs="Times New Roman"/>
          <w:bCs/>
          <w:color w:val="000000" w:themeColor="text1"/>
          <w:szCs w:val="21"/>
          <w:highlight w:val="none"/>
          <w14:textFill>
            <w14:solidFill>
              <w14:schemeClr w14:val="tx1"/>
            </w14:solidFill>
          </w14:textFill>
        </w:rPr>
        <w:t xml:space="preserve">aryngeal </w:t>
      </w:r>
      <w:r>
        <w:rPr>
          <w:rFonts w:hint="eastAsia" w:ascii="Times New Roman" w:hAnsi="Times New Roman" w:eastAsia="宋体" w:cs="Times New Roman"/>
          <w:bCs/>
          <w:color w:val="000000" w:themeColor="text1"/>
          <w:szCs w:val="21"/>
          <w:highlight w:val="none"/>
          <w14:textFill>
            <w14:solidFill>
              <w14:schemeClr w14:val="tx1"/>
            </w14:solidFill>
          </w14:textFill>
        </w:rPr>
        <w:t>N</w:t>
      </w:r>
      <w:r>
        <w:rPr>
          <w:rFonts w:ascii="Times New Roman" w:hAnsi="Times New Roman" w:eastAsia="宋体" w:cs="Times New Roman"/>
          <w:bCs/>
          <w:color w:val="000000" w:themeColor="text1"/>
          <w:szCs w:val="21"/>
          <w:highlight w:val="none"/>
          <w14:textFill>
            <w14:solidFill>
              <w14:schemeClr w14:val="tx1"/>
            </w14:solidFill>
          </w14:textFill>
        </w:rPr>
        <w:t>erve</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ab/>
      </w:r>
    </w:p>
    <w:p w14:paraId="2CC7194F">
      <w:pPr>
        <w:shd w:val="clear"/>
        <w:ind w:firstLine="420" w:firstLineChars="20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RLN</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喉返神经</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 xml:space="preserve">Recurrent </w:t>
      </w:r>
      <w:r>
        <w:rPr>
          <w:rFonts w:hint="eastAsia" w:ascii="Times New Roman" w:hAnsi="Times New Roman" w:eastAsia="宋体" w:cs="Times New Roman"/>
          <w:bCs/>
          <w:color w:val="000000" w:themeColor="text1"/>
          <w:szCs w:val="21"/>
          <w:highlight w:val="none"/>
          <w14:textFill>
            <w14:solidFill>
              <w14:schemeClr w14:val="tx1"/>
            </w14:solidFill>
          </w14:textFill>
        </w:rPr>
        <w:t>L</w:t>
      </w:r>
      <w:r>
        <w:rPr>
          <w:rFonts w:ascii="Times New Roman" w:hAnsi="Times New Roman" w:eastAsia="宋体" w:cs="Times New Roman"/>
          <w:bCs/>
          <w:color w:val="000000" w:themeColor="text1"/>
          <w:szCs w:val="21"/>
          <w:highlight w:val="none"/>
          <w14:textFill>
            <w14:solidFill>
              <w14:schemeClr w14:val="tx1"/>
            </w14:solidFill>
          </w14:textFill>
        </w:rPr>
        <w:t xml:space="preserve">aryngeal </w:t>
      </w:r>
      <w:r>
        <w:rPr>
          <w:rFonts w:hint="eastAsia" w:ascii="Times New Roman" w:hAnsi="Times New Roman" w:eastAsia="宋体" w:cs="Times New Roman"/>
          <w:bCs/>
          <w:color w:val="000000" w:themeColor="text1"/>
          <w:szCs w:val="21"/>
          <w:highlight w:val="none"/>
          <w14:textFill>
            <w14:solidFill>
              <w14:schemeClr w14:val="tx1"/>
            </w14:solidFill>
          </w14:textFill>
        </w:rPr>
        <w:t>N</w:t>
      </w:r>
      <w:r>
        <w:rPr>
          <w:rFonts w:ascii="Times New Roman" w:hAnsi="Times New Roman" w:eastAsia="宋体" w:cs="Times New Roman"/>
          <w:bCs/>
          <w:color w:val="000000" w:themeColor="text1"/>
          <w:szCs w:val="21"/>
          <w:highlight w:val="none"/>
          <w14:textFill>
            <w14:solidFill>
              <w14:schemeClr w14:val="tx1"/>
            </w14:solidFill>
          </w14:textFill>
        </w:rPr>
        <w:t>erve</w:t>
      </w:r>
      <w:r>
        <w:rPr>
          <w:rFonts w:hint="eastAsia" w:ascii="Times New Roman" w:hAnsi="Times New Roman" w:eastAsia="宋体" w:cs="Times New Roman"/>
          <w:bCs/>
          <w:color w:val="000000" w:themeColor="text1"/>
          <w:szCs w:val="21"/>
          <w:highlight w:val="none"/>
          <w14:textFill>
            <w14:solidFill>
              <w14:schemeClr w14:val="tx1"/>
            </w14:solidFill>
          </w14:textFill>
        </w:rPr>
        <w:t>）</w:t>
      </w:r>
    </w:p>
    <w:p w14:paraId="2EB4738C">
      <w:pPr>
        <w:shd w:val="clear"/>
        <w:ind w:firstLine="420" w:firstLineChars="20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VN：迷走神经（Vagus Nerve）</w:t>
      </w:r>
    </w:p>
    <w:p w14:paraId="1541B781">
      <w:pPr>
        <w:pStyle w:val="33"/>
        <w:numPr>
          <w:ilvl w:val="0"/>
          <w:numId w:val="6"/>
        </w:numPr>
        <w:shd w:val="clear"/>
        <w:spacing w:before="312" w:beforeLines="100" w:after="312" w:afterLines="100"/>
        <w:ind w:firstLineChars="0"/>
        <w:jc w:val="left"/>
        <w:outlineLvl w:val="0"/>
        <w:rPr>
          <w:rFonts w:hint="eastAsia" w:ascii="黑体" w:hAnsi="黑体" w:eastAsia="黑体" w:cs="黑体"/>
          <w:bCs/>
          <w:color w:val="000000" w:themeColor="text1"/>
          <w:szCs w:val="21"/>
          <w:highlight w:val="none"/>
          <w14:textFill>
            <w14:solidFill>
              <w14:schemeClr w14:val="tx1"/>
            </w14:solidFill>
          </w14:textFill>
        </w:rPr>
      </w:pPr>
      <w:bookmarkStart w:id="11" w:name="_Toc207835474"/>
      <w:r>
        <w:rPr>
          <w:rFonts w:hint="eastAsia" w:ascii="黑体" w:hAnsi="黑体" w:eastAsia="黑体" w:cs="黑体"/>
          <w:bCs/>
          <w:color w:val="000000" w:themeColor="text1"/>
          <w:szCs w:val="21"/>
          <w:highlight w:val="none"/>
          <w14:textFill>
            <w14:solidFill>
              <w14:schemeClr w14:val="tx1"/>
            </w14:solidFill>
          </w14:textFill>
        </w:rPr>
        <w:t>资质培训</w:t>
      </w:r>
      <w:bookmarkEnd w:id="11"/>
    </w:p>
    <w:p w14:paraId="213A5063">
      <w:pPr>
        <w:pStyle w:val="33"/>
        <w:numPr>
          <w:ilvl w:val="1"/>
          <w:numId w:val="6"/>
        </w:numPr>
        <w:shd w:val="clear"/>
        <w:spacing w:before="156" w:beforeLines="50" w:after="156" w:afterLines="50"/>
        <w:ind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麻醉医师</w:t>
      </w:r>
    </w:p>
    <w:p w14:paraId="58610184">
      <w:pPr>
        <w:pStyle w:val="33"/>
        <w:shd w:val="clea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开展IONM技术的医疗团队应配备经过系统规范化培训的麻醉医师。</w:t>
      </w:r>
    </w:p>
    <w:p w14:paraId="0A321E66">
      <w:pPr>
        <w:pStyle w:val="33"/>
        <w:numPr>
          <w:ilvl w:val="1"/>
          <w:numId w:val="6"/>
        </w:numPr>
        <w:shd w:val="clear"/>
        <w:spacing w:before="156" w:beforeLines="50" w:after="156" w:afterLines="50"/>
        <w:ind w:firstLineChars="0"/>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外科医师</w:t>
      </w:r>
    </w:p>
    <w:p w14:paraId="168325DB">
      <w:pPr>
        <w:pStyle w:val="33"/>
        <w:shd w:val="clea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开展IONM的外科医师应具备扎实的甲状腺及喉部解剖知识，熟悉喉返神经及喉上神经的走行与变异，掌握术中神经监测设备的基本原理与操作流程</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接受包括</w:t>
      </w:r>
      <w:r>
        <w:rPr>
          <w:rFonts w:hint="eastAsia" w:ascii="Times New Roman" w:hAnsi="Times New Roman" w:eastAsia="宋体" w:cs="Times New Roman"/>
          <w:bCs/>
          <w:color w:val="000000" w:themeColor="text1"/>
          <w:szCs w:val="21"/>
          <w:highlight w:val="none"/>
          <w14:textFill>
            <w14:solidFill>
              <w14:schemeClr w14:val="tx1"/>
            </w14:solidFill>
          </w14:textFill>
        </w:rPr>
        <w:t>系统建立、</w:t>
      </w:r>
      <w:r>
        <w:rPr>
          <w:rFonts w:ascii="Times New Roman" w:hAnsi="Times New Roman" w:eastAsia="宋体" w:cs="Times New Roman"/>
          <w:bCs/>
          <w:color w:val="000000" w:themeColor="text1"/>
          <w:szCs w:val="21"/>
          <w:highlight w:val="none"/>
          <w14:textFill>
            <w14:solidFill>
              <w14:schemeClr w14:val="tx1"/>
            </w14:solidFill>
          </w14:textFill>
        </w:rPr>
        <w:t>信号解读</w:t>
      </w:r>
      <w:r>
        <w:rPr>
          <w:rFonts w:hint="eastAsia" w:ascii="Times New Roman" w:hAnsi="Times New Roman" w:eastAsia="宋体" w:cs="Times New Roman"/>
          <w:bCs/>
          <w:color w:val="000000" w:themeColor="text1"/>
          <w:szCs w:val="21"/>
          <w:highlight w:val="none"/>
          <w14:textFill>
            <w14:solidFill>
              <w14:schemeClr w14:val="tx1"/>
            </w14:solidFill>
          </w14:textFill>
        </w:rPr>
        <w:t>及</w:t>
      </w:r>
      <w:r>
        <w:rPr>
          <w:rFonts w:ascii="Times New Roman" w:hAnsi="Times New Roman" w:eastAsia="宋体" w:cs="Times New Roman"/>
          <w:bCs/>
          <w:color w:val="000000" w:themeColor="text1"/>
          <w:szCs w:val="21"/>
          <w:highlight w:val="none"/>
          <w14:textFill>
            <w14:solidFill>
              <w14:schemeClr w14:val="tx1"/>
            </w14:solidFill>
          </w14:textFill>
        </w:rPr>
        <w:t>故障排查在内的专项培训，能够依据监测结果实时调整手术操作，以最大限度降低神经损伤风险。外科医师</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宜</w:t>
      </w:r>
      <w:r>
        <w:rPr>
          <w:rFonts w:ascii="Times New Roman" w:hAnsi="Times New Roman" w:eastAsia="宋体" w:cs="Times New Roman"/>
          <w:bCs/>
          <w:color w:val="000000" w:themeColor="text1"/>
          <w:szCs w:val="21"/>
          <w:highlight w:val="none"/>
          <w14:textFill>
            <w14:solidFill>
              <w14:schemeClr w14:val="tx1"/>
            </w14:solidFill>
          </w14:textFill>
        </w:rPr>
        <w:t>在达到一定手术案例积累后方可独立操作IONM。</w:t>
      </w:r>
    </w:p>
    <w:p w14:paraId="3EFB5F20">
      <w:pPr>
        <w:pStyle w:val="33"/>
        <w:numPr>
          <w:ilvl w:val="1"/>
          <w:numId w:val="6"/>
        </w:numPr>
        <w:shd w:val="clear"/>
        <w:spacing w:before="156" w:beforeLines="50" w:after="156" w:afterLines="50"/>
        <w:ind w:firstLineChars="0"/>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培训方式</w:t>
      </w:r>
    </w:p>
    <w:p w14:paraId="077C49CE">
      <w:pPr>
        <w:pStyle w:val="33"/>
        <w:numPr>
          <w:ilvl w:val="2"/>
          <w:numId w:val="6"/>
        </w:numPr>
        <w:shd w:val="clear"/>
        <w:ind w:firstLineChars="0"/>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培训应由具有丰富IONM实践经验和教学资质的培训基地统一组织实施，确保培训过程的规范化与同质化。</w:t>
      </w:r>
    </w:p>
    <w:p w14:paraId="265D8B2B">
      <w:pPr>
        <w:pStyle w:val="33"/>
        <w:numPr>
          <w:ilvl w:val="2"/>
          <w:numId w:val="6"/>
        </w:numPr>
        <w:shd w:val="clear"/>
        <w:ind w:firstLineChars="0"/>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培训可采取“分级能力评估－系统理论授课－模拟及实操技能训练－结业考核认证”相结合的方式进行，以实现从知识到实践能力的全面培养</w:t>
      </w:r>
      <w:r>
        <w:rPr>
          <w:rFonts w:hint="eastAsia" w:ascii="Times New Roman" w:hAnsi="Times New Roman" w:eastAsia="宋体" w:cs="Times New Roman"/>
          <w:bCs/>
          <w:color w:val="000000" w:themeColor="text1"/>
          <w:szCs w:val="21"/>
          <w:highlight w:val="none"/>
          <w14:textFill>
            <w14:solidFill>
              <w14:schemeClr w14:val="tx1"/>
            </w14:solidFill>
          </w14:textFill>
        </w:rPr>
        <w:t>。</w:t>
      </w:r>
    </w:p>
    <w:p w14:paraId="102A3D43">
      <w:pPr>
        <w:pStyle w:val="33"/>
        <w:numPr>
          <w:ilvl w:val="0"/>
          <w:numId w:val="6"/>
        </w:numPr>
        <w:shd w:val="clear"/>
        <w:spacing w:before="312" w:beforeLines="100" w:after="312" w:afterLines="100"/>
        <w:ind w:firstLineChars="0"/>
        <w:outlineLvl w:val="0"/>
        <w:rPr>
          <w:rFonts w:ascii="Times New Roman" w:hAnsi="Times New Roman" w:eastAsia="宋体" w:cs="Times New Roman"/>
          <w:bCs/>
          <w:color w:val="000000" w:themeColor="text1"/>
          <w:szCs w:val="21"/>
          <w:highlight w:val="none"/>
          <w14:textFill>
            <w14:solidFill>
              <w14:schemeClr w14:val="tx1"/>
            </w14:solidFill>
          </w14:textFill>
        </w:rPr>
      </w:pPr>
      <w:bookmarkStart w:id="12" w:name="_Toc207835475"/>
      <w:r>
        <w:rPr>
          <w:rFonts w:hint="eastAsia" w:ascii="黑体" w:hAnsi="黑体" w:eastAsia="黑体" w:cs="黑体"/>
          <w:bCs/>
          <w:color w:val="000000" w:themeColor="text1"/>
          <w:szCs w:val="21"/>
          <w:highlight w:val="none"/>
          <w14:textFill>
            <w14:solidFill>
              <w14:schemeClr w14:val="tx1"/>
            </w14:solidFill>
          </w14:textFill>
        </w:rPr>
        <w:t>适应证</w:t>
      </w:r>
      <w:bookmarkEnd w:id="12"/>
    </w:p>
    <w:p w14:paraId="00A02A1C">
      <w:pPr>
        <w:pStyle w:val="33"/>
        <w:shd w:val="clear"/>
        <w:ind w:firstLineChars="0"/>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IONM技术可用于</w:t>
      </w:r>
      <w:r>
        <w:rPr>
          <w:rFonts w:ascii="Times New Roman" w:hAnsi="Times New Roman" w:eastAsia="宋体" w:cs="Times New Roman"/>
          <w:bCs/>
          <w:color w:val="000000" w:themeColor="text1"/>
          <w:szCs w:val="21"/>
          <w:highlight w:val="none"/>
          <w14:textFill>
            <w14:solidFill>
              <w14:schemeClr w14:val="tx1"/>
            </w14:solidFill>
          </w14:textFill>
        </w:rPr>
        <w:t>各类甲状腺、甲状旁腺及颈部手术中的运动神经功能保护</w:t>
      </w:r>
      <w:r>
        <w:rPr>
          <w:rFonts w:hint="eastAsia" w:ascii="Times New Roman" w:hAnsi="Times New Roman" w:eastAsia="宋体" w:cs="Times New Roman"/>
          <w:bCs/>
          <w:color w:val="000000" w:themeColor="text1"/>
          <w:szCs w:val="21"/>
          <w:highlight w:val="none"/>
          <w14:textFill>
            <w14:solidFill>
              <w14:schemeClr w14:val="tx1"/>
            </w14:solidFill>
          </w14:textFill>
        </w:rPr>
        <w:t>，尤其适用于以下情况：</w:t>
      </w:r>
    </w:p>
    <w:p w14:paraId="38E426F9">
      <w:pPr>
        <w:pStyle w:val="76"/>
        <w:shd w:val="clear"/>
        <w:ind w:left="851" w:hanging="42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神</w:t>
      </w:r>
      <w:r>
        <w:rPr>
          <w:color w:val="000000" w:themeColor="text1"/>
          <w:highlight w:val="none"/>
          <w14:textFill>
            <w14:solidFill>
              <w14:schemeClr w14:val="tx1"/>
            </w14:solidFill>
          </w14:textFill>
        </w:rPr>
        <w:t>经损伤风险较高的手术</w:t>
      </w:r>
      <w:r>
        <w:rPr>
          <w:rFonts w:hint="eastAsia"/>
          <w:color w:val="000000" w:themeColor="text1"/>
          <w:highlight w:val="none"/>
          <w14:textFill>
            <w14:solidFill>
              <w14:schemeClr w14:val="tx1"/>
            </w14:solidFill>
          </w14:textFill>
        </w:rPr>
        <w:t>；</w:t>
      </w:r>
    </w:p>
    <w:p w14:paraId="763C2FFC">
      <w:pPr>
        <w:pStyle w:val="76"/>
        <w:shd w:val="clear"/>
        <w:ind w:left="851" w:hanging="4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操作空间相对狭小的腔镜与机器人手术</w:t>
      </w:r>
      <w:r>
        <w:rPr>
          <w:rFonts w:hint="eastAsia"/>
          <w:color w:val="000000" w:themeColor="text1"/>
          <w:highlight w:val="none"/>
          <w14:textFill>
            <w14:solidFill>
              <w14:schemeClr w14:val="tx1"/>
            </w14:solidFill>
          </w14:textFill>
        </w:rPr>
        <w:t>；</w:t>
      </w:r>
    </w:p>
    <w:p w14:paraId="02FF2A01">
      <w:pPr>
        <w:pStyle w:val="76"/>
        <w:shd w:val="clear"/>
        <w:ind w:left="851" w:hanging="4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对嗓音有较高要求的病人</w:t>
      </w:r>
      <w:r>
        <w:rPr>
          <w:rFonts w:hint="eastAsia"/>
          <w:color w:val="000000" w:themeColor="text1"/>
          <w:highlight w:val="none"/>
          <w14:textFill>
            <w14:solidFill>
              <w14:schemeClr w14:val="tx1"/>
            </w14:solidFill>
          </w14:textFill>
        </w:rPr>
        <w:t>。</w:t>
      </w:r>
    </w:p>
    <w:p w14:paraId="4038E0CF">
      <w:pPr>
        <w:pStyle w:val="33"/>
        <w:numPr>
          <w:ilvl w:val="0"/>
          <w:numId w:val="6"/>
        </w:numPr>
        <w:shd w:val="clear"/>
        <w:spacing w:before="312" w:beforeLines="100" w:after="312" w:afterLines="100"/>
        <w:ind w:firstLineChars="0"/>
        <w:jc w:val="left"/>
        <w:outlineLvl w:val="0"/>
        <w:rPr>
          <w:rFonts w:hint="eastAsia" w:ascii="黑体" w:hAnsi="黑体" w:eastAsia="黑体" w:cs="黑体"/>
          <w:bCs/>
          <w:color w:val="000000" w:themeColor="text1"/>
          <w:szCs w:val="21"/>
          <w:highlight w:val="none"/>
          <w14:textFill>
            <w14:solidFill>
              <w14:schemeClr w14:val="tx1"/>
            </w14:solidFill>
          </w14:textFill>
        </w:rPr>
      </w:pPr>
      <w:bookmarkStart w:id="13" w:name="_Toc207835476"/>
      <w:r>
        <w:rPr>
          <w:rFonts w:hint="eastAsia" w:ascii="黑体" w:hAnsi="黑体" w:eastAsia="黑体" w:cs="黑体"/>
          <w:bCs/>
          <w:color w:val="000000" w:themeColor="text1"/>
          <w:szCs w:val="21"/>
          <w:highlight w:val="none"/>
          <w14:textFill>
            <w14:solidFill>
              <w14:schemeClr w14:val="tx1"/>
            </w14:solidFill>
          </w14:textFill>
        </w:rPr>
        <w:t>基本设备</w:t>
      </w:r>
      <w:bookmarkEnd w:id="13"/>
    </w:p>
    <w:p w14:paraId="6C57C9CD">
      <w:pPr>
        <w:pStyle w:val="33"/>
        <w:numPr>
          <w:ilvl w:val="1"/>
          <w:numId w:val="6"/>
        </w:numPr>
        <w:shd w:val="clear"/>
        <w:spacing w:before="156" w:beforeLines="50" w:after="156" w:afterLines="50"/>
        <w:ind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监测仪主机</w:t>
      </w:r>
    </w:p>
    <w:p w14:paraId="58E0C802">
      <w:pPr>
        <w:pStyle w:val="33"/>
        <w:numPr>
          <w:ilvl w:val="2"/>
          <w:numId w:val="6"/>
        </w:numPr>
        <w:shd w:val="clear"/>
        <w:ind w:firstLineChars="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应</w:t>
      </w:r>
      <w:r>
        <w:rPr>
          <w:rFonts w:ascii="Times New Roman" w:hAnsi="Times New Roman" w:eastAsia="宋体" w:cs="Times New Roman"/>
          <w:bCs/>
          <w:color w:val="000000" w:themeColor="text1"/>
          <w:szCs w:val="21"/>
          <w:highlight w:val="none"/>
          <w14:textFill>
            <w14:solidFill>
              <w14:schemeClr w14:val="tx1"/>
            </w14:solidFill>
          </w14:textFill>
        </w:rPr>
        <w:t>配备</w:t>
      </w:r>
      <w:r>
        <w:rPr>
          <w:rFonts w:hint="eastAsia" w:ascii="Times New Roman" w:hAnsi="Times New Roman" w:eastAsia="宋体" w:cs="Times New Roman"/>
          <w:bCs/>
          <w:color w:val="000000" w:themeColor="text1"/>
          <w:szCs w:val="21"/>
          <w:highlight w:val="none"/>
          <w14:textFill>
            <w14:solidFill>
              <w14:schemeClr w14:val="tx1"/>
            </w14:solidFill>
          </w14:textFill>
        </w:rPr>
        <w:t>监测仪</w:t>
      </w:r>
      <w:r>
        <w:rPr>
          <w:rFonts w:ascii="Times New Roman" w:hAnsi="Times New Roman" w:eastAsia="宋体" w:cs="Times New Roman"/>
          <w:bCs/>
          <w:color w:val="000000" w:themeColor="text1"/>
          <w:szCs w:val="21"/>
          <w:highlight w:val="none"/>
          <w14:textFill>
            <w14:solidFill>
              <w14:schemeClr w14:val="tx1"/>
            </w14:solidFill>
          </w14:textFill>
        </w:rPr>
        <w:t>主机</w:t>
      </w:r>
      <w:r>
        <w:rPr>
          <w:rFonts w:hint="eastAsia" w:ascii="Times New Roman" w:hAnsi="Times New Roman" w:eastAsia="宋体" w:cs="Times New Roman"/>
          <w:bCs/>
          <w:color w:val="000000" w:themeColor="text1"/>
          <w:szCs w:val="21"/>
          <w:highlight w:val="none"/>
          <w14:textFill>
            <w14:solidFill>
              <w14:schemeClr w14:val="tx1"/>
            </w14:solidFill>
          </w14:textFill>
        </w:rPr>
        <w:t>，可集成</w:t>
      </w:r>
      <w:r>
        <w:rPr>
          <w:rFonts w:ascii="Times New Roman" w:hAnsi="Times New Roman" w:eastAsia="宋体" w:cs="Times New Roman"/>
          <w:bCs/>
          <w:color w:val="000000" w:themeColor="text1"/>
          <w:szCs w:val="21"/>
          <w:highlight w:val="none"/>
          <w14:textFill>
            <w14:solidFill>
              <w14:schemeClr w14:val="tx1"/>
            </w14:solidFill>
          </w14:textFill>
        </w:rPr>
        <w:t>电刺激释放、肌电信号处理、信息存储与显示</w:t>
      </w:r>
      <w:r>
        <w:rPr>
          <w:rFonts w:hint="eastAsia" w:ascii="Times New Roman" w:hAnsi="Times New Roman" w:eastAsia="宋体" w:cs="Times New Roman"/>
          <w:bCs/>
          <w:color w:val="000000" w:themeColor="text1"/>
          <w:szCs w:val="21"/>
          <w:highlight w:val="none"/>
          <w14:textFill>
            <w14:solidFill>
              <w14:schemeClr w14:val="tx1"/>
            </w14:solidFill>
          </w14:textFill>
        </w:rPr>
        <w:t>等功能。</w:t>
      </w:r>
    </w:p>
    <w:p w14:paraId="4B2830A0">
      <w:pPr>
        <w:pStyle w:val="33"/>
        <w:numPr>
          <w:ilvl w:val="2"/>
          <w:numId w:val="6"/>
        </w:numPr>
        <w:shd w:val="clear"/>
        <w:ind w:firstLineChars="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监测仪主</w:t>
      </w:r>
      <w:r>
        <w:rPr>
          <w:rFonts w:ascii="Times New Roman" w:hAnsi="Times New Roman" w:eastAsia="宋体" w:cs="Times New Roman"/>
          <w:bCs/>
          <w:color w:val="000000" w:themeColor="text1"/>
          <w:szCs w:val="21"/>
          <w:highlight w:val="none"/>
          <w14:textFill>
            <w14:solidFill>
              <w14:schemeClr w14:val="tx1"/>
            </w14:solidFill>
          </w14:textFill>
        </w:rPr>
        <w:t>机界面</w:t>
      </w:r>
      <w:r>
        <w:rPr>
          <w:rFonts w:hint="eastAsia" w:ascii="Times New Roman" w:hAnsi="Times New Roman" w:eastAsia="宋体" w:cs="Times New Roman"/>
          <w:bCs/>
          <w:color w:val="000000" w:themeColor="text1"/>
          <w:szCs w:val="21"/>
          <w:highlight w:val="none"/>
          <w14:textFill>
            <w14:solidFill>
              <w14:schemeClr w14:val="tx1"/>
            </w14:solidFill>
          </w14:textFill>
        </w:rPr>
        <w:t>宜</w:t>
      </w:r>
      <w:r>
        <w:rPr>
          <w:rFonts w:ascii="Times New Roman" w:hAnsi="Times New Roman" w:eastAsia="宋体" w:cs="Times New Roman"/>
          <w:bCs/>
          <w:color w:val="000000" w:themeColor="text1"/>
          <w:szCs w:val="21"/>
          <w:highlight w:val="none"/>
          <w14:textFill>
            <w14:solidFill>
              <w14:schemeClr w14:val="tx1"/>
            </w14:solidFill>
          </w14:textFill>
        </w:rPr>
        <w:t>支持参数设定，包括事件阈值、刺激电流强度与刺激频率等。</w:t>
      </w:r>
    </w:p>
    <w:p w14:paraId="395D4EFC">
      <w:pPr>
        <w:pStyle w:val="33"/>
        <w:numPr>
          <w:ilvl w:val="1"/>
          <w:numId w:val="6"/>
        </w:numPr>
        <w:shd w:val="clear"/>
        <w:spacing w:before="156" w:beforeLines="50" w:after="156" w:afterLines="50"/>
        <w:ind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刺激端设备</w:t>
      </w:r>
    </w:p>
    <w:p w14:paraId="5E5854B1">
      <w:pPr>
        <w:pStyle w:val="33"/>
        <w:numPr>
          <w:ilvl w:val="2"/>
          <w:numId w:val="6"/>
        </w:numPr>
        <w:shd w:val="clear"/>
        <w:ind w:firstLineChars="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应配备用于释放电流的刺激电极</w:t>
      </w:r>
      <w:r>
        <w:rPr>
          <w:rFonts w:hint="eastAsia" w:ascii="Times New Roman" w:hAnsi="Times New Roman" w:eastAsia="宋体" w:cs="Times New Roman"/>
          <w:bCs/>
          <w:color w:val="000000" w:themeColor="text1"/>
          <w:szCs w:val="21"/>
          <w:highlight w:val="none"/>
          <w14:textFill>
            <w14:solidFill>
              <w14:schemeClr w14:val="tx1"/>
            </w14:solidFill>
          </w14:textFill>
        </w:rPr>
        <w:t>。</w:t>
      </w:r>
    </w:p>
    <w:p w14:paraId="602E2797">
      <w:pPr>
        <w:pStyle w:val="33"/>
        <w:numPr>
          <w:ilvl w:val="2"/>
          <w:numId w:val="6"/>
        </w:numPr>
        <w:shd w:val="clear"/>
        <w:ind w:firstLineChars="0"/>
        <w:jc w:val="left"/>
        <w:rPr>
          <w:rFonts w:hint="eastAsia"/>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I-IONM</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宜</w:t>
      </w:r>
      <w:r>
        <w:rPr>
          <w:rFonts w:hint="eastAsia" w:ascii="Times New Roman" w:hAnsi="Times New Roman" w:eastAsia="宋体" w:cs="Times New Roman"/>
          <w:bCs/>
          <w:color w:val="000000" w:themeColor="text1"/>
          <w:szCs w:val="21"/>
          <w:highlight w:val="none"/>
          <w14:textFill>
            <w14:solidFill>
              <w14:schemeClr w14:val="tx1"/>
            </w14:solidFill>
          </w14:textFill>
        </w:rPr>
        <w:t>选用</w:t>
      </w:r>
      <w:r>
        <w:rPr>
          <w:rFonts w:ascii="Times New Roman" w:hAnsi="Times New Roman" w:eastAsia="宋体" w:cs="Times New Roman"/>
          <w:bCs/>
          <w:color w:val="000000" w:themeColor="text1"/>
          <w:szCs w:val="21"/>
          <w:highlight w:val="none"/>
          <w14:textFill>
            <w14:solidFill>
              <w14:schemeClr w14:val="tx1"/>
            </w14:solidFill>
          </w14:textFill>
        </w:rPr>
        <w:t>单极球头探针式电极</w:t>
      </w:r>
      <w:r>
        <w:rPr>
          <w:rFonts w:hint="eastAsia" w:ascii="Times New Roman" w:hAnsi="Times New Roman" w:eastAsia="宋体" w:cs="Times New Roman"/>
          <w:bCs/>
          <w:color w:val="000000" w:themeColor="text1"/>
          <w:szCs w:val="21"/>
          <w:highlight w:val="none"/>
          <w14:textFill>
            <w14:solidFill>
              <w14:schemeClr w14:val="tx1"/>
            </w14:solidFill>
          </w14:textFill>
        </w:rPr>
        <w:t>，C-IONM</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宜</w:t>
      </w:r>
      <w:r>
        <w:rPr>
          <w:rFonts w:hint="eastAsia" w:ascii="Times New Roman" w:hAnsi="Times New Roman" w:eastAsia="宋体" w:cs="Times New Roman"/>
          <w:bCs/>
          <w:color w:val="000000" w:themeColor="text1"/>
          <w:szCs w:val="21"/>
          <w:highlight w:val="none"/>
          <w14:textFill>
            <w14:solidFill>
              <w14:schemeClr w14:val="tx1"/>
            </w14:solidFill>
          </w14:textFill>
        </w:rPr>
        <w:t>选用迷走神经自动周期刺激电极。</w:t>
      </w:r>
      <w:bookmarkStart w:id="14" w:name="OLE_LINK2"/>
    </w:p>
    <w:bookmarkEnd w:id="14"/>
    <w:p w14:paraId="522D3DF1">
      <w:pPr>
        <w:pStyle w:val="33"/>
        <w:numPr>
          <w:ilvl w:val="1"/>
          <w:numId w:val="6"/>
        </w:numPr>
        <w:shd w:val="clear"/>
        <w:spacing w:before="156" w:beforeLines="50" w:after="156" w:afterLines="50"/>
        <w:ind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记录端设备</w:t>
      </w:r>
    </w:p>
    <w:p w14:paraId="5965A0C1">
      <w:pPr>
        <w:pStyle w:val="33"/>
        <w:numPr>
          <w:ilvl w:val="2"/>
          <w:numId w:val="6"/>
        </w:numPr>
        <w:shd w:val="clear"/>
        <w:ind w:firstLineChars="0"/>
        <w:jc w:val="left"/>
        <w:rPr>
          <w:rFonts w:hint="eastAsia" w:ascii="宋体" w:hAnsi="宋体"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应配备用于接收效应肌EMG的记录电极</w:t>
      </w:r>
      <w:r>
        <w:rPr>
          <w:rFonts w:hint="eastAsia" w:ascii="Times New Roman" w:hAnsi="Times New Roman" w:eastAsia="宋体" w:cs="Times New Roman"/>
          <w:bCs/>
          <w:color w:val="000000" w:themeColor="text1"/>
          <w:szCs w:val="21"/>
          <w:highlight w:val="none"/>
          <w14:textFill>
            <w14:solidFill>
              <w14:schemeClr w14:val="tx1"/>
            </w14:solidFill>
          </w14:textFill>
        </w:rPr>
        <w:t>。</w:t>
      </w:r>
    </w:p>
    <w:p w14:paraId="49497B5B">
      <w:pPr>
        <w:pStyle w:val="33"/>
        <w:numPr>
          <w:ilvl w:val="2"/>
          <w:numId w:val="6"/>
        </w:numPr>
        <w:shd w:val="clear"/>
        <w:ind w:firstLineChars="0"/>
        <w:jc w:val="left"/>
        <w:rPr>
          <w:rFonts w:hint="eastAsia"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Times New Roman"/>
          <w:bCs/>
          <w:color w:val="000000" w:themeColor="text1"/>
          <w:szCs w:val="21"/>
          <w:highlight w:val="none"/>
          <w14:textFill>
            <w14:solidFill>
              <w14:schemeClr w14:val="tx1"/>
            </w14:solidFill>
          </w14:textFill>
        </w:rPr>
        <w:t>记录电极</w:t>
      </w:r>
      <w:r>
        <w:rPr>
          <w:rFonts w:hint="eastAsia" w:ascii="宋体" w:hAnsi="宋体" w:eastAsia="宋体" w:cs="Times New Roman"/>
          <w:bCs/>
          <w:color w:val="000000" w:themeColor="text1"/>
          <w:szCs w:val="21"/>
          <w:highlight w:val="none"/>
          <w:lang w:val="en-US" w:eastAsia="zh-CN"/>
          <w14:textFill>
            <w14:solidFill>
              <w14:schemeClr w14:val="tx1"/>
            </w14:solidFill>
          </w14:textFill>
        </w:rPr>
        <w:t>宜</w:t>
      </w:r>
      <w:r>
        <w:rPr>
          <w:rFonts w:hint="eastAsia" w:ascii="宋体" w:hAnsi="宋体" w:eastAsia="宋体" w:cs="Times New Roman"/>
          <w:bCs/>
          <w:color w:val="000000" w:themeColor="text1"/>
          <w:szCs w:val="21"/>
          <w:highlight w:val="none"/>
          <w14:textFill>
            <w14:solidFill>
              <w14:schemeClr w14:val="tx1"/>
            </w14:solidFill>
          </w14:textFill>
        </w:rPr>
        <w:t>包括气管</w:t>
      </w:r>
      <w:r>
        <w:rPr>
          <w:rFonts w:ascii="宋体" w:hAnsi="宋体" w:eastAsia="宋体" w:cs="Times New Roman"/>
          <w:bCs/>
          <w:color w:val="000000" w:themeColor="text1"/>
          <w:szCs w:val="21"/>
          <w:highlight w:val="none"/>
          <w14:textFill>
            <w14:solidFill>
              <w14:schemeClr w14:val="tx1"/>
            </w14:solidFill>
          </w14:textFill>
        </w:rPr>
        <w:t>导管表面电极和甲状软骨电极。</w:t>
      </w:r>
    </w:p>
    <w:p w14:paraId="4C2B9BCA">
      <w:pPr>
        <w:pStyle w:val="73"/>
        <w:shd w:val="clear"/>
        <w:rPr>
          <w:rFonts w:hint="eastAsia" w:hAnsi="宋体"/>
          <w:bCs/>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气管</w:t>
      </w:r>
      <w:r>
        <w:rPr>
          <w:rFonts w:ascii="Times New Roman"/>
          <w:bCs/>
          <w:color w:val="000000" w:themeColor="text1"/>
          <w:szCs w:val="21"/>
          <w:highlight w:val="none"/>
          <w14:textFill>
            <w14:solidFill>
              <w14:schemeClr w14:val="tx1"/>
            </w14:solidFill>
          </w14:textFill>
        </w:rPr>
        <w:t>导管表面电极</w:t>
      </w:r>
      <w:r>
        <w:rPr>
          <w:rFonts w:hint="eastAsia" w:ascii="Times New Roman"/>
          <w:bCs/>
          <w:color w:val="000000" w:themeColor="text1"/>
          <w:szCs w:val="21"/>
          <w:highlight w:val="none"/>
          <w14:textFill>
            <w14:solidFill>
              <w14:schemeClr w14:val="tx1"/>
            </w14:solidFill>
          </w14:textFill>
        </w:rPr>
        <w:t>：</w:t>
      </w:r>
      <w:r>
        <w:rPr>
          <w:rFonts w:hAnsi="宋体"/>
          <w:bCs/>
          <w:color w:val="000000" w:themeColor="text1"/>
          <w:szCs w:val="21"/>
          <w:highlight w:val="none"/>
          <w14:textFill>
            <w14:solidFill>
              <w14:schemeClr w14:val="tx1"/>
            </w14:solidFill>
          </w14:textFill>
        </w:rPr>
        <w:t>通过</w:t>
      </w:r>
      <w:r>
        <w:rPr>
          <w:rFonts w:hint="eastAsia" w:hAnsi="宋体"/>
          <w:bCs/>
          <w:color w:val="000000" w:themeColor="text1"/>
          <w:szCs w:val="21"/>
          <w:highlight w:val="none"/>
          <w14:textFill>
            <w14:solidFill>
              <w14:schemeClr w14:val="tx1"/>
            </w14:solidFill>
          </w14:textFill>
        </w:rPr>
        <w:t>监测导管的</w:t>
      </w:r>
      <w:r>
        <w:rPr>
          <w:rFonts w:hAnsi="宋体"/>
          <w:bCs/>
          <w:color w:val="000000" w:themeColor="text1"/>
          <w:szCs w:val="21"/>
          <w:highlight w:val="none"/>
          <w14:textFill>
            <w14:solidFill>
              <w14:schemeClr w14:val="tx1"/>
            </w14:solidFill>
          </w14:textFill>
        </w:rPr>
        <w:t>表面电极与声带接触</w:t>
      </w:r>
      <w:r>
        <w:rPr>
          <w:rFonts w:hint="eastAsia" w:hAnsi="宋体"/>
          <w:bCs/>
          <w:color w:val="000000" w:themeColor="text1"/>
          <w:szCs w:val="21"/>
          <w:highlight w:val="none"/>
          <w14:textFill>
            <w14:solidFill>
              <w14:schemeClr w14:val="tx1"/>
            </w14:solidFill>
          </w14:textFill>
        </w:rPr>
        <w:t>，记录声带肌群运动产生的肌电信号。</w:t>
      </w:r>
      <w:r>
        <w:rPr>
          <w:rFonts w:hint="eastAsia" w:ascii="Times New Roman"/>
          <w:bCs/>
          <w:color w:val="000000" w:themeColor="text1"/>
          <w:szCs w:val="21"/>
          <w:highlight w:val="none"/>
          <w14:textFill>
            <w14:solidFill>
              <w14:schemeClr w14:val="tx1"/>
            </w14:solidFill>
          </w14:textFill>
        </w:rPr>
        <w:t>留置时</w:t>
      </w:r>
      <w:r>
        <w:rPr>
          <w:rFonts w:ascii="Times New Roman"/>
          <w:bCs/>
          <w:color w:val="000000" w:themeColor="text1"/>
          <w:szCs w:val="21"/>
          <w:highlight w:val="none"/>
          <w14:textFill>
            <w14:solidFill>
              <w14:schemeClr w14:val="tx1"/>
            </w14:solidFill>
          </w14:textFill>
        </w:rPr>
        <w:t>表面电极与双侧声带</w:t>
      </w:r>
      <w:r>
        <w:rPr>
          <w:rFonts w:hint="eastAsia" w:ascii="Times New Roman"/>
          <w:bCs/>
          <w:color w:val="000000" w:themeColor="text1"/>
          <w:szCs w:val="21"/>
          <w:highlight w:val="none"/>
          <w14:textFill>
            <w14:solidFill>
              <w14:schemeClr w14:val="tx1"/>
            </w14:solidFill>
          </w14:textFill>
        </w:rPr>
        <w:t>应</w:t>
      </w:r>
      <w:r>
        <w:rPr>
          <w:rFonts w:ascii="Times New Roman"/>
          <w:bCs/>
          <w:color w:val="000000" w:themeColor="text1"/>
          <w:szCs w:val="21"/>
          <w:highlight w:val="none"/>
          <w14:textFill>
            <w14:solidFill>
              <w14:schemeClr w14:val="tx1"/>
            </w14:solidFill>
          </w14:textFill>
        </w:rPr>
        <w:t>接触</w:t>
      </w:r>
      <w:r>
        <w:rPr>
          <w:rFonts w:hint="eastAsia" w:ascii="Times New Roman"/>
          <w:bCs/>
          <w:color w:val="000000" w:themeColor="text1"/>
          <w:szCs w:val="21"/>
          <w:highlight w:val="none"/>
          <w:lang w:val="en-US" w:eastAsia="zh-CN"/>
          <w14:textFill>
            <w14:solidFill>
              <w14:schemeClr w14:val="tx1"/>
            </w14:solidFill>
          </w14:textFill>
        </w:rPr>
        <w:t>良好</w:t>
      </w:r>
      <w:r>
        <w:rPr>
          <w:rFonts w:hint="eastAsia" w:ascii="Times New Roman"/>
          <w:bCs/>
          <w:color w:val="000000" w:themeColor="text1"/>
          <w:szCs w:val="21"/>
          <w:highlight w:val="none"/>
          <w14:textFill>
            <w14:solidFill>
              <w14:schemeClr w14:val="tx1"/>
            </w14:solidFill>
          </w14:textFill>
        </w:rPr>
        <w:t>。</w:t>
      </w:r>
    </w:p>
    <w:p w14:paraId="3AEEEEF4">
      <w:pPr>
        <w:pStyle w:val="73"/>
        <w:shd w:val="clear"/>
        <w:rPr>
          <w:rFonts w:hint="eastAsia" w:hAnsi="宋体"/>
          <w:bCs/>
          <w:color w:val="000000" w:themeColor="text1"/>
          <w:szCs w:val="21"/>
          <w:highlight w:val="none"/>
          <w14:textFill>
            <w14:solidFill>
              <w14:schemeClr w14:val="tx1"/>
            </w14:solidFill>
          </w14:textFill>
        </w:rPr>
      </w:pPr>
      <w:r>
        <w:rPr>
          <w:rFonts w:ascii="Times New Roman"/>
          <w:bCs/>
          <w:color w:val="000000" w:themeColor="text1"/>
          <w:szCs w:val="21"/>
          <w:highlight w:val="none"/>
          <w14:textFill>
            <w14:solidFill>
              <w14:schemeClr w14:val="tx1"/>
            </w14:solidFill>
          </w14:textFill>
        </w:rPr>
        <w:t>甲状软骨电极</w:t>
      </w:r>
      <w:r>
        <w:rPr>
          <w:rFonts w:hint="eastAsia" w:ascii="Times New Roman"/>
          <w:bCs/>
          <w:color w:val="000000" w:themeColor="text1"/>
          <w:szCs w:val="21"/>
          <w:highlight w:val="none"/>
          <w14:textFill>
            <w14:solidFill>
              <w14:schemeClr w14:val="tx1"/>
            </w14:solidFill>
          </w14:textFill>
        </w:rPr>
        <w:t>：通过将</w:t>
      </w:r>
      <w:r>
        <w:rPr>
          <w:rFonts w:ascii="Times New Roman"/>
          <w:bCs/>
          <w:color w:val="000000" w:themeColor="text1"/>
          <w:szCs w:val="21"/>
          <w:highlight w:val="none"/>
          <w14:textFill>
            <w14:solidFill>
              <w14:schemeClr w14:val="tx1"/>
            </w14:solidFill>
          </w14:textFill>
        </w:rPr>
        <w:t>电极</w:t>
      </w:r>
      <w:r>
        <w:rPr>
          <w:rFonts w:hint="eastAsia" w:ascii="Times New Roman"/>
          <w:bCs/>
          <w:color w:val="000000" w:themeColor="text1"/>
          <w:szCs w:val="21"/>
          <w:highlight w:val="none"/>
          <w14:textFill>
            <w14:solidFill>
              <w14:schemeClr w14:val="tx1"/>
            </w14:solidFill>
          </w14:textFill>
        </w:rPr>
        <w:t>留</w:t>
      </w:r>
      <w:r>
        <w:rPr>
          <w:rFonts w:ascii="Times New Roman"/>
          <w:bCs/>
          <w:color w:val="000000" w:themeColor="text1"/>
          <w:szCs w:val="21"/>
          <w:highlight w:val="none"/>
          <w14:textFill>
            <w14:solidFill>
              <w14:schemeClr w14:val="tx1"/>
            </w14:solidFill>
          </w14:textFill>
        </w:rPr>
        <w:t>置于甲状软骨</w:t>
      </w:r>
      <w:r>
        <w:rPr>
          <w:rFonts w:hint="eastAsia" w:ascii="Times New Roman"/>
          <w:bCs/>
          <w:color w:val="000000" w:themeColor="text1"/>
          <w:szCs w:val="21"/>
          <w:highlight w:val="none"/>
          <w14:textFill>
            <w14:solidFill>
              <w14:schemeClr w14:val="tx1"/>
            </w14:solidFill>
          </w14:textFill>
        </w:rPr>
        <w:t>处，直接</w:t>
      </w:r>
      <w:r>
        <w:rPr>
          <w:rFonts w:hAnsi="宋体"/>
          <w:bCs/>
          <w:color w:val="000000" w:themeColor="text1"/>
          <w:szCs w:val="21"/>
          <w:highlight w:val="none"/>
          <w14:textFill>
            <w14:solidFill>
              <w14:schemeClr w14:val="tx1"/>
            </w14:solidFill>
          </w14:textFill>
        </w:rPr>
        <w:t>获得肌电信号</w:t>
      </w:r>
      <w:r>
        <w:rPr>
          <w:rFonts w:hint="eastAsia" w:hAnsi="宋体"/>
          <w:bCs/>
          <w:color w:val="000000" w:themeColor="text1"/>
          <w:szCs w:val="21"/>
          <w:highlight w:val="none"/>
          <w14:textFill>
            <w14:solidFill>
              <w14:schemeClr w14:val="tx1"/>
            </w14:solidFill>
          </w14:textFill>
        </w:rPr>
        <w:t>，</w:t>
      </w:r>
      <w:r>
        <w:rPr>
          <w:rFonts w:ascii="Times New Roman"/>
          <w:bCs/>
          <w:color w:val="000000" w:themeColor="text1"/>
          <w:szCs w:val="21"/>
          <w:highlight w:val="none"/>
          <w14:textFill>
            <w14:solidFill>
              <w14:schemeClr w14:val="tx1"/>
            </w14:solidFill>
          </w14:textFill>
        </w:rPr>
        <w:t>在无法使用监测导管或非预期需要时具有优势。</w:t>
      </w:r>
    </w:p>
    <w:p w14:paraId="67BACF68">
      <w:pPr>
        <w:pStyle w:val="33"/>
        <w:numPr>
          <w:ilvl w:val="1"/>
          <w:numId w:val="6"/>
        </w:numPr>
        <w:shd w:val="clear"/>
        <w:spacing w:before="156" w:beforeLines="50" w:after="156" w:afterLines="50"/>
        <w:ind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其他组件</w:t>
      </w:r>
    </w:p>
    <w:p w14:paraId="52490FAD">
      <w:pPr>
        <w:pStyle w:val="33"/>
        <w:numPr>
          <w:ilvl w:val="2"/>
          <w:numId w:val="6"/>
        </w:numPr>
        <w:shd w:val="clear"/>
        <w:ind w:firstLineChars="0"/>
        <w:jc w:val="left"/>
        <w:rPr>
          <w:rFonts w:hint="eastAsia" w:ascii="宋体" w:hAnsi="宋体"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可</w:t>
      </w:r>
      <w:r>
        <w:rPr>
          <w:rFonts w:ascii="Times New Roman" w:hAnsi="Times New Roman" w:eastAsia="宋体" w:cs="Times New Roman"/>
          <w:bCs/>
          <w:color w:val="000000" w:themeColor="text1"/>
          <w:szCs w:val="21"/>
          <w:highlight w:val="none"/>
          <w14:textFill>
            <w14:solidFill>
              <w14:schemeClr w14:val="tx1"/>
            </w14:solidFill>
          </w14:textFill>
        </w:rPr>
        <w:t>配备</w:t>
      </w:r>
      <w:r>
        <w:rPr>
          <w:rFonts w:hint="eastAsia" w:ascii="Times New Roman" w:hAnsi="Times New Roman" w:eastAsia="宋体" w:cs="Times New Roman"/>
          <w:bCs/>
          <w:color w:val="000000" w:themeColor="text1"/>
          <w:szCs w:val="21"/>
          <w:highlight w:val="none"/>
          <w14:textFill>
            <w14:solidFill>
              <w14:schemeClr w14:val="tx1"/>
            </w14:solidFill>
          </w14:textFill>
        </w:rPr>
        <w:t>用于连接各端口电极接线的</w:t>
      </w:r>
      <w:r>
        <w:rPr>
          <w:rFonts w:hint="eastAsia" w:ascii="宋体" w:hAnsi="宋体" w:eastAsia="宋体" w:cs="Times New Roman"/>
          <w:bCs/>
          <w:color w:val="000000" w:themeColor="text1"/>
          <w:szCs w:val="21"/>
          <w:highlight w:val="none"/>
          <w14:textFill>
            <w14:solidFill>
              <w14:schemeClr w14:val="tx1"/>
            </w14:solidFill>
          </w14:textFill>
        </w:rPr>
        <w:t>界</w:t>
      </w:r>
      <w:r>
        <w:rPr>
          <w:rFonts w:ascii="宋体" w:hAnsi="宋体" w:eastAsia="宋体" w:cs="Times New Roman"/>
          <w:bCs/>
          <w:color w:val="000000" w:themeColor="text1"/>
          <w:szCs w:val="21"/>
          <w:highlight w:val="none"/>
          <w14:textFill>
            <w14:solidFill>
              <w14:schemeClr w14:val="tx1"/>
            </w14:solidFill>
          </w14:textFill>
        </w:rPr>
        <w:t>面盒</w:t>
      </w:r>
      <w:r>
        <w:rPr>
          <w:rFonts w:hint="eastAsia" w:ascii="宋体" w:hAnsi="宋体" w:eastAsia="宋体" w:cs="Times New Roman"/>
          <w:bCs/>
          <w:color w:val="000000" w:themeColor="text1"/>
          <w:szCs w:val="21"/>
          <w:highlight w:val="none"/>
          <w14:textFill>
            <w14:solidFill>
              <w14:schemeClr w14:val="tx1"/>
            </w14:solidFill>
          </w14:textFill>
        </w:rPr>
        <w:t>或</w:t>
      </w:r>
      <w:r>
        <w:rPr>
          <w:rFonts w:ascii="宋体" w:hAnsi="宋体" w:eastAsia="宋体" w:cs="Times New Roman"/>
          <w:bCs/>
          <w:color w:val="000000" w:themeColor="text1"/>
          <w:szCs w:val="21"/>
          <w:highlight w:val="none"/>
          <w14:textFill>
            <w14:solidFill>
              <w14:schemeClr w14:val="tx1"/>
            </w14:solidFill>
          </w14:textFill>
        </w:rPr>
        <w:t>线路连接装置</w:t>
      </w:r>
      <w:r>
        <w:rPr>
          <w:rFonts w:hint="eastAsia" w:ascii="宋体" w:hAnsi="宋体" w:eastAsia="宋体" w:cs="Times New Roman"/>
          <w:bCs/>
          <w:color w:val="000000" w:themeColor="text1"/>
          <w:szCs w:val="21"/>
          <w:highlight w:val="none"/>
          <w14:textFill>
            <w14:solidFill>
              <w14:schemeClr w14:val="tx1"/>
            </w14:solidFill>
          </w14:textFill>
        </w:rPr>
        <w:t>。</w:t>
      </w:r>
    </w:p>
    <w:p w14:paraId="294184B6">
      <w:pPr>
        <w:pStyle w:val="33"/>
        <w:numPr>
          <w:ilvl w:val="2"/>
          <w:numId w:val="6"/>
        </w:numPr>
        <w:shd w:val="clear"/>
        <w:ind w:firstLineChars="0"/>
        <w:jc w:val="left"/>
        <w:rPr>
          <w:rFonts w:hint="eastAsia"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Times New Roman"/>
          <w:bCs/>
          <w:color w:val="000000" w:themeColor="text1"/>
          <w:szCs w:val="21"/>
          <w:highlight w:val="none"/>
          <w14:textFill>
            <w14:solidFill>
              <w14:schemeClr w14:val="tx1"/>
            </w14:solidFill>
          </w14:textFill>
        </w:rPr>
        <w:t>可配备相应的其他组件以满足相应的附加功能，如抗干扰装置、储存装置等。</w:t>
      </w:r>
    </w:p>
    <w:p w14:paraId="24155B60">
      <w:pPr>
        <w:pStyle w:val="33"/>
        <w:numPr>
          <w:ilvl w:val="0"/>
          <w:numId w:val="6"/>
        </w:numPr>
        <w:shd w:val="clear"/>
        <w:spacing w:before="312" w:beforeLines="100" w:after="312" w:afterLines="100"/>
        <w:ind w:firstLineChars="0"/>
        <w:jc w:val="left"/>
        <w:outlineLvl w:val="0"/>
        <w:rPr>
          <w:rFonts w:hint="eastAsia" w:ascii="黑体" w:hAnsi="黑体" w:eastAsia="黑体" w:cs="黑体"/>
          <w:bCs/>
          <w:color w:val="000000" w:themeColor="text1"/>
          <w:szCs w:val="21"/>
          <w:highlight w:val="none"/>
          <w14:textFill>
            <w14:solidFill>
              <w14:schemeClr w14:val="tx1"/>
            </w14:solidFill>
          </w14:textFill>
        </w:rPr>
      </w:pPr>
      <w:bookmarkStart w:id="15" w:name="_Toc207835477"/>
      <w:r>
        <w:rPr>
          <w:rFonts w:hint="eastAsia" w:ascii="黑体" w:hAnsi="黑体" w:eastAsia="黑体" w:cs="黑体"/>
          <w:bCs/>
          <w:color w:val="000000" w:themeColor="text1"/>
          <w:szCs w:val="21"/>
          <w:highlight w:val="none"/>
          <w14:textFill>
            <w14:solidFill>
              <w14:schemeClr w14:val="tx1"/>
            </w14:solidFill>
          </w14:textFill>
        </w:rPr>
        <w:t>系统建立</w:t>
      </w:r>
      <w:bookmarkEnd w:id="15"/>
    </w:p>
    <w:p w14:paraId="258FF307">
      <w:pPr>
        <w:pStyle w:val="33"/>
        <w:numPr>
          <w:ilvl w:val="1"/>
          <w:numId w:val="6"/>
        </w:numPr>
        <w:shd w:val="clear"/>
        <w:spacing w:before="156" w:beforeLines="50" w:after="156" w:afterLines="50"/>
        <w:ind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麻醉管理</w:t>
      </w:r>
    </w:p>
    <w:p w14:paraId="66AFCBEA">
      <w:pPr>
        <w:pStyle w:val="33"/>
        <w:numPr>
          <w:ilvl w:val="2"/>
          <w:numId w:val="6"/>
        </w:numPr>
        <w:shd w:val="clear"/>
        <w:ind w:firstLineChars="0"/>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肌松剂应选用中短效非去极化类型</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麻醉诱导时给予1倍ED</w:t>
      </w:r>
      <w:r>
        <w:rPr>
          <w:rFonts w:ascii="Times New Roman" w:hAnsi="Times New Roman" w:eastAsia="宋体" w:cs="Times New Roman"/>
          <w:bCs/>
          <w:color w:val="000000" w:themeColor="text1"/>
          <w:szCs w:val="21"/>
          <w:highlight w:val="none"/>
          <w:vertAlign w:val="subscript"/>
          <w14:textFill>
            <w14:solidFill>
              <w14:schemeClr w14:val="tx1"/>
            </w14:solidFill>
          </w14:textFill>
        </w:rPr>
        <w:t>95</w:t>
      </w:r>
      <w:r>
        <w:rPr>
          <w:rFonts w:ascii="Times New Roman" w:hAnsi="Times New Roman" w:eastAsia="宋体" w:cs="Times New Roman"/>
          <w:bCs/>
          <w:color w:val="000000" w:themeColor="text1"/>
          <w:szCs w:val="21"/>
          <w:highlight w:val="none"/>
          <w14:textFill>
            <w14:solidFill>
              <w14:schemeClr w14:val="tx1"/>
            </w14:solidFill>
          </w14:textFill>
        </w:rPr>
        <w:t>剂量或可适量增加</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术中不宜或仅可少量追加</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必要时可使用拮抗剂</w:t>
      </w:r>
      <w:r>
        <w:rPr>
          <w:rFonts w:hint="eastAsia" w:ascii="Times New Roman" w:hAnsi="Times New Roman" w:eastAsia="宋体" w:cs="Times New Roman"/>
          <w:bCs/>
          <w:color w:val="000000" w:themeColor="text1"/>
          <w:szCs w:val="21"/>
          <w:highlight w:val="none"/>
          <w14:textFill>
            <w14:solidFill>
              <w14:schemeClr w14:val="tx1"/>
            </w14:solidFill>
          </w14:textFill>
        </w:rPr>
        <w:t>。</w:t>
      </w:r>
    </w:p>
    <w:p w14:paraId="3FB92FFA">
      <w:pPr>
        <w:pStyle w:val="33"/>
        <w:numPr>
          <w:ilvl w:val="2"/>
          <w:numId w:val="6"/>
        </w:numPr>
        <w:shd w:val="clear"/>
        <w:ind w:firstLineChars="0"/>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术中</w:t>
      </w:r>
      <w:r>
        <w:rPr>
          <w:rFonts w:ascii="Times New Roman" w:hAnsi="Times New Roman" w:eastAsia="宋体" w:cs="Times New Roman"/>
          <w:bCs/>
          <w:color w:val="000000" w:themeColor="text1"/>
          <w:szCs w:val="21"/>
          <w:highlight w:val="none"/>
          <w14:textFill>
            <w14:solidFill>
              <w14:schemeClr w14:val="tx1"/>
            </w14:solidFill>
          </w14:textFill>
        </w:rPr>
        <w:t>可使用抗胆碱药物减少</w:t>
      </w:r>
      <w:r>
        <w:rPr>
          <w:rFonts w:hint="eastAsia" w:ascii="Times New Roman" w:hAnsi="Times New Roman" w:eastAsia="宋体" w:cs="Times New Roman"/>
          <w:bCs/>
          <w:color w:val="000000" w:themeColor="text1"/>
          <w:szCs w:val="21"/>
          <w:highlight w:val="none"/>
          <w14:textFill>
            <w14:solidFill>
              <w14:schemeClr w14:val="tx1"/>
            </w14:solidFill>
          </w14:textFill>
        </w:rPr>
        <w:t>分泌物，有</w:t>
      </w:r>
      <w:r>
        <w:rPr>
          <w:rFonts w:ascii="Times New Roman" w:hAnsi="Times New Roman" w:eastAsia="宋体" w:cs="Times New Roman"/>
          <w:bCs/>
          <w:color w:val="000000" w:themeColor="text1"/>
          <w:szCs w:val="21"/>
          <w:highlight w:val="none"/>
          <w14:textFill>
            <w14:solidFill>
              <w14:schemeClr w14:val="tx1"/>
            </w14:solidFill>
          </w14:textFill>
        </w:rPr>
        <w:t>助于保持</w:t>
      </w:r>
      <w:r>
        <w:rPr>
          <w:rFonts w:hint="eastAsia" w:ascii="Times New Roman" w:hAnsi="Times New Roman" w:eastAsia="宋体" w:cs="Times New Roman"/>
          <w:bCs/>
          <w:color w:val="000000" w:themeColor="text1"/>
          <w:szCs w:val="21"/>
          <w:highlight w:val="none"/>
          <w14:textFill>
            <w14:solidFill>
              <w14:schemeClr w14:val="tx1"/>
            </w14:solidFill>
          </w14:textFill>
        </w:rPr>
        <w:t>气管导管</w:t>
      </w:r>
      <w:r>
        <w:rPr>
          <w:rFonts w:ascii="Times New Roman" w:hAnsi="Times New Roman" w:eastAsia="宋体" w:cs="Times New Roman"/>
          <w:bCs/>
          <w:color w:val="000000" w:themeColor="text1"/>
          <w:szCs w:val="21"/>
          <w:highlight w:val="none"/>
          <w14:textFill>
            <w14:solidFill>
              <w14:schemeClr w14:val="tx1"/>
            </w14:solidFill>
          </w14:textFill>
        </w:rPr>
        <w:t>表面电极与声带的良好接触。</w:t>
      </w:r>
    </w:p>
    <w:p w14:paraId="05A1B9E9">
      <w:pPr>
        <w:pStyle w:val="33"/>
        <w:numPr>
          <w:ilvl w:val="1"/>
          <w:numId w:val="6"/>
        </w:numPr>
        <w:shd w:val="clear"/>
        <w:spacing w:before="156" w:beforeLines="50" w:after="156" w:afterLines="50"/>
        <w:ind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记录电极</w:t>
      </w:r>
      <w:r>
        <w:rPr>
          <w:rFonts w:ascii="黑体" w:hAnsi="黑体" w:eastAsia="黑体" w:cs="黑体"/>
          <w:bCs/>
          <w:color w:val="000000" w:themeColor="text1"/>
          <w:szCs w:val="21"/>
          <w:highlight w:val="none"/>
          <w14:textFill>
            <w14:solidFill>
              <w14:schemeClr w14:val="tx1"/>
            </w14:solidFill>
          </w14:textFill>
        </w:rPr>
        <w:t>留置</w:t>
      </w:r>
    </w:p>
    <w:p w14:paraId="1AF58EEB">
      <w:pPr>
        <w:pStyle w:val="33"/>
        <w:numPr>
          <w:ilvl w:val="2"/>
          <w:numId w:val="6"/>
        </w:numPr>
        <w:shd w:val="clear"/>
        <w:ind w:firstLineChars="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若选用</w:t>
      </w:r>
      <w:r>
        <w:rPr>
          <w:rFonts w:hint="eastAsia" w:ascii="宋体" w:hAnsi="宋体" w:eastAsia="宋体" w:cs="Times New Roman"/>
          <w:bCs/>
          <w:color w:val="000000" w:themeColor="text1"/>
          <w:szCs w:val="21"/>
          <w:highlight w:val="none"/>
          <w14:textFill>
            <w14:solidFill>
              <w14:schemeClr w14:val="tx1"/>
            </w14:solidFill>
          </w14:textFill>
        </w:rPr>
        <w:t>气管</w:t>
      </w:r>
      <w:r>
        <w:rPr>
          <w:rFonts w:ascii="宋体" w:hAnsi="宋体" w:eastAsia="宋体" w:cs="Times New Roman"/>
          <w:bCs/>
          <w:color w:val="000000" w:themeColor="text1"/>
          <w:szCs w:val="21"/>
          <w:highlight w:val="none"/>
          <w14:textFill>
            <w14:solidFill>
              <w14:schemeClr w14:val="tx1"/>
            </w14:solidFill>
          </w14:textFill>
        </w:rPr>
        <w:t>导管表面电极</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留置时</w:t>
      </w:r>
      <w:r>
        <w:rPr>
          <w:rFonts w:hint="eastAsia" w:ascii="Times New Roman" w:hAnsi="Times New Roman" w:eastAsia="宋体" w:cs="Times New Roman"/>
          <w:bCs/>
          <w:color w:val="000000" w:themeColor="text1"/>
          <w:szCs w:val="21"/>
          <w:highlight w:val="none"/>
          <w14:textFill>
            <w14:solidFill>
              <w14:schemeClr w14:val="tx1"/>
            </w14:solidFill>
          </w14:textFill>
        </w:rPr>
        <w:t>：</w:t>
      </w:r>
    </w:p>
    <w:p w14:paraId="5150E07E">
      <w:pPr>
        <w:pStyle w:val="73"/>
        <w:shd w:val="clear"/>
        <w:rPr>
          <w:rFonts w:hint="eastAsia" w:hAnsi="宋体"/>
          <w:bCs/>
          <w:color w:val="000000" w:themeColor="text1"/>
          <w:szCs w:val="21"/>
          <w:highlight w:val="none"/>
          <w14:textFill>
            <w14:solidFill>
              <w14:schemeClr w14:val="tx1"/>
            </w14:solidFill>
          </w14:textFill>
        </w:rPr>
      </w:pPr>
      <w:r>
        <w:rPr>
          <w:rFonts w:hint="eastAsia" w:ascii="Times New Roman"/>
          <w:bCs/>
          <w:color w:val="000000" w:themeColor="text1"/>
          <w:szCs w:val="21"/>
          <w:highlight w:val="none"/>
          <w:lang w:val="en-US" w:eastAsia="zh-CN"/>
          <w14:textFill>
            <w14:solidFill>
              <w14:schemeClr w14:val="tx1"/>
            </w14:solidFill>
          </w14:textFill>
        </w:rPr>
        <w:t>应</w:t>
      </w:r>
      <w:r>
        <w:rPr>
          <w:rFonts w:ascii="Times New Roman"/>
          <w:bCs/>
          <w:color w:val="000000" w:themeColor="text1"/>
          <w:szCs w:val="21"/>
          <w:highlight w:val="none"/>
          <w14:textFill>
            <w14:solidFill>
              <w14:schemeClr w14:val="tx1"/>
            </w14:solidFill>
          </w14:textFill>
        </w:rPr>
        <w:t>根据病人性别、年龄、体型选用适合的</w:t>
      </w:r>
      <w:r>
        <w:rPr>
          <w:rFonts w:hint="eastAsia" w:ascii="Times New Roman"/>
          <w:bCs/>
          <w:color w:val="000000" w:themeColor="text1"/>
          <w:szCs w:val="21"/>
          <w:highlight w:val="none"/>
          <w14:textFill>
            <w14:solidFill>
              <w14:schemeClr w14:val="tx1"/>
            </w14:solidFill>
          </w14:textFill>
        </w:rPr>
        <w:t>型号；</w:t>
      </w:r>
    </w:p>
    <w:p w14:paraId="75DEAC9C">
      <w:pPr>
        <w:pStyle w:val="73"/>
        <w:shd w:val="clear"/>
        <w:rPr>
          <w:rFonts w:hint="eastAsia" w:hAnsi="宋体"/>
          <w:bCs/>
          <w:color w:val="000000" w:themeColor="text1"/>
          <w:szCs w:val="21"/>
          <w:highlight w:val="none"/>
          <w14:textFill>
            <w14:solidFill>
              <w14:schemeClr w14:val="tx1"/>
            </w14:solidFill>
          </w14:textFill>
        </w:rPr>
      </w:pPr>
      <w:r>
        <w:rPr>
          <w:rFonts w:hint="eastAsia" w:ascii="Times New Roman"/>
          <w:bCs/>
          <w:color w:val="000000" w:themeColor="text1"/>
          <w:szCs w:val="21"/>
          <w:highlight w:val="none"/>
          <w14:textFill>
            <w14:solidFill>
              <w14:schemeClr w14:val="tx1"/>
            </w14:solidFill>
          </w14:textFill>
        </w:rPr>
        <w:t>宜</w:t>
      </w:r>
      <w:r>
        <w:rPr>
          <w:rFonts w:ascii="Times New Roman"/>
          <w:bCs/>
          <w:color w:val="000000" w:themeColor="text1"/>
          <w:szCs w:val="21"/>
          <w:highlight w:val="none"/>
          <w14:textFill>
            <w14:solidFill>
              <w14:schemeClr w14:val="tx1"/>
            </w14:solidFill>
          </w14:textFill>
        </w:rPr>
        <w:t>在可视喉镜引导下留置</w:t>
      </w:r>
      <w:r>
        <w:rPr>
          <w:rFonts w:hint="eastAsia" w:ascii="Times New Roman"/>
          <w:bCs/>
          <w:color w:val="000000" w:themeColor="text1"/>
          <w:szCs w:val="21"/>
          <w:highlight w:val="none"/>
          <w14:textFill>
            <w14:solidFill>
              <w14:schemeClr w14:val="tx1"/>
            </w14:solidFill>
          </w14:textFill>
        </w:rPr>
        <w:t>；</w:t>
      </w:r>
    </w:p>
    <w:p w14:paraId="0BBF3E61">
      <w:pPr>
        <w:pStyle w:val="73"/>
        <w:shd w:val="clear"/>
        <w:rPr>
          <w:rFonts w:hint="eastAsia" w:hAnsi="宋体"/>
          <w:bCs/>
          <w:color w:val="000000" w:themeColor="text1"/>
          <w:szCs w:val="21"/>
          <w:highlight w:val="none"/>
          <w14:textFill>
            <w14:solidFill>
              <w14:schemeClr w14:val="tx1"/>
            </w14:solidFill>
          </w14:textFill>
        </w:rPr>
      </w:pPr>
      <w:r>
        <w:rPr>
          <w:rFonts w:hint="eastAsia" w:ascii="Times New Roman"/>
          <w:bCs/>
          <w:color w:val="000000" w:themeColor="text1"/>
          <w:szCs w:val="21"/>
          <w:highlight w:val="none"/>
          <w:lang w:val="en-US" w:eastAsia="zh-CN"/>
          <w14:textFill>
            <w14:solidFill>
              <w14:schemeClr w14:val="tx1"/>
            </w14:solidFill>
          </w14:textFill>
        </w:rPr>
        <w:t>宜</w:t>
      </w:r>
      <w:r>
        <w:rPr>
          <w:rFonts w:ascii="Times New Roman"/>
          <w:bCs/>
          <w:color w:val="000000" w:themeColor="text1"/>
          <w:szCs w:val="21"/>
          <w:highlight w:val="none"/>
          <w14:textFill>
            <w14:solidFill>
              <w14:schemeClr w14:val="tx1"/>
            </w14:solidFill>
          </w14:textFill>
        </w:rPr>
        <w:t>避免使用润滑油或喉腔喷雾</w:t>
      </w:r>
      <w:r>
        <w:rPr>
          <w:rFonts w:hint="eastAsia" w:ascii="Times New Roman"/>
          <w:bCs/>
          <w:color w:val="000000" w:themeColor="text1"/>
          <w:szCs w:val="21"/>
          <w:highlight w:val="none"/>
          <w14:textFill>
            <w14:solidFill>
              <w14:schemeClr w14:val="tx1"/>
            </w14:solidFill>
          </w14:textFill>
        </w:rPr>
        <w:t>；</w:t>
      </w:r>
    </w:p>
    <w:p w14:paraId="180658A1">
      <w:pPr>
        <w:pStyle w:val="73"/>
        <w:shd w:val="clear"/>
        <w:rPr>
          <w:rFonts w:hint="eastAsia" w:hAnsi="宋体"/>
          <w:bCs/>
          <w:color w:val="000000" w:themeColor="text1"/>
          <w:szCs w:val="21"/>
          <w:highlight w:val="none"/>
          <w14:textFill>
            <w14:solidFill>
              <w14:schemeClr w14:val="tx1"/>
            </w14:solidFill>
          </w14:textFill>
        </w:rPr>
      </w:pPr>
      <w:r>
        <w:rPr>
          <w:rFonts w:hint="eastAsia" w:ascii="Times New Roman"/>
          <w:bCs/>
          <w:color w:val="000000" w:themeColor="text1"/>
          <w:szCs w:val="21"/>
          <w:highlight w:val="none"/>
          <w:lang w:val="en-US" w:eastAsia="zh-CN"/>
          <w14:textFill>
            <w14:solidFill>
              <w14:schemeClr w14:val="tx1"/>
            </w14:solidFill>
          </w14:textFill>
        </w:rPr>
        <w:t>应</w:t>
      </w:r>
      <w:r>
        <w:rPr>
          <w:rFonts w:ascii="Times New Roman"/>
          <w:bCs/>
          <w:color w:val="000000" w:themeColor="text1"/>
          <w:szCs w:val="21"/>
          <w:highlight w:val="none"/>
          <w14:textFill>
            <w14:solidFill>
              <w14:schemeClr w14:val="tx1"/>
            </w14:solidFill>
          </w14:textFill>
        </w:rPr>
        <w:t>确保表面电极与双侧声带良好接触</w:t>
      </w:r>
      <w:r>
        <w:rPr>
          <w:rFonts w:hint="eastAsia" w:ascii="Times New Roman"/>
          <w:bCs/>
          <w:color w:val="000000" w:themeColor="text1"/>
          <w:szCs w:val="21"/>
          <w:highlight w:val="none"/>
          <w14:textFill>
            <w14:solidFill>
              <w14:schemeClr w14:val="tx1"/>
            </w14:solidFill>
          </w14:textFill>
        </w:rPr>
        <w:t>后予以</w:t>
      </w:r>
      <w:r>
        <w:rPr>
          <w:rFonts w:ascii="Times New Roman"/>
          <w:bCs/>
          <w:color w:val="000000" w:themeColor="text1"/>
          <w:szCs w:val="21"/>
          <w:highlight w:val="none"/>
          <w14:textFill>
            <w14:solidFill>
              <w14:schemeClr w14:val="tx1"/>
            </w14:solidFill>
          </w14:textFill>
        </w:rPr>
        <w:t>固定</w:t>
      </w:r>
      <w:r>
        <w:rPr>
          <w:rFonts w:hint="eastAsia" w:ascii="Times New Roman"/>
          <w:bCs/>
          <w:color w:val="000000" w:themeColor="text1"/>
          <w:szCs w:val="21"/>
          <w:highlight w:val="none"/>
          <w14:textFill>
            <w14:solidFill>
              <w14:schemeClr w14:val="tx1"/>
            </w14:solidFill>
          </w14:textFill>
        </w:rPr>
        <w:t>（见附录A</w:t>
      </w:r>
      <w:r>
        <w:rPr>
          <w:rFonts w:hint="eastAsia" w:ascii="Times New Roman"/>
          <w:bCs/>
          <w:color w:val="000000" w:themeColor="text1"/>
          <w:szCs w:val="21"/>
          <w:highlight w:val="none"/>
          <w:lang w:val="en-US" w:eastAsia="zh-CN"/>
          <w14:textFill>
            <w14:solidFill>
              <w14:schemeClr w14:val="tx1"/>
            </w14:solidFill>
          </w14:textFill>
        </w:rPr>
        <w:t>中图A</w:t>
      </w:r>
      <w:r>
        <w:rPr>
          <w:rFonts w:hint="eastAsia" w:ascii="Times New Roman"/>
          <w:bCs/>
          <w:color w:val="000000" w:themeColor="text1"/>
          <w:szCs w:val="21"/>
          <w:highlight w:val="none"/>
          <w14:textFill>
            <w14:solidFill>
              <w14:schemeClr w14:val="tx1"/>
            </w14:solidFill>
          </w14:textFill>
        </w:rPr>
        <w:t>.1）</w:t>
      </w:r>
      <w:r>
        <w:rPr>
          <w:rFonts w:ascii="Times New Roman"/>
          <w:bCs/>
          <w:color w:val="000000" w:themeColor="text1"/>
          <w:szCs w:val="21"/>
          <w:highlight w:val="none"/>
          <w14:textFill>
            <w14:solidFill>
              <w14:schemeClr w14:val="tx1"/>
            </w14:solidFill>
          </w14:textFill>
        </w:rPr>
        <w:t>。</w:t>
      </w:r>
    </w:p>
    <w:p w14:paraId="4235B1DF">
      <w:pPr>
        <w:pStyle w:val="33"/>
        <w:numPr>
          <w:ilvl w:val="2"/>
          <w:numId w:val="6"/>
        </w:numPr>
        <w:shd w:val="clear"/>
        <w:ind w:firstLineChars="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若选用</w:t>
      </w:r>
      <w:r>
        <w:rPr>
          <w:rFonts w:ascii="Times New Roman" w:hAnsi="Times New Roman" w:eastAsia="宋体" w:cs="Times New Roman"/>
          <w:bCs/>
          <w:color w:val="000000" w:themeColor="text1"/>
          <w:szCs w:val="21"/>
          <w:highlight w:val="none"/>
          <w14:textFill>
            <w14:solidFill>
              <w14:schemeClr w14:val="tx1"/>
            </w14:solidFill>
          </w14:textFill>
        </w:rPr>
        <w:t>甲状软骨电极，</w:t>
      </w:r>
      <w:r>
        <w:rPr>
          <w:rFonts w:hint="eastAsia" w:ascii="Times New Roman" w:hAnsi="Times New Roman" w:eastAsia="宋体" w:cs="Times New Roman"/>
          <w:bCs/>
          <w:color w:val="000000" w:themeColor="text1"/>
          <w:szCs w:val="21"/>
          <w:highlight w:val="none"/>
          <w14:textFill>
            <w14:solidFill>
              <w14:schemeClr w14:val="tx1"/>
            </w14:solidFill>
          </w14:textFill>
        </w:rPr>
        <w:t>宜将电极</w:t>
      </w:r>
      <w:r>
        <w:rPr>
          <w:rFonts w:ascii="Times New Roman" w:hAnsi="Times New Roman" w:eastAsia="宋体" w:cs="Times New Roman"/>
          <w:bCs/>
          <w:color w:val="000000" w:themeColor="text1"/>
          <w:szCs w:val="21"/>
          <w:highlight w:val="none"/>
          <w14:textFill>
            <w14:solidFill>
              <w14:schemeClr w14:val="tx1"/>
            </w14:solidFill>
          </w14:textFill>
        </w:rPr>
        <w:t>置于甲状软骨板前角外侧中下部</w:t>
      </w:r>
      <w:r>
        <w:rPr>
          <w:rFonts w:hint="eastAsia" w:ascii="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见</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图</w:t>
      </w:r>
      <w:r>
        <w:rPr>
          <w:rFonts w:hint="eastAsia" w:ascii="Times New Roman" w:hAnsi="Times New Roman" w:eastAsia="宋体" w:cs="Times New Roman"/>
          <w:bCs/>
          <w:color w:val="000000" w:themeColor="text1"/>
          <w:szCs w:val="21"/>
          <w:highlight w:val="none"/>
          <w14:textFill>
            <w14:solidFill>
              <w14:schemeClr w14:val="tx1"/>
            </w14:solidFill>
          </w14:textFill>
        </w:rPr>
        <w:t>A</w:t>
      </w:r>
      <w:r>
        <w:rPr>
          <w:rFonts w:ascii="Times New Roman" w:hAnsi="Times New Roman" w:eastAsia="宋体" w:cs="Times New Roman"/>
          <w:bCs/>
          <w:color w:val="000000" w:themeColor="text1"/>
          <w:szCs w:val="21"/>
          <w:highlight w:val="none"/>
          <w14:textFill>
            <w14:solidFill>
              <w14:schemeClr w14:val="tx1"/>
            </w14:solidFill>
          </w14:textFill>
        </w:rPr>
        <w:t>.2）。</w:t>
      </w:r>
    </w:p>
    <w:p w14:paraId="6A47E4F2">
      <w:pPr>
        <w:pStyle w:val="33"/>
        <w:numPr>
          <w:ilvl w:val="1"/>
          <w:numId w:val="6"/>
        </w:numPr>
        <w:shd w:val="clear"/>
        <w:spacing w:before="156" w:beforeLines="50" w:after="156" w:afterLines="50"/>
        <w:ind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刺激电极选择</w:t>
      </w:r>
    </w:p>
    <w:p w14:paraId="2826957D">
      <w:pPr>
        <w:pStyle w:val="33"/>
        <w:numPr>
          <w:ilvl w:val="2"/>
          <w:numId w:val="6"/>
        </w:numPr>
        <w:shd w:val="clear"/>
        <w:ind w:firstLineChars="0"/>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腔镜与机器人手术</w:t>
      </w:r>
      <w:r>
        <w:rPr>
          <w:rFonts w:hint="eastAsia" w:ascii="Times New Roman" w:hAnsi="Times New Roman" w:eastAsia="宋体" w:cs="Times New Roman"/>
          <w:bCs/>
          <w:color w:val="000000" w:themeColor="text1"/>
          <w:szCs w:val="21"/>
          <w:highlight w:val="none"/>
          <w14:textFill>
            <w14:solidFill>
              <w14:schemeClr w14:val="tx1"/>
            </w14:solidFill>
          </w14:textFill>
        </w:rPr>
        <w:t>中，可采用</w:t>
      </w:r>
      <w:r>
        <w:rPr>
          <w:rFonts w:ascii="Times New Roman" w:hAnsi="Times New Roman" w:eastAsia="宋体" w:cs="Times New Roman"/>
          <w:bCs/>
          <w:color w:val="000000" w:themeColor="text1"/>
          <w:szCs w:val="21"/>
          <w:highlight w:val="none"/>
          <w14:textFill>
            <w14:solidFill>
              <w14:schemeClr w14:val="tx1"/>
            </w14:solidFill>
          </w14:textFill>
        </w:rPr>
        <w:t>“直接法”</w:t>
      </w:r>
      <w:r>
        <w:rPr>
          <w:rFonts w:hint="eastAsia" w:ascii="Times New Roman" w:hAnsi="Times New Roman" w:eastAsia="宋体" w:cs="Times New Roman"/>
          <w:bCs/>
          <w:color w:val="000000" w:themeColor="text1"/>
          <w:szCs w:val="21"/>
          <w:highlight w:val="none"/>
          <w14:textFill>
            <w14:solidFill>
              <w14:schemeClr w14:val="tx1"/>
            </w14:solidFill>
          </w14:textFill>
        </w:rPr>
        <w:t>或</w:t>
      </w:r>
      <w:r>
        <w:rPr>
          <w:rFonts w:ascii="Times New Roman" w:hAnsi="Times New Roman" w:eastAsia="宋体" w:cs="Times New Roman"/>
          <w:bCs/>
          <w:color w:val="000000" w:themeColor="text1"/>
          <w:szCs w:val="21"/>
          <w:highlight w:val="none"/>
          <w14:textFill>
            <w14:solidFill>
              <w14:schemeClr w14:val="tx1"/>
            </w14:solidFill>
          </w14:textFill>
        </w:rPr>
        <w:t>“间接法”进行IONM</w:t>
      </w:r>
      <w:r>
        <w:rPr>
          <w:rFonts w:hint="eastAsia" w:ascii="Times New Roman" w:hAnsi="Times New Roman" w:eastAsia="宋体" w:cs="Times New Roman"/>
          <w:bCs/>
          <w:color w:val="000000" w:themeColor="text1"/>
          <w:szCs w:val="21"/>
          <w:highlight w:val="none"/>
          <w14:textFill>
            <w14:solidFill>
              <w14:schemeClr w14:val="tx1"/>
            </w14:solidFill>
          </w14:textFill>
        </w:rPr>
        <w:t>。</w:t>
      </w:r>
    </w:p>
    <w:p w14:paraId="41E32C54">
      <w:pPr>
        <w:pStyle w:val="73"/>
        <w:shd w:val="clear"/>
        <w:rPr>
          <w:rFonts w:hint="eastAsia" w:hAnsi="宋体"/>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直接法：通过</w:t>
      </w:r>
      <w:r>
        <w:rPr>
          <w:rFonts w:hint="eastAsia" w:ascii="Times New Roman"/>
          <w:bCs/>
          <w:color w:val="000000" w:themeColor="text1"/>
          <w:szCs w:val="21"/>
          <w:highlight w:val="none"/>
          <w14:textFill>
            <w14:solidFill>
              <w14:schemeClr w14:val="tx1"/>
            </w14:solidFill>
          </w14:textFill>
        </w:rPr>
        <w:t>“</w:t>
      </w:r>
      <w:r>
        <w:rPr>
          <w:rFonts w:ascii="Times New Roman"/>
          <w:bCs/>
          <w:color w:val="000000" w:themeColor="text1"/>
          <w:szCs w:val="21"/>
          <w:highlight w:val="none"/>
          <w14:textFill>
            <w14:solidFill>
              <w14:schemeClr w14:val="tx1"/>
            </w14:solidFill>
          </w14:textFill>
        </w:rPr>
        <w:t>经皮穿刺法</w:t>
      </w:r>
      <w:r>
        <w:rPr>
          <w:rFonts w:hint="eastAsia" w:ascii="Times New Roman"/>
          <w:bCs/>
          <w:color w:val="000000" w:themeColor="text1"/>
          <w:szCs w:val="21"/>
          <w:highlight w:val="none"/>
          <w14:textFill>
            <w14:solidFill>
              <w14:schemeClr w14:val="tx1"/>
            </w14:solidFill>
          </w14:textFill>
        </w:rPr>
        <w:t>”</w:t>
      </w:r>
      <w:r>
        <w:rPr>
          <w:rFonts w:ascii="Times New Roman"/>
          <w:bCs/>
          <w:color w:val="000000" w:themeColor="text1"/>
          <w:szCs w:val="21"/>
          <w:highlight w:val="none"/>
          <w14:textFill>
            <w14:solidFill>
              <w14:schemeClr w14:val="tx1"/>
            </w14:solidFill>
          </w14:textFill>
        </w:rPr>
        <w:t>将刺激探针经甲状腺平面颈前正中区域皮肤垂直刺入术区腔隙内进行监测</w:t>
      </w:r>
      <w:r>
        <w:rPr>
          <w:rFonts w:hint="eastAsia" w:ascii="Times New Roman"/>
          <w:bCs/>
          <w:color w:val="000000" w:themeColor="text1"/>
          <w:szCs w:val="21"/>
          <w:highlight w:val="none"/>
          <w14:textFill>
            <w14:solidFill>
              <w14:schemeClr w14:val="tx1"/>
            </w14:solidFill>
          </w14:textFill>
        </w:rPr>
        <w:t>。</w:t>
      </w:r>
    </w:p>
    <w:p w14:paraId="1F910476">
      <w:pPr>
        <w:pStyle w:val="73"/>
        <w:shd w:val="clear"/>
        <w:rPr>
          <w:rFonts w:hint="eastAsia" w:hAnsi="宋体"/>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间接法：</w:t>
      </w:r>
      <w:r>
        <w:rPr>
          <w:rFonts w:ascii="Times New Roman"/>
          <w:bCs/>
          <w:color w:val="000000" w:themeColor="text1"/>
          <w:szCs w:val="21"/>
          <w:highlight w:val="none"/>
          <w14:textFill>
            <w14:solidFill>
              <w14:schemeClr w14:val="tx1"/>
            </w14:solidFill>
          </w14:textFill>
        </w:rPr>
        <w:t>应用不同类型的集成刺激电极</w:t>
      </w:r>
      <w:r>
        <w:rPr>
          <w:rFonts w:hint="eastAsia" w:ascii="Times New Roman"/>
          <w:bCs/>
          <w:color w:val="000000" w:themeColor="text1"/>
          <w:szCs w:val="21"/>
          <w:highlight w:val="none"/>
          <w14:textFill>
            <w14:solidFill>
              <w14:schemeClr w14:val="tx1"/>
            </w14:solidFill>
          </w14:textFill>
        </w:rPr>
        <w:t>，</w:t>
      </w:r>
      <w:r>
        <w:rPr>
          <w:rFonts w:ascii="Times New Roman"/>
          <w:bCs/>
          <w:color w:val="000000" w:themeColor="text1"/>
          <w:szCs w:val="21"/>
          <w:highlight w:val="none"/>
          <w14:textFill>
            <w14:solidFill>
              <w14:schemeClr w14:val="tx1"/>
            </w14:solidFill>
          </w14:textFill>
        </w:rPr>
        <w:t>同步进行手术操作与神经探测</w:t>
      </w:r>
      <w:r>
        <w:rPr>
          <w:rFonts w:hint="eastAsia" w:ascii="Times New Roman"/>
          <w:bCs/>
          <w:color w:val="000000" w:themeColor="text1"/>
          <w:szCs w:val="21"/>
          <w:highlight w:val="none"/>
          <w14:textFill>
            <w14:solidFill>
              <w14:schemeClr w14:val="tx1"/>
            </w14:solidFill>
          </w14:textFill>
        </w:rPr>
        <w:t>。</w:t>
      </w:r>
    </w:p>
    <w:p w14:paraId="060D9B45">
      <w:pPr>
        <w:pStyle w:val="33"/>
        <w:numPr>
          <w:ilvl w:val="2"/>
          <w:numId w:val="6"/>
        </w:numPr>
        <w:shd w:val="clear"/>
        <w:ind w:firstLineChars="0"/>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进行</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VN的</w:t>
      </w:r>
      <w:r>
        <w:rPr>
          <w:rFonts w:hint="eastAsia" w:ascii="Times New Roman" w:hAnsi="Times New Roman" w:eastAsia="宋体" w:cs="Times New Roman"/>
          <w:bCs/>
          <w:color w:val="000000" w:themeColor="text1"/>
          <w:szCs w:val="21"/>
          <w:highlight w:val="none"/>
          <w14:textFill>
            <w14:solidFill>
              <w14:schemeClr w14:val="tx1"/>
            </w14:solidFill>
          </w14:textFill>
        </w:rPr>
        <w:t>C-IONM时，留置自动周期刺激电极需</w:t>
      </w:r>
      <w:r>
        <w:rPr>
          <w:rFonts w:ascii="Times New Roman" w:hAnsi="Times New Roman" w:eastAsia="宋体" w:cs="Times New Roman"/>
          <w:color w:val="000000" w:themeColor="text1"/>
          <w:highlight w:val="none"/>
          <w14:textFill>
            <w14:solidFill>
              <w14:schemeClr w14:val="tx1"/>
            </w14:solidFill>
          </w14:textFill>
        </w:rPr>
        <w:t>解剖游离</w:t>
      </w:r>
      <w:r>
        <w:rPr>
          <w:rFonts w:hint="eastAsia" w:ascii="Times New Roman" w:hAnsi="Times New Roman" w:eastAsia="宋体" w:cs="Times New Roman"/>
          <w:color w:val="000000" w:themeColor="text1"/>
          <w:highlight w:val="none"/>
          <w14:textFill>
            <w14:solidFill>
              <w14:schemeClr w14:val="tx1"/>
            </w14:solidFill>
          </w14:textFill>
        </w:rPr>
        <w:t>VN</w:t>
      </w:r>
      <w:r>
        <w:rPr>
          <w:rFonts w:ascii="Times New Roman" w:hAnsi="Times New Roman" w:eastAsia="宋体" w:cs="Times New Roman"/>
          <w:color w:val="000000" w:themeColor="text1"/>
          <w:highlight w:val="none"/>
          <w14:textFill>
            <w14:solidFill>
              <w14:schemeClr w14:val="tx1"/>
            </w14:solidFill>
          </w14:textFill>
        </w:rPr>
        <w:t>，操作应细致谨慎，避免医源性损伤。</w:t>
      </w:r>
    </w:p>
    <w:p w14:paraId="00638B0D">
      <w:pPr>
        <w:pStyle w:val="33"/>
        <w:numPr>
          <w:ilvl w:val="1"/>
          <w:numId w:val="6"/>
        </w:numPr>
        <w:shd w:val="clear"/>
        <w:spacing w:before="156" w:beforeLines="50" w:after="156" w:afterLines="50"/>
        <w:ind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监测回路连接</w:t>
      </w:r>
    </w:p>
    <w:p w14:paraId="7842F5EA">
      <w:pPr>
        <w:pStyle w:val="33"/>
        <w:numPr>
          <w:ilvl w:val="2"/>
          <w:numId w:val="6"/>
        </w:numPr>
        <w:shd w:val="clear"/>
        <w:ind w:firstLineChars="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刺激端的回路电极和记录端的接地电极</w:t>
      </w:r>
      <w:r>
        <w:rPr>
          <w:rFonts w:hint="eastAsia" w:ascii="Times New Roman" w:hAnsi="Times New Roman" w:eastAsia="宋体" w:cs="Times New Roman"/>
          <w:bCs/>
          <w:color w:val="000000" w:themeColor="text1"/>
          <w:szCs w:val="21"/>
          <w:highlight w:val="none"/>
          <w14:textFill>
            <w14:solidFill>
              <w14:schemeClr w14:val="tx1"/>
            </w14:solidFill>
          </w14:textFill>
        </w:rPr>
        <w:t>，应</w:t>
      </w:r>
      <w:r>
        <w:rPr>
          <w:rFonts w:ascii="Times New Roman" w:hAnsi="Times New Roman" w:eastAsia="宋体" w:cs="Times New Roman"/>
          <w:bCs/>
          <w:color w:val="000000" w:themeColor="text1"/>
          <w:szCs w:val="21"/>
          <w:highlight w:val="none"/>
          <w14:textFill>
            <w14:solidFill>
              <w14:schemeClr w14:val="tx1"/>
            </w14:solidFill>
          </w14:textFill>
        </w:rPr>
        <w:t>根据术式留置在</w:t>
      </w:r>
      <w:r>
        <w:rPr>
          <w:rFonts w:hint="eastAsia" w:ascii="Times New Roman" w:hAnsi="Times New Roman" w:eastAsia="宋体" w:cs="Times New Roman"/>
          <w:bCs/>
          <w:color w:val="000000" w:themeColor="text1"/>
          <w:szCs w:val="21"/>
          <w:highlight w:val="none"/>
          <w14:textFill>
            <w14:solidFill>
              <w14:schemeClr w14:val="tx1"/>
            </w14:solidFill>
          </w14:textFill>
        </w:rPr>
        <w:t>适宜</w:t>
      </w:r>
      <w:r>
        <w:rPr>
          <w:rFonts w:ascii="Times New Roman" w:hAnsi="Times New Roman" w:eastAsia="宋体" w:cs="Times New Roman"/>
          <w:bCs/>
          <w:color w:val="000000" w:themeColor="text1"/>
          <w:szCs w:val="21"/>
          <w:highlight w:val="none"/>
          <w14:textFill>
            <w14:solidFill>
              <w14:schemeClr w14:val="tx1"/>
            </w14:solidFill>
          </w14:textFill>
        </w:rPr>
        <w:t>区域</w:t>
      </w:r>
      <w:r>
        <w:rPr>
          <w:rFonts w:hint="eastAsia" w:ascii="Times New Roman" w:hAnsi="Times New Roman" w:eastAsia="宋体" w:cs="Times New Roman"/>
          <w:bCs/>
          <w:color w:val="000000" w:themeColor="text1"/>
          <w:szCs w:val="21"/>
          <w:highlight w:val="none"/>
          <w14:textFill>
            <w14:solidFill>
              <w14:schemeClr w14:val="tx1"/>
            </w14:solidFill>
          </w14:textFill>
        </w:rPr>
        <w:t>皮下，</w:t>
      </w:r>
      <w:r>
        <w:rPr>
          <w:rFonts w:ascii="Times New Roman" w:hAnsi="Times New Roman" w:eastAsia="宋体" w:cs="Times New Roman"/>
          <w:bCs/>
          <w:color w:val="000000" w:themeColor="text1"/>
          <w:szCs w:val="21"/>
          <w:highlight w:val="none"/>
          <w14:textFill>
            <w14:solidFill>
              <w14:schemeClr w14:val="tx1"/>
            </w14:solidFill>
          </w14:textFill>
        </w:rPr>
        <w:t>如胸部剑突下、肩部三角肌等</w:t>
      </w:r>
      <w:r>
        <w:rPr>
          <w:rFonts w:hint="eastAsia" w:ascii="Times New Roman" w:hAnsi="Times New Roman" w:eastAsia="宋体" w:cs="Times New Roman"/>
          <w:bCs/>
          <w:color w:val="000000" w:themeColor="text1"/>
          <w:szCs w:val="21"/>
          <w:highlight w:val="none"/>
          <w14:textFill>
            <w14:solidFill>
              <w14:schemeClr w14:val="tx1"/>
            </w14:solidFill>
          </w14:textFill>
        </w:rPr>
        <w:t>，二者</w:t>
      </w:r>
      <w:r>
        <w:rPr>
          <w:rFonts w:ascii="Times New Roman" w:hAnsi="Times New Roman" w:eastAsia="宋体" w:cs="Times New Roman"/>
          <w:bCs/>
          <w:color w:val="000000" w:themeColor="text1"/>
          <w:szCs w:val="21"/>
          <w:highlight w:val="none"/>
          <w14:textFill>
            <w14:solidFill>
              <w14:schemeClr w14:val="tx1"/>
            </w14:solidFill>
          </w14:textFill>
        </w:rPr>
        <w:t>间隔1.0 cm左右</w:t>
      </w:r>
      <w:r>
        <w:rPr>
          <w:rFonts w:hint="eastAsia" w:ascii="Times New Roman" w:hAnsi="Times New Roman" w:eastAsia="宋体" w:cs="Times New Roman"/>
          <w:bCs/>
          <w:color w:val="000000" w:themeColor="text1"/>
          <w:szCs w:val="21"/>
          <w:highlight w:val="none"/>
          <w14:textFill>
            <w14:solidFill>
              <w14:schemeClr w14:val="tx1"/>
            </w14:solidFill>
          </w14:textFill>
        </w:rPr>
        <w:t>，予以</w:t>
      </w:r>
      <w:r>
        <w:rPr>
          <w:rFonts w:ascii="Times New Roman" w:hAnsi="Times New Roman" w:eastAsia="宋体" w:cs="Times New Roman"/>
          <w:bCs/>
          <w:color w:val="000000" w:themeColor="text1"/>
          <w:szCs w:val="21"/>
          <w:highlight w:val="none"/>
          <w14:textFill>
            <w14:solidFill>
              <w14:schemeClr w14:val="tx1"/>
            </w14:solidFill>
          </w14:textFill>
        </w:rPr>
        <w:t>妥善固定。</w:t>
      </w:r>
    </w:p>
    <w:p w14:paraId="386401CA">
      <w:pPr>
        <w:pStyle w:val="33"/>
        <w:numPr>
          <w:ilvl w:val="2"/>
          <w:numId w:val="6"/>
        </w:numPr>
        <w:shd w:val="clear"/>
        <w:ind w:firstLineChars="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应用C-IONM时</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连续监测电极</w:t>
      </w:r>
      <w:r>
        <w:rPr>
          <w:rFonts w:hint="eastAsia" w:ascii="Times New Roman" w:hAnsi="Times New Roman" w:eastAsia="宋体" w:cs="Times New Roman"/>
          <w:bCs/>
          <w:color w:val="000000" w:themeColor="text1"/>
          <w:szCs w:val="21"/>
          <w:highlight w:val="none"/>
          <w14:textFill>
            <w14:solidFill>
              <w14:schemeClr w14:val="tx1"/>
            </w14:solidFill>
          </w14:textFill>
        </w:rPr>
        <w:t>还需</w:t>
      </w:r>
      <w:r>
        <w:rPr>
          <w:rFonts w:ascii="Times New Roman" w:hAnsi="Times New Roman" w:eastAsia="宋体" w:cs="Times New Roman"/>
          <w:bCs/>
          <w:color w:val="000000" w:themeColor="text1"/>
          <w:szCs w:val="21"/>
          <w:highlight w:val="none"/>
          <w14:textFill>
            <w14:solidFill>
              <w14:schemeClr w14:val="tx1"/>
            </w14:solidFill>
          </w14:textFill>
        </w:rPr>
        <w:t>留置相应的回路电极。</w:t>
      </w:r>
    </w:p>
    <w:p w14:paraId="160DA61C">
      <w:pPr>
        <w:pStyle w:val="33"/>
        <w:numPr>
          <w:ilvl w:val="2"/>
          <w:numId w:val="6"/>
        </w:numPr>
        <w:shd w:val="clear"/>
        <w:ind w:firstLineChars="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将各个电极的接头</w:t>
      </w:r>
      <w:r>
        <w:rPr>
          <w:rFonts w:ascii="Times New Roman" w:hAnsi="Times New Roman" w:eastAsia="宋体" w:cs="Times New Roman"/>
          <w:bCs/>
          <w:color w:val="000000" w:themeColor="text1"/>
          <w:szCs w:val="21"/>
          <w:highlight w:val="none"/>
          <w14:textFill>
            <w14:solidFill>
              <w14:schemeClr w14:val="tx1"/>
            </w14:solidFill>
          </w14:textFill>
        </w:rPr>
        <w:t>插入连接装置</w:t>
      </w:r>
      <w:r>
        <w:rPr>
          <w:rFonts w:hint="eastAsia" w:ascii="Times New Roman" w:hAnsi="Times New Roman" w:eastAsia="宋体" w:cs="Times New Roman"/>
          <w:bCs/>
          <w:color w:val="000000" w:themeColor="text1"/>
          <w:szCs w:val="21"/>
          <w:highlight w:val="none"/>
          <w14:textFill>
            <w14:solidFill>
              <w14:schemeClr w14:val="tx1"/>
            </w14:solidFill>
          </w14:textFill>
        </w:rPr>
        <w:t>的</w:t>
      </w:r>
      <w:r>
        <w:rPr>
          <w:rFonts w:ascii="Times New Roman" w:hAnsi="Times New Roman" w:eastAsia="宋体" w:cs="Times New Roman"/>
          <w:bCs/>
          <w:color w:val="000000" w:themeColor="text1"/>
          <w:szCs w:val="21"/>
          <w:highlight w:val="none"/>
          <w14:textFill>
            <w14:solidFill>
              <w14:schemeClr w14:val="tx1"/>
            </w14:solidFill>
          </w14:textFill>
        </w:rPr>
        <w:t>相应接口。</w:t>
      </w:r>
    </w:p>
    <w:p w14:paraId="137B319C">
      <w:pPr>
        <w:pStyle w:val="33"/>
        <w:numPr>
          <w:ilvl w:val="1"/>
          <w:numId w:val="6"/>
        </w:numPr>
        <w:shd w:val="clear"/>
        <w:spacing w:before="156" w:beforeLines="50" w:after="156" w:afterLines="50"/>
        <w:ind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主机参数设置</w:t>
      </w:r>
    </w:p>
    <w:p w14:paraId="301DBC93">
      <w:pPr>
        <w:pStyle w:val="33"/>
        <w:numPr>
          <w:ilvl w:val="2"/>
          <w:numId w:val="6"/>
        </w:numPr>
        <w:shd w:val="clear"/>
        <w:ind w:firstLineChars="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所有设备连接完成后开启主机</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首先</w:t>
      </w:r>
      <w:r>
        <w:rPr>
          <w:rFonts w:hint="eastAsia" w:ascii="Times New Roman" w:hAnsi="Times New Roman" w:eastAsia="宋体" w:cs="Times New Roman"/>
          <w:bCs/>
          <w:color w:val="000000" w:themeColor="text1"/>
          <w:szCs w:val="21"/>
          <w:highlight w:val="none"/>
          <w14:textFill>
            <w14:solidFill>
              <w14:schemeClr w14:val="tx1"/>
            </w14:solidFill>
          </w14:textFill>
        </w:rPr>
        <w:t>应</w:t>
      </w:r>
      <w:r>
        <w:rPr>
          <w:rFonts w:ascii="Times New Roman" w:hAnsi="Times New Roman" w:eastAsia="宋体" w:cs="Times New Roman"/>
          <w:bCs/>
          <w:color w:val="000000" w:themeColor="text1"/>
          <w:szCs w:val="21"/>
          <w:highlight w:val="none"/>
          <w14:textFill>
            <w14:solidFill>
              <w14:schemeClr w14:val="tx1"/>
            </w14:solidFill>
          </w14:textFill>
        </w:rPr>
        <w:t>检查记录电极阻抗，</w:t>
      </w:r>
      <w:r>
        <w:rPr>
          <w:rFonts w:hint="eastAsia" w:ascii="Times New Roman" w:hAnsi="Times New Roman" w:eastAsia="宋体" w:cs="Times New Roman"/>
          <w:bCs/>
          <w:color w:val="000000" w:themeColor="text1"/>
          <w:szCs w:val="21"/>
          <w:highlight w:val="none"/>
          <w14:textFill>
            <w14:solidFill>
              <w14:schemeClr w14:val="tx1"/>
            </w14:solidFill>
          </w14:textFill>
        </w:rPr>
        <w:t>并对</w:t>
      </w:r>
      <w:r>
        <w:rPr>
          <w:rFonts w:ascii="Times New Roman" w:hAnsi="Times New Roman" w:eastAsia="宋体" w:cs="Times New Roman"/>
          <w:bCs/>
          <w:color w:val="000000" w:themeColor="text1"/>
          <w:szCs w:val="21"/>
          <w:highlight w:val="none"/>
          <w14:textFill>
            <w14:solidFill>
              <w14:schemeClr w14:val="tx1"/>
            </w14:solidFill>
          </w14:textFill>
        </w:rPr>
        <w:t>异常阻抗进行纠正</w:t>
      </w:r>
      <w:r>
        <w:rPr>
          <w:rFonts w:hint="eastAsia" w:ascii="Times New Roman" w:hAnsi="Times New Roman" w:eastAsia="宋体" w:cs="Times New Roman"/>
          <w:bCs/>
          <w:color w:val="000000" w:themeColor="text1"/>
          <w:szCs w:val="21"/>
          <w:highlight w:val="none"/>
          <w14:textFill>
            <w14:solidFill>
              <w14:schemeClr w14:val="tx1"/>
            </w14:solidFill>
          </w14:textFill>
        </w:rPr>
        <w:t>。</w:t>
      </w:r>
    </w:p>
    <w:p w14:paraId="1DD8FB6E">
      <w:pPr>
        <w:pStyle w:val="33"/>
        <w:numPr>
          <w:ilvl w:val="2"/>
          <w:numId w:val="6"/>
        </w:numPr>
        <w:shd w:val="clear"/>
        <w:ind w:firstLineChars="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根据手术需要</w:t>
      </w:r>
      <w:r>
        <w:rPr>
          <w:rFonts w:hint="eastAsia" w:ascii="Times New Roman" w:hAnsi="Times New Roman" w:eastAsia="宋体" w:cs="Times New Roman"/>
          <w:bCs/>
          <w:color w:val="000000" w:themeColor="text1"/>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设置</w:t>
      </w:r>
      <w:r>
        <w:rPr>
          <w:rFonts w:hint="eastAsia" w:ascii="Times New Roman" w:hAnsi="Times New Roman" w:eastAsia="宋体" w:cs="Times New Roman"/>
          <w:bCs/>
          <w:color w:val="000000" w:themeColor="text1"/>
          <w:szCs w:val="21"/>
          <w:highlight w:val="none"/>
          <w14:textFill>
            <w14:solidFill>
              <w14:schemeClr w14:val="tx1"/>
            </w14:solidFill>
          </w14:textFill>
        </w:rPr>
        <w:t>事件阈值、电流强度、电流频率等参数。</w:t>
      </w:r>
    </w:p>
    <w:p w14:paraId="2D216469">
      <w:pPr>
        <w:pStyle w:val="33"/>
        <w:numPr>
          <w:ilvl w:val="2"/>
          <w:numId w:val="6"/>
        </w:numPr>
        <w:shd w:val="clear"/>
        <w:ind w:firstLineChars="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检查回路连通性，</w:t>
      </w:r>
      <w:r>
        <w:rPr>
          <w:rFonts w:ascii="Times New Roman" w:hAnsi="Times New Roman" w:eastAsia="宋体" w:cs="Times New Roman"/>
          <w:color w:val="000000" w:themeColor="text1"/>
          <w:szCs w:val="21"/>
          <w:highlight w:val="none"/>
          <w14:textFill>
            <w14:solidFill>
              <w14:schemeClr w14:val="tx1"/>
            </w14:solidFill>
          </w14:textFill>
        </w:rPr>
        <w:t>游离皮瓣后</w:t>
      </w:r>
      <w:r>
        <w:rPr>
          <w:rFonts w:hint="eastAsia" w:ascii="Times New Roman" w:hAnsi="Times New Roman" w:eastAsia="宋体" w:cs="Times New Roman"/>
          <w:color w:val="000000" w:themeColor="text1"/>
          <w:szCs w:val="21"/>
          <w:highlight w:val="none"/>
          <w14:textFill>
            <w14:solidFill>
              <w14:schemeClr w14:val="tx1"/>
            </w14:solidFill>
          </w14:textFill>
        </w:rPr>
        <w:t>，调</w:t>
      </w:r>
      <w:r>
        <w:rPr>
          <w:rFonts w:ascii="Times New Roman" w:hAnsi="Times New Roman" w:eastAsia="宋体" w:cs="Times New Roman"/>
          <w:color w:val="000000" w:themeColor="text1"/>
          <w:szCs w:val="21"/>
          <w:highlight w:val="none"/>
          <w14:textFill>
            <w14:solidFill>
              <w14:schemeClr w14:val="tx1"/>
            </w14:solidFill>
          </w14:textFill>
        </w:rPr>
        <w:t>节刺激电流1.0 mA探测颈前肌肉组织</w:t>
      </w:r>
      <w:r>
        <w:rPr>
          <w:rFonts w:hint="eastAsia" w:ascii="Times New Roman" w:hAnsi="Times New Roman" w:eastAsia="宋体" w:cs="Times New Roman"/>
          <w:color w:val="000000" w:themeColor="text1"/>
          <w:szCs w:val="21"/>
          <w:highlight w:val="none"/>
          <w14:textFill>
            <w14:solidFill>
              <w14:schemeClr w14:val="tx1"/>
            </w14:solidFill>
          </w14:textFill>
        </w:rPr>
        <w:t>，观察肌肉收缩情况，</w:t>
      </w:r>
      <w:r>
        <w:rPr>
          <w:rFonts w:ascii="Times New Roman" w:hAnsi="Times New Roman" w:eastAsia="宋体" w:cs="Times New Roman"/>
          <w:color w:val="000000" w:themeColor="text1"/>
          <w:szCs w:val="21"/>
          <w:highlight w:val="none"/>
          <w14:textFill>
            <w14:solidFill>
              <w14:schemeClr w14:val="tx1"/>
            </w14:solidFill>
          </w14:textFill>
        </w:rPr>
        <w:t>确认探针可有效释放电流。显露术区后</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调节刺激电流3.0 mA探测颈动脉鞘区域获得VN肌电信号</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提示监测系统建立成功。</w:t>
      </w:r>
    </w:p>
    <w:p w14:paraId="32BB307A">
      <w:pPr>
        <w:pStyle w:val="33"/>
        <w:numPr>
          <w:ilvl w:val="2"/>
          <w:numId w:val="6"/>
        </w:numPr>
        <w:shd w:val="clear"/>
        <w:ind w:firstLineChars="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为早期预警RLN损伤风险，可将</w:t>
      </w:r>
      <w:r>
        <w:rPr>
          <w:rFonts w:ascii="Times New Roman" w:hAnsi="Times New Roman" w:eastAsia="宋体" w:cs="Times New Roman"/>
          <w:color w:val="000000" w:themeColor="text1"/>
          <w:highlight w:val="none"/>
          <w14:textFill>
            <w14:solidFill>
              <w14:schemeClr w14:val="tx1"/>
            </w14:solidFill>
          </w14:textFill>
        </w:rPr>
        <w:t>R1信号振幅的50%设置为事件阈值</w:t>
      </w:r>
      <w:r>
        <w:rPr>
          <w:rFonts w:hint="eastAsia" w:ascii="Times New Roman" w:hAnsi="Times New Roman" w:eastAsia="宋体" w:cs="Times New Roman"/>
          <w:color w:val="000000" w:themeColor="text1"/>
          <w:highlight w:val="none"/>
          <w14:textFill>
            <w14:solidFill>
              <w14:schemeClr w14:val="tx1"/>
            </w14:solidFill>
          </w14:textFill>
        </w:rPr>
        <w:t>。</w:t>
      </w:r>
    </w:p>
    <w:p w14:paraId="3D25B398">
      <w:pPr>
        <w:pStyle w:val="33"/>
        <w:numPr>
          <w:ilvl w:val="0"/>
          <w:numId w:val="6"/>
        </w:numPr>
        <w:shd w:val="clear"/>
        <w:spacing w:before="312" w:beforeLines="100" w:after="312" w:afterLines="100"/>
        <w:ind w:firstLineChars="0"/>
        <w:jc w:val="left"/>
        <w:outlineLvl w:val="0"/>
        <w:rPr>
          <w:rFonts w:hint="eastAsia" w:ascii="黑体" w:hAnsi="黑体" w:eastAsia="黑体" w:cs="黑体"/>
          <w:bCs/>
          <w:color w:val="000000" w:themeColor="text1"/>
          <w:szCs w:val="21"/>
          <w:highlight w:val="none"/>
          <w14:textFill>
            <w14:solidFill>
              <w14:schemeClr w14:val="tx1"/>
            </w14:solidFill>
          </w14:textFill>
        </w:rPr>
      </w:pPr>
      <w:bookmarkStart w:id="16" w:name="_Toc207835478"/>
      <w:r>
        <w:rPr>
          <w:rFonts w:hint="eastAsia" w:ascii="黑体" w:hAnsi="黑体" w:eastAsia="黑体" w:cs="黑体"/>
          <w:bCs/>
          <w:color w:val="000000" w:themeColor="text1"/>
          <w:szCs w:val="21"/>
          <w:highlight w:val="none"/>
          <w14:textFill>
            <w14:solidFill>
              <w14:schemeClr w14:val="tx1"/>
            </w14:solidFill>
          </w14:textFill>
        </w:rPr>
        <w:t>技术要点</w:t>
      </w:r>
      <w:bookmarkEnd w:id="16"/>
    </w:p>
    <w:p w14:paraId="5DD78A3A">
      <w:pPr>
        <w:pStyle w:val="33"/>
        <w:numPr>
          <w:ilvl w:val="1"/>
          <w:numId w:val="6"/>
        </w:numPr>
        <w:shd w:val="clear"/>
        <w:spacing w:before="156" w:beforeLines="50" w:after="156" w:afterLines="50"/>
        <w:ind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喉部检查</w:t>
      </w:r>
    </w:p>
    <w:p w14:paraId="3F0E17AB">
      <w:pPr>
        <w:pStyle w:val="33"/>
        <w:shd w:val="clear"/>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术前宜进行喉镜检查或其他检查评估声带功能</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术后可视情况选择性应用。</w:t>
      </w:r>
    </w:p>
    <w:p w14:paraId="20D6D0C1">
      <w:pPr>
        <w:pStyle w:val="33"/>
        <w:numPr>
          <w:ilvl w:val="1"/>
          <w:numId w:val="6"/>
        </w:numPr>
        <w:shd w:val="clear"/>
        <w:spacing w:before="156" w:beforeLines="50" w:after="156" w:afterLines="50"/>
        <w:ind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术中监测</w:t>
      </w:r>
    </w:p>
    <w:p w14:paraId="1FFDF189">
      <w:pPr>
        <w:pStyle w:val="33"/>
        <w:numPr>
          <w:ilvl w:val="2"/>
          <w:numId w:val="6"/>
        </w:numPr>
        <w:shd w:val="clear"/>
        <w:spacing w:before="157" w:beforeLines="50" w:after="157" w:afterLines="50"/>
        <w:ind w:firstLine="0"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颈段迷走神经监测</w:t>
      </w:r>
    </w:p>
    <w:p w14:paraId="2F7C22D5">
      <w:pPr>
        <w:pStyle w:val="33"/>
        <w:numPr>
          <w:ilvl w:val="3"/>
          <w:numId w:val="6"/>
        </w:numPr>
        <w:shd w:val="clear"/>
        <w:spacing w:before="0" w:beforeLines="-2147483648" w:after="0" w:afterLines="-2147483648"/>
        <w:ind w:left="4" w:hanging="4" w:firstLineChars="0"/>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应用I-IONM监测VN通常无需解剖颈动脉鞘，在颈总动脉和颈内静脉之间或相邻区域探测即可获得肌电信号。</w:t>
      </w:r>
    </w:p>
    <w:p w14:paraId="66087C06">
      <w:pPr>
        <w:pStyle w:val="33"/>
        <w:numPr>
          <w:ilvl w:val="3"/>
          <w:numId w:val="6"/>
        </w:numPr>
        <w:shd w:val="clear"/>
        <w:spacing w:before="0" w:beforeLines="-2147483648" w:after="0" w:afterLines="-2147483648"/>
        <w:ind w:left="284" w:hanging="284" w:firstLineChars="0"/>
        <w:rPr>
          <w:rFonts w:hint="eastAsia" w:ascii="宋体" w:hAnsi="宋体"/>
          <w:bCs/>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获取VN肌电信号的标准化步骤包括：</w:t>
      </w:r>
    </w:p>
    <w:p w14:paraId="026B1509">
      <w:pPr>
        <w:pStyle w:val="71"/>
        <w:numPr>
          <w:ilvl w:val="0"/>
          <w:numId w:val="4"/>
        </w:numPr>
        <w:shd w:val="clear"/>
        <w:ind w:left="1291" w:hanging="440"/>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术野操作开始前，应用3.0</w:t>
      </w:r>
      <w:r>
        <w:rPr>
          <w:rFonts w:hint="eastAsia" w:ascii="Times New Roman"/>
          <w:color w:val="000000" w:themeColor="text1"/>
          <w:highlight w:val="none"/>
          <w14:textFill>
            <w14:solidFill>
              <w14:schemeClr w14:val="tx1"/>
            </w14:solidFill>
          </w14:textFill>
        </w:rPr>
        <w:t xml:space="preserve"> </w:t>
      </w:r>
      <w:r>
        <w:rPr>
          <w:rFonts w:ascii="Times New Roman"/>
          <w:color w:val="000000" w:themeColor="text1"/>
          <w:highlight w:val="none"/>
          <w14:textFill>
            <w14:solidFill>
              <w14:schemeClr w14:val="tx1"/>
            </w14:solidFill>
          </w14:textFill>
        </w:rPr>
        <w:t>mA电流，相当于甲状腺下极水平探测颈动脉鞘内VN获得的肌电信号，定义为V1信号；</w:t>
      </w:r>
    </w:p>
    <w:p w14:paraId="0E7307CA">
      <w:pPr>
        <w:pStyle w:val="71"/>
        <w:numPr>
          <w:ilvl w:val="0"/>
          <w:numId w:val="4"/>
        </w:numPr>
        <w:shd w:val="clear"/>
        <w:ind w:left="1291" w:hanging="440"/>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术野操作结束后，应用3.0</w:t>
      </w:r>
      <w:r>
        <w:rPr>
          <w:rFonts w:hint="eastAsia" w:ascii="Times New Roman"/>
          <w:color w:val="000000" w:themeColor="text1"/>
          <w:highlight w:val="none"/>
          <w14:textFill>
            <w14:solidFill>
              <w14:schemeClr w14:val="tx1"/>
            </w14:solidFill>
          </w14:textFill>
        </w:rPr>
        <w:t xml:space="preserve"> </w:t>
      </w:r>
      <w:r>
        <w:rPr>
          <w:rFonts w:ascii="Times New Roman"/>
          <w:color w:val="000000" w:themeColor="text1"/>
          <w:highlight w:val="none"/>
          <w14:textFill>
            <w14:solidFill>
              <w14:schemeClr w14:val="tx1"/>
            </w14:solidFill>
          </w14:textFill>
        </w:rPr>
        <w:t>mA电流，复测VN获得的肌电信号，定义为V2信号。</w:t>
      </w:r>
    </w:p>
    <w:p w14:paraId="619E8B9A">
      <w:pPr>
        <w:pStyle w:val="33"/>
        <w:numPr>
          <w:ilvl w:val="2"/>
          <w:numId w:val="6"/>
        </w:numPr>
        <w:shd w:val="clear"/>
        <w:spacing w:before="157" w:beforeLines="50" w:after="157" w:afterLines="50"/>
        <w:ind w:firstLine="0"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喉返神经监测</w:t>
      </w:r>
    </w:p>
    <w:p w14:paraId="5AAC3966">
      <w:pPr>
        <w:pStyle w:val="33"/>
        <w:numPr>
          <w:ilvl w:val="3"/>
          <w:numId w:val="6"/>
        </w:numPr>
        <w:shd w:val="clear"/>
        <w:spacing w:before="0" w:beforeLines="-2147483648" w:after="0" w:afterLines="-2147483648"/>
        <w:ind w:left="4" w:hanging="4" w:firstLineChars="0"/>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 xml:space="preserve"> </w:t>
      </w:r>
      <w:r>
        <w:rPr>
          <w:rFonts w:ascii="Times New Roman" w:hAnsi="Times New Roman" w:eastAsia="宋体" w:cs="Times New Roman"/>
          <w:color w:val="000000" w:themeColor="text1"/>
          <w:highlight w:val="none"/>
          <w14:textFill>
            <w14:solidFill>
              <w14:schemeClr w14:val="tx1"/>
            </w14:solidFill>
          </w14:textFill>
        </w:rPr>
        <w:t>RLN显露前，可应用3.0 mA电流以</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十字交叉法</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初步定</w:t>
      </w:r>
      <w:r>
        <w:rPr>
          <w:rFonts w:hint="eastAsia" w:ascii="Times New Roman" w:hAnsi="Times New Roman" w:eastAsia="宋体" w:cs="Times New Roman"/>
          <w:color w:val="000000" w:themeColor="text1"/>
          <w:highlight w:val="none"/>
          <w14:textFill>
            <w14:solidFill>
              <w14:schemeClr w14:val="tx1"/>
            </w14:solidFill>
          </w14:textFill>
        </w:rPr>
        <w:t>位</w:t>
      </w:r>
      <w:r>
        <w:rPr>
          <w:rFonts w:ascii="Times New Roman" w:hAnsi="Times New Roman" w:eastAsia="宋体" w:cs="Times New Roman"/>
          <w:color w:val="000000" w:themeColor="text1"/>
          <w:highlight w:val="none"/>
          <w14:textFill>
            <w14:solidFill>
              <w14:schemeClr w14:val="tx1"/>
            </w14:solidFill>
          </w14:textFill>
        </w:rPr>
        <w:t>RLN</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即先在甲状腺下极下方垂直于气管方向探测</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寻找信号最强点</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再沿此点平行于气管方向探测</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可大致描绘出RLN走行</w:t>
      </w:r>
      <w:r>
        <w:rPr>
          <w:rFonts w:hint="eastAsia" w:ascii="Times New Roman" w:hAnsi="Times New Roman" w:eastAsia="宋体" w:cs="Times New Roman"/>
          <w:color w:val="000000" w:themeColor="text1"/>
          <w:highlight w:val="none"/>
          <w14:textFill>
            <w14:solidFill>
              <w14:schemeClr w14:val="tx1"/>
            </w14:solidFill>
          </w14:textFill>
        </w:rPr>
        <w:t>。</w:t>
      </w:r>
    </w:p>
    <w:p w14:paraId="486154E2">
      <w:pPr>
        <w:pStyle w:val="33"/>
        <w:numPr>
          <w:ilvl w:val="3"/>
          <w:numId w:val="6"/>
        </w:numPr>
        <w:shd w:val="clear"/>
        <w:spacing w:before="0" w:beforeLines="-2147483648" w:after="0" w:afterLines="-2147483648"/>
        <w:ind w:left="284" w:hanging="284" w:firstLineChars="0"/>
        <w:rPr>
          <w:rFonts w:hint="eastAsia" w:ascii="宋体" w:hAnsi="宋体"/>
          <w:bCs/>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获取RLN肌电信号的标准化步骤包括：</w:t>
      </w:r>
    </w:p>
    <w:p w14:paraId="7A226EC1">
      <w:pPr>
        <w:pStyle w:val="71"/>
        <w:numPr>
          <w:ilvl w:val="0"/>
          <w:numId w:val="7"/>
        </w:numPr>
        <w:shd w:val="clear"/>
        <w:ind w:left="1291" w:hanging="440"/>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RLN 初步定位后，应用1.0 mA电流，进行精确定位或适当显露获得的肌电信号，定义为R1信号。</w:t>
      </w:r>
    </w:p>
    <w:p w14:paraId="7E07F3EF">
      <w:pPr>
        <w:pStyle w:val="71"/>
        <w:numPr>
          <w:ilvl w:val="0"/>
          <w:numId w:val="7"/>
        </w:numPr>
        <w:shd w:val="clear"/>
        <w:ind w:left="1291" w:hanging="440"/>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术野操作结束后，应用1.0</w:t>
      </w:r>
      <w:r>
        <w:rPr>
          <w:rFonts w:hint="eastAsia" w:ascii="Times New Roman"/>
          <w:color w:val="000000" w:themeColor="text1"/>
          <w:highlight w:val="none"/>
          <w14:textFill>
            <w14:solidFill>
              <w14:schemeClr w14:val="tx1"/>
            </w14:solidFill>
          </w14:textFill>
        </w:rPr>
        <w:t xml:space="preserve"> </w:t>
      </w:r>
      <w:r>
        <w:rPr>
          <w:rFonts w:ascii="Times New Roman"/>
          <w:color w:val="000000" w:themeColor="text1"/>
          <w:highlight w:val="none"/>
          <w14:textFill>
            <w14:solidFill>
              <w14:schemeClr w14:val="tx1"/>
            </w14:solidFill>
          </w14:textFill>
        </w:rPr>
        <w:t>mA电流，复测RLN显露部最近端获得的肌电信号，定义为R2信号</w:t>
      </w:r>
      <w:r>
        <w:rPr>
          <w:rFonts w:hint="eastAsia" w:ascii="Times New Roman"/>
          <w:color w:val="000000" w:themeColor="text1"/>
          <w:highlight w:val="none"/>
          <w14:textFill>
            <w14:solidFill>
              <w14:schemeClr w14:val="tx1"/>
            </w14:solidFill>
          </w14:textFill>
        </w:rPr>
        <w:t>。</w:t>
      </w:r>
    </w:p>
    <w:p w14:paraId="0168570F">
      <w:pPr>
        <w:pStyle w:val="33"/>
        <w:numPr>
          <w:ilvl w:val="3"/>
          <w:numId w:val="6"/>
        </w:numPr>
        <w:shd w:val="clear"/>
        <w:spacing w:before="0" w:beforeLines="-2147483648" w:after="0" w:afterLines="-2147483648"/>
        <w:ind w:left="4" w:hanging="4" w:firstLineChars="0"/>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当RLN存在分支时，可</w:t>
      </w:r>
      <w:r>
        <w:rPr>
          <w:rFonts w:hint="eastAsia" w:ascii="Times New Roman" w:hAnsi="Times New Roman" w:eastAsia="宋体" w:cs="Times New Roman"/>
          <w:color w:val="000000" w:themeColor="text1"/>
          <w:highlight w:val="none"/>
          <w14:textFill>
            <w14:solidFill>
              <w14:schemeClr w14:val="tx1"/>
            </w14:solidFill>
          </w14:textFill>
        </w:rPr>
        <w:t>降低</w:t>
      </w:r>
      <w:r>
        <w:rPr>
          <w:rFonts w:hint="eastAsia" w:ascii="Times New Roman" w:hAnsi="Times New Roman" w:eastAsia="宋体" w:cs="Times New Roman"/>
          <w:color w:val="000000" w:themeColor="text1"/>
          <w:highlight w:val="none"/>
          <w14:textFill>
            <w14:solidFill>
              <w14:schemeClr w14:val="tx1"/>
            </w14:solidFill>
          </w14:textFill>
        </w:rPr>
        <w:t>刺激电流强度，</w:t>
      </w:r>
      <w:r>
        <w:rPr>
          <w:rFonts w:ascii="Times New Roman" w:hAnsi="Times New Roman" w:eastAsia="宋体" w:cs="Times New Roman"/>
          <w:color w:val="000000" w:themeColor="text1"/>
          <w:highlight w:val="none"/>
          <w14:textFill>
            <w14:solidFill>
              <w14:schemeClr w14:val="tx1"/>
            </w14:solidFill>
          </w14:textFill>
        </w:rPr>
        <w:t>减少电流弥散</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提高对细小神经辨识的特异性。</w:t>
      </w:r>
    </w:p>
    <w:p w14:paraId="01ACA765">
      <w:pPr>
        <w:pStyle w:val="33"/>
        <w:numPr>
          <w:ilvl w:val="3"/>
          <w:numId w:val="6"/>
        </w:numPr>
        <w:shd w:val="clear"/>
        <w:spacing w:before="0" w:beforeLines="-2147483648" w:after="0" w:afterLines="-2147483648"/>
        <w:ind w:left="4" w:hanging="4" w:firstLineChars="0"/>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当</w:t>
      </w:r>
      <w:r>
        <w:rPr>
          <w:rFonts w:ascii="Times New Roman" w:hAnsi="Times New Roman" w:eastAsia="宋体" w:cs="Times New Roman"/>
          <w:color w:val="000000" w:themeColor="text1"/>
          <w:highlight w:val="none"/>
          <w14:textFill>
            <w14:solidFill>
              <w14:schemeClr w14:val="tx1"/>
            </w14:solidFill>
          </w14:textFill>
        </w:rPr>
        <w:t>在RLN损伤高风险区域操作时，</w:t>
      </w:r>
      <w:r>
        <w:rPr>
          <w:rFonts w:hint="eastAsia" w:ascii="Times New Roman" w:hAnsi="Times New Roman" w:eastAsia="宋体" w:cs="Times New Roman"/>
          <w:color w:val="000000" w:themeColor="text1"/>
          <w:highlight w:val="none"/>
          <w14:textFill>
            <w14:solidFill>
              <w14:schemeClr w14:val="tx1"/>
            </w14:solidFill>
          </w14:textFill>
        </w:rPr>
        <w:t>应</w:t>
      </w:r>
      <w:r>
        <w:rPr>
          <w:rFonts w:ascii="Times New Roman" w:hAnsi="Times New Roman" w:eastAsia="宋体" w:cs="Times New Roman"/>
          <w:color w:val="000000" w:themeColor="text1"/>
          <w:highlight w:val="none"/>
          <w14:textFill>
            <w14:solidFill>
              <w14:schemeClr w14:val="tx1"/>
            </w14:solidFill>
          </w14:textFill>
        </w:rPr>
        <w:t>在神经显露部最近端进行实时监测</w:t>
      </w:r>
      <w:r>
        <w:rPr>
          <w:rFonts w:hint="eastAsia" w:ascii="Times New Roman" w:hAnsi="Times New Roman" w:eastAsia="宋体" w:cs="Times New Roman"/>
          <w:color w:val="000000" w:themeColor="text1"/>
          <w:highlight w:val="none"/>
          <w14:textFill>
            <w14:solidFill>
              <w14:schemeClr w14:val="tx1"/>
            </w14:solidFill>
          </w14:textFill>
        </w:rPr>
        <w:t>，与</w:t>
      </w:r>
      <w:r>
        <w:rPr>
          <w:rFonts w:ascii="Times New Roman" w:hAnsi="Times New Roman" w:eastAsia="宋体" w:cs="Times New Roman"/>
          <w:color w:val="000000" w:themeColor="text1"/>
          <w:highlight w:val="none"/>
          <w14:textFill>
            <w14:solidFill>
              <w14:schemeClr w14:val="tx1"/>
            </w14:solidFill>
          </w14:textFill>
        </w:rPr>
        <w:t>R1信号比较有无减弱</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预警风险操作</w:t>
      </w:r>
      <w:r>
        <w:rPr>
          <w:rFonts w:hint="eastAsia" w:ascii="Times New Roman" w:hAnsi="Times New Roman" w:eastAsia="宋体" w:cs="Times New Roman"/>
          <w:color w:val="000000" w:themeColor="text1"/>
          <w:highlight w:val="none"/>
          <w14:textFill>
            <w14:solidFill>
              <w14:schemeClr w14:val="tx1"/>
            </w14:solidFill>
          </w14:textFill>
        </w:rPr>
        <w:t>。</w:t>
      </w:r>
    </w:p>
    <w:p w14:paraId="4FC28D5F">
      <w:pPr>
        <w:pStyle w:val="33"/>
        <w:numPr>
          <w:ilvl w:val="3"/>
          <w:numId w:val="6"/>
        </w:numPr>
        <w:shd w:val="clear"/>
        <w:spacing w:before="0" w:beforeLines="-2147483648" w:after="0" w:afterLines="-2147483648"/>
        <w:ind w:left="4" w:hanging="4" w:firstLineChars="0"/>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术中RLN肌电信号振幅降至R1信号的50%以下时</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应暂停手术操作</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分析可能原因</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进行相应处理</w:t>
      </w:r>
      <w:r>
        <w:rPr>
          <w:rFonts w:hint="eastAsia" w:ascii="Times New Roman" w:hAnsi="Times New Roman" w:eastAsia="宋体" w:cs="Times New Roman"/>
          <w:color w:val="000000" w:themeColor="text1"/>
          <w:szCs w:val="21"/>
          <w:highlight w:val="none"/>
          <w14:textFill>
            <w14:solidFill>
              <w14:schemeClr w14:val="tx1"/>
            </w14:solidFill>
          </w14:textFill>
        </w:rPr>
        <w:t>。</w:t>
      </w:r>
    </w:p>
    <w:p w14:paraId="37397375">
      <w:pPr>
        <w:pStyle w:val="33"/>
        <w:numPr>
          <w:ilvl w:val="3"/>
          <w:numId w:val="6"/>
        </w:numPr>
        <w:shd w:val="clear"/>
        <w:spacing w:before="0" w:beforeLines="-2147483648" w:after="0" w:afterLines="-2147483648"/>
        <w:ind w:left="4" w:hanging="4" w:firstLineChars="0"/>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当考虑存在NRLN时，可应用“监测点对比法”和“潜伏期评估法”辅助判断（见附录B）。</w:t>
      </w:r>
    </w:p>
    <w:p w14:paraId="73F95CE3">
      <w:pPr>
        <w:pStyle w:val="33"/>
        <w:numPr>
          <w:ilvl w:val="2"/>
          <w:numId w:val="6"/>
        </w:numPr>
        <w:shd w:val="clear"/>
        <w:spacing w:before="157" w:beforeLines="50" w:after="157" w:afterLines="50"/>
        <w:ind w:firstLine="0"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喉上神经外支监测</w:t>
      </w:r>
    </w:p>
    <w:p w14:paraId="2EEFBA32">
      <w:pPr>
        <w:pStyle w:val="33"/>
        <w:numPr>
          <w:ilvl w:val="3"/>
          <w:numId w:val="6"/>
        </w:numPr>
        <w:shd w:val="clear"/>
        <w:spacing w:before="0" w:beforeLines="-2147483648" w:after="0" w:afterLines="-2147483648"/>
        <w:ind w:left="4" w:hanging="4" w:firstLineChars="0"/>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术中定位EBSLN的解剖标志</w:t>
      </w:r>
      <w:r>
        <w:rPr>
          <w:rFonts w:hint="eastAsia" w:ascii="Times New Roman" w:hAnsi="Times New Roman" w:eastAsia="宋体" w:cs="Times New Roman"/>
          <w:color w:val="000000" w:themeColor="text1"/>
          <w:highlight w:val="none"/>
          <w14:textFill>
            <w14:solidFill>
              <w14:schemeClr w14:val="tx1"/>
            </w14:solidFill>
          </w14:textFill>
        </w:rPr>
        <w:t>为“</w:t>
      </w:r>
      <w:r>
        <w:rPr>
          <w:rFonts w:ascii="Times New Roman" w:hAnsi="Times New Roman" w:eastAsia="宋体" w:cs="Times New Roman"/>
          <w:color w:val="000000" w:themeColor="text1"/>
          <w:highlight w:val="none"/>
          <w14:textFill>
            <w14:solidFill>
              <w14:schemeClr w14:val="tx1"/>
            </w14:solidFill>
          </w14:textFill>
        </w:rPr>
        <w:t>胸骨甲状肌-喉三角</w:t>
      </w:r>
      <w:r>
        <w:rPr>
          <w:rFonts w:hint="eastAsia" w:ascii="Times New Roman" w:hAnsi="Times New Roman" w:eastAsia="宋体" w:cs="Times New Roman"/>
          <w:color w:val="000000" w:themeColor="text1"/>
          <w:highlight w:val="none"/>
          <w14:textFill>
            <w14:solidFill>
              <w14:schemeClr w14:val="tx1"/>
            </w14:solidFill>
          </w14:textFill>
        </w:rPr>
        <w:t>”，即</w:t>
      </w:r>
      <w:r>
        <w:rPr>
          <w:rFonts w:ascii="Times New Roman" w:hAnsi="Times New Roman" w:eastAsia="宋体" w:cs="Times New Roman"/>
          <w:color w:val="000000" w:themeColor="text1"/>
          <w:highlight w:val="none"/>
          <w14:textFill>
            <w14:solidFill>
              <w14:schemeClr w14:val="tx1"/>
            </w14:solidFill>
          </w14:textFill>
        </w:rPr>
        <w:t>以胸骨甲状肌为外侧界、咽下缩肌及环甲肌为内侧界、甲状腺上极为下界的三角区域</w:t>
      </w:r>
      <w:r>
        <w:rPr>
          <w:rFonts w:hint="eastAsia" w:ascii="Times New Roman" w:hAnsi="Times New Roman" w:eastAsia="宋体" w:cs="Times New Roman"/>
          <w:color w:val="000000" w:themeColor="text1"/>
          <w:highlight w:val="none"/>
          <w14:textFill>
            <w14:solidFill>
              <w14:schemeClr w14:val="tx1"/>
            </w14:solidFill>
          </w14:textFill>
        </w:rPr>
        <w:t>（见附录C）。</w:t>
      </w:r>
    </w:p>
    <w:p w14:paraId="32517138">
      <w:pPr>
        <w:pStyle w:val="33"/>
        <w:numPr>
          <w:ilvl w:val="3"/>
          <w:numId w:val="6"/>
        </w:numPr>
        <w:shd w:val="clear"/>
        <w:spacing w:before="0" w:beforeLines="-2147483648" w:after="0" w:afterLines="-2147483648"/>
        <w:ind w:left="4" w:hanging="4" w:firstLineChars="0"/>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EBSLN的识别与功能评估应以环甲肌震颤为首要指标，以肌电信号为辅助指标。</w:t>
      </w:r>
    </w:p>
    <w:p w14:paraId="3985A8AF">
      <w:pPr>
        <w:pStyle w:val="33"/>
        <w:numPr>
          <w:ilvl w:val="3"/>
          <w:numId w:val="6"/>
        </w:numPr>
        <w:shd w:val="clear"/>
        <w:spacing w:before="0" w:beforeLines="-2147483648" w:after="0" w:afterLines="-2147483648"/>
        <w:ind w:left="4" w:hanging="4" w:firstLineChars="0"/>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获取EBSLN肌电信号的标准化步骤为：</w:t>
      </w:r>
      <w:r>
        <w:rPr>
          <w:rFonts w:ascii="Times New Roman" w:hAnsi="Times New Roman" w:eastAsia="宋体" w:cs="Times New Roman"/>
          <w:color w:val="000000" w:themeColor="text1"/>
          <w:highlight w:val="none"/>
          <w14:textFill>
            <w14:solidFill>
              <w14:schemeClr w14:val="tx1"/>
            </w14:solidFill>
          </w14:textFill>
        </w:rPr>
        <w:t>甲状腺上极血管处理之前和之后，应用1.0 mA电流，探测</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胸骨甲状肌-喉三角</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内EBSLN的可能走行区域，诱发环甲肌震颤，伴或不伴有肌电信号，</w:t>
      </w:r>
      <w:r>
        <w:rPr>
          <w:rFonts w:hint="eastAsia" w:ascii="Times New Roman" w:hAnsi="Times New Roman" w:eastAsia="宋体" w:cs="Times New Roman"/>
          <w:color w:val="000000" w:themeColor="text1"/>
          <w:highlight w:val="none"/>
          <w14:textFill>
            <w14:solidFill>
              <w14:schemeClr w14:val="tx1"/>
            </w14:solidFill>
          </w14:textFill>
        </w:rPr>
        <w:t>分别</w:t>
      </w:r>
      <w:r>
        <w:rPr>
          <w:rFonts w:ascii="Times New Roman" w:hAnsi="Times New Roman" w:eastAsia="宋体" w:cs="Times New Roman"/>
          <w:color w:val="000000" w:themeColor="text1"/>
          <w:highlight w:val="none"/>
          <w14:textFill>
            <w14:solidFill>
              <w14:schemeClr w14:val="tx1"/>
            </w14:solidFill>
          </w14:textFill>
        </w:rPr>
        <w:t>定义为S1信号和S2信号</w:t>
      </w:r>
      <w:r>
        <w:rPr>
          <w:rFonts w:hint="eastAsia" w:ascii="Times New Roman" w:hAnsi="Times New Roman" w:eastAsia="宋体" w:cs="Times New Roman"/>
          <w:color w:val="000000" w:themeColor="text1"/>
          <w:highlight w:val="none"/>
          <w14:textFill>
            <w14:solidFill>
              <w14:schemeClr w14:val="tx1"/>
            </w14:solidFill>
          </w14:textFill>
        </w:rPr>
        <w:t>。</w:t>
      </w:r>
    </w:p>
    <w:p w14:paraId="00A3F549">
      <w:pPr>
        <w:pStyle w:val="71"/>
        <w:shd w:val="clear"/>
        <w:ind w:left="1276" w:hanging="42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甲状腺上极血管处理之前，应用1.0 mA电流，探测</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胸骨甲状肌-喉三角</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内EBSLN的可能走行区域，诱发环甲肌震颤，伴或不伴有肌电信号，定义为S1信号</w:t>
      </w:r>
      <w:r>
        <w:rPr>
          <w:rFonts w:hint="eastAsia"/>
          <w:color w:val="000000" w:themeColor="text1"/>
          <w:highlight w:val="none"/>
          <w14:textFill>
            <w14:solidFill>
              <w14:schemeClr w14:val="tx1"/>
            </w14:solidFill>
          </w14:textFill>
        </w:rPr>
        <w:t>。</w:t>
      </w:r>
    </w:p>
    <w:p w14:paraId="3897D39F">
      <w:pPr>
        <w:pStyle w:val="71"/>
        <w:shd w:val="clear"/>
        <w:ind w:left="1276" w:hanging="42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甲状腺上极血管处理之</w:t>
      </w:r>
      <w:r>
        <w:rPr>
          <w:rFonts w:hint="eastAsia"/>
          <w:color w:val="000000" w:themeColor="text1"/>
          <w:highlight w:val="none"/>
          <w14:textFill>
            <w14:solidFill>
              <w14:schemeClr w14:val="tx1"/>
            </w14:solidFill>
          </w14:textFill>
        </w:rPr>
        <w:t>后，应用1.0mA电流，复测EBSLN</w:t>
      </w:r>
      <w:r>
        <w:rPr>
          <w:color w:val="000000" w:themeColor="text1"/>
          <w:highlight w:val="none"/>
          <w14:textFill>
            <w14:solidFill>
              <w14:schemeClr w14:val="tx1"/>
            </w14:solidFill>
          </w14:textFill>
        </w:rPr>
        <w:t>走行区域</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诱发环甲肌震颤，伴或不伴有肌电信号，定义为S</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信号</w:t>
      </w:r>
      <w:r>
        <w:rPr>
          <w:rFonts w:hint="eastAsia"/>
          <w:color w:val="000000" w:themeColor="text1"/>
          <w:highlight w:val="none"/>
          <w14:textFill>
            <w14:solidFill>
              <w14:schemeClr w14:val="tx1"/>
            </w14:solidFill>
          </w14:textFill>
        </w:rPr>
        <w:t>。</w:t>
      </w:r>
    </w:p>
    <w:p w14:paraId="606D2619">
      <w:pPr>
        <w:pStyle w:val="33"/>
        <w:numPr>
          <w:ilvl w:val="2"/>
          <w:numId w:val="6"/>
        </w:numPr>
        <w:shd w:val="clear"/>
        <w:spacing w:before="157" w:beforeLines="50" w:after="157" w:afterLines="50"/>
        <w:ind w:firstLine="0"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其他颈部运动神经监测</w:t>
      </w:r>
    </w:p>
    <w:p w14:paraId="4D3B4253">
      <w:pPr>
        <w:pStyle w:val="65"/>
        <w:numPr>
          <w:ilvl w:val="0"/>
          <w:numId w:val="0"/>
        </w:numPr>
        <w:shd w:val="clear"/>
        <w:spacing w:before="0" w:beforeLines="0" w:after="0" w:afterLines="0"/>
        <w:ind w:firstLine="420" w:firstLineChars="200"/>
        <w:outlineLvl w:val="9"/>
        <w:rPr>
          <w:color w:val="000000" w:themeColor="text1"/>
          <w:highlight w:val="none"/>
          <w14:textFill>
            <w14:solidFill>
              <w14:schemeClr w14:val="tx1"/>
            </w14:solidFill>
          </w14:textFill>
        </w:rPr>
      </w:pPr>
      <w:r>
        <w:rPr>
          <w:rFonts w:ascii="Times New Roman" w:eastAsia="宋体"/>
          <w:color w:val="000000" w:themeColor="text1"/>
          <w:highlight w:val="none"/>
          <w14:textFill>
            <w14:solidFill>
              <w14:schemeClr w14:val="tx1"/>
            </w14:solidFill>
          </w14:textFill>
        </w:rPr>
        <w:t>甲状腺及甲状旁腺手术中涉及的其他颈部运动神经包括副神经、膈神经、臂丛神经、舌下神经、面神经下颌缘支等</w:t>
      </w:r>
      <w:r>
        <w:rPr>
          <w:rFonts w:hint="eastAsia" w:ascii="Times New Roman" w:eastAsia="宋体"/>
          <w:color w:val="000000" w:themeColor="text1"/>
          <w:highlight w:val="none"/>
          <w14:textFill>
            <w14:solidFill>
              <w14:schemeClr w14:val="tx1"/>
            </w14:solidFill>
          </w14:textFill>
        </w:rPr>
        <w:t>，</w:t>
      </w:r>
      <w:r>
        <w:rPr>
          <w:rFonts w:ascii="Times New Roman" w:eastAsia="宋体"/>
          <w:color w:val="000000" w:themeColor="text1"/>
          <w:highlight w:val="none"/>
          <w14:textFill>
            <w14:solidFill>
              <w14:schemeClr w14:val="tx1"/>
            </w14:solidFill>
          </w14:textFill>
        </w:rPr>
        <w:t>可应用刺激电极于</w:t>
      </w:r>
      <w:r>
        <w:rPr>
          <w:rFonts w:hint="eastAsia" w:ascii="Times New Roman" w:eastAsia="宋体"/>
          <w:color w:val="000000" w:themeColor="text1"/>
          <w:highlight w:val="none"/>
          <w14:textFill>
            <w14:solidFill>
              <w14:schemeClr w14:val="tx1"/>
            </w14:solidFill>
          </w14:textFill>
        </w:rPr>
        <w:t>运动</w:t>
      </w:r>
      <w:r>
        <w:rPr>
          <w:rFonts w:ascii="Times New Roman" w:eastAsia="宋体"/>
          <w:color w:val="000000" w:themeColor="text1"/>
          <w:highlight w:val="none"/>
          <w14:textFill>
            <w14:solidFill>
              <w14:schemeClr w14:val="tx1"/>
            </w14:solidFill>
          </w14:textFill>
        </w:rPr>
        <w:t>神经走行区域探测</w:t>
      </w:r>
      <w:r>
        <w:rPr>
          <w:rFonts w:hint="eastAsia" w:ascii="Times New Roman" w:eastAsia="宋体"/>
          <w:color w:val="000000" w:themeColor="text1"/>
          <w:highlight w:val="none"/>
          <w14:textFill>
            <w14:solidFill>
              <w14:schemeClr w14:val="tx1"/>
            </w14:solidFill>
          </w14:textFill>
        </w:rPr>
        <w:t>，</w:t>
      </w:r>
      <w:r>
        <w:rPr>
          <w:rFonts w:ascii="Times New Roman" w:eastAsia="宋体"/>
          <w:color w:val="000000" w:themeColor="text1"/>
          <w:highlight w:val="none"/>
          <w14:textFill>
            <w14:solidFill>
              <w14:schemeClr w14:val="tx1"/>
            </w14:solidFill>
          </w14:textFill>
        </w:rPr>
        <w:t>观察效应肌肉收缩情况</w:t>
      </w:r>
      <w:r>
        <w:rPr>
          <w:rFonts w:hint="eastAsia" w:ascii="Times New Roman" w:eastAsia="宋体"/>
          <w:color w:val="000000" w:themeColor="text1"/>
          <w:highlight w:val="none"/>
          <w14:textFill>
            <w14:solidFill>
              <w14:schemeClr w14:val="tx1"/>
            </w14:solidFill>
          </w14:textFill>
        </w:rPr>
        <w:t>，</w:t>
      </w:r>
      <w:r>
        <w:rPr>
          <w:rFonts w:ascii="Times New Roman" w:eastAsia="宋体"/>
          <w:color w:val="000000" w:themeColor="text1"/>
          <w:highlight w:val="none"/>
          <w14:textFill>
            <w14:solidFill>
              <w14:schemeClr w14:val="tx1"/>
            </w14:solidFill>
          </w14:textFill>
        </w:rPr>
        <w:t>以定位识别并保护神经</w:t>
      </w:r>
      <w:r>
        <w:rPr>
          <w:rFonts w:hint="eastAsia" w:ascii="Times New Roman" w:eastAsia="宋体"/>
          <w:color w:val="000000" w:themeColor="text1"/>
          <w:highlight w:val="none"/>
          <w14:textFill>
            <w14:solidFill>
              <w14:schemeClr w14:val="tx1"/>
            </w14:solidFill>
          </w14:textFill>
        </w:rPr>
        <w:t>。</w:t>
      </w:r>
    </w:p>
    <w:p w14:paraId="2BA22B9F">
      <w:pPr>
        <w:pStyle w:val="33"/>
        <w:numPr>
          <w:ilvl w:val="1"/>
          <w:numId w:val="6"/>
        </w:numPr>
        <w:shd w:val="clear"/>
        <w:spacing w:before="156" w:beforeLines="50" w:after="156" w:afterLines="50"/>
        <w:ind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ascii="黑体" w:hAnsi="黑体" w:eastAsia="黑体" w:cs="黑体"/>
          <w:bCs/>
          <w:color w:val="000000" w:themeColor="text1"/>
          <w:szCs w:val="21"/>
          <w:highlight w:val="none"/>
          <w14:textFill>
            <w14:solidFill>
              <w14:schemeClr w14:val="tx1"/>
            </w14:solidFill>
          </w14:textFill>
        </w:rPr>
        <w:t>标准化</w:t>
      </w:r>
      <w:r>
        <w:rPr>
          <w:rFonts w:hint="eastAsia" w:ascii="黑体" w:hAnsi="黑体" w:eastAsia="黑体" w:cs="黑体"/>
          <w:bCs/>
          <w:color w:val="000000" w:themeColor="text1"/>
          <w:szCs w:val="21"/>
          <w:highlight w:val="none"/>
          <w14:textFill>
            <w14:solidFill>
              <w14:schemeClr w14:val="tx1"/>
            </w14:solidFill>
          </w14:textFill>
        </w:rPr>
        <w:t>操作要点</w:t>
      </w:r>
    </w:p>
    <w:p w14:paraId="74E4F71F">
      <w:pPr>
        <w:pStyle w:val="33"/>
        <w:shd w:val="clear"/>
        <w:spacing w:before="0" w:beforeLines="-2147483648" w:after="0" w:afterLines="-2147483648"/>
        <w:jc w:val="left"/>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为</w:t>
      </w:r>
      <w:r>
        <w:rPr>
          <w:rFonts w:ascii="Times New Roman" w:hAnsi="Times New Roman" w:eastAsia="宋体" w:cs="Times New Roman"/>
          <w:color w:val="000000" w:themeColor="text1"/>
          <w:highlight w:val="none"/>
          <w14:textFill>
            <w14:solidFill>
              <w14:schemeClr w14:val="tx1"/>
            </w14:solidFill>
          </w14:textFill>
        </w:rPr>
        <w:t>保障IONM技术的应用效果</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进而更好地保护神经功能</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应</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按</w:t>
      </w:r>
      <w:r>
        <w:rPr>
          <w:rFonts w:hint="eastAsia" w:ascii="Times New Roman" w:hAnsi="Times New Roman" w:eastAsia="宋体" w:cs="Times New Roman"/>
          <w:color w:val="000000" w:themeColor="text1"/>
          <w:highlight w:val="none"/>
          <w14:textFill>
            <w14:solidFill>
              <w14:schemeClr w14:val="tx1"/>
            </w14:solidFill>
          </w14:textFill>
        </w:rPr>
        <w:t>表1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的规定进行操作</w:t>
      </w:r>
      <w:r>
        <w:rPr>
          <w:rFonts w:hint="eastAsia" w:ascii="Times New Roman" w:hAnsi="Times New Roman" w:eastAsia="宋体" w:cs="Times New Roman"/>
          <w:color w:val="000000" w:themeColor="text1"/>
          <w:highlight w:val="none"/>
          <w14:textFill>
            <w14:solidFill>
              <w14:schemeClr w14:val="tx1"/>
            </w14:solidFill>
          </w14:textFill>
        </w:rPr>
        <w:t>。</w:t>
      </w:r>
    </w:p>
    <w:p w14:paraId="36724EB8">
      <w:pPr>
        <w:shd w:val="clear"/>
        <w:spacing w:line="360" w:lineRule="auto"/>
        <w:jc w:val="center"/>
        <w:rPr>
          <w:rFonts w:hint="eastAsia" w:ascii="黑体" w:hAnsi="黑体" w:eastAsia="黑体" w:cs="Times New Roman Regular"/>
          <w:bCs/>
          <w:color w:val="000000" w:themeColor="text1"/>
          <w:szCs w:val="21"/>
          <w:highlight w:val="none"/>
          <w14:textFill>
            <w14:solidFill>
              <w14:schemeClr w14:val="tx1"/>
            </w14:solidFill>
          </w14:textFill>
        </w:rPr>
      </w:pPr>
      <w:r>
        <w:rPr>
          <w:rFonts w:ascii="黑体" w:hAnsi="黑体" w:eastAsia="黑体" w:cs="Times New Roman Regular"/>
          <w:bCs/>
          <w:color w:val="000000" w:themeColor="text1"/>
          <w:szCs w:val="21"/>
          <w:highlight w:val="none"/>
          <w14:textFill>
            <w14:solidFill>
              <w14:schemeClr w14:val="tx1"/>
            </w14:solidFill>
          </w14:textFill>
        </w:rPr>
        <w:t>表</w:t>
      </w:r>
      <w:r>
        <w:rPr>
          <w:rFonts w:hint="eastAsia" w:ascii="黑体" w:hAnsi="黑体" w:eastAsia="黑体" w:cs="Times New Roman Regular"/>
          <w:bCs/>
          <w:color w:val="000000" w:themeColor="text1"/>
          <w:szCs w:val="21"/>
          <w:highlight w:val="none"/>
          <w14:textFill>
            <w14:solidFill>
              <w14:schemeClr w14:val="tx1"/>
            </w14:solidFill>
          </w14:textFill>
        </w:rPr>
        <w:t>1</w:t>
      </w:r>
      <w:r>
        <w:rPr>
          <w:rFonts w:ascii="黑体" w:hAnsi="黑体" w:eastAsia="黑体" w:cs="Times New Roman Regular"/>
          <w:bCs/>
          <w:color w:val="000000" w:themeColor="text1"/>
          <w:szCs w:val="21"/>
          <w:highlight w:val="none"/>
          <w14:textFill>
            <w14:solidFill>
              <w14:schemeClr w14:val="tx1"/>
            </w14:solidFill>
          </w14:textFill>
        </w:rPr>
        <w:t xml:space="preserve"> </w:t>
      </w:r>
      <w:r>
        <w:rPr>
          <w:rFonts w:ascii="Times New Roman" w:hAnsi="Times New Roman" w:eastAsia="黑体" w:cs="Times New Roman"/>
          <w:bCs/>
          <w:color w:val="000000" w:themeColor="text1"/>
          <w:szCs w:val="21"/>
          <w:highlight w:val="none"/>
          <w14:textFill>
            <w14:solidFill>
              <w14:schemeClr w14:val="tx1"/>
            </w14:solidFill>
          </w14:textFill>
        </w:rPr>
        <w:t>IONM</w:t>
      </w:r>
      <w:r>
        <w:rPr>
          <w:rFonts w:ascii="黑体" w:hAnsi="黑体" w:eastAsia="黑体" w:cs="Times New Roman Regular"/>
          <w:bCs/>
          <w:color w:val="000000" w:themeColor="text1"/>
          <w:szCs w:val="21"/>
          <w:highlight w:val="none"/>
          <w14:textFill>
            <w14:solidFill>
              <w14:schemeClr w14:val="tx1"/>
            </w14:solidFill>
          </w14:textFill>
        </w:rPr>
        <w:t>标准化</w:t>
      </w:r>
      <w:r>
        <w:rPr>
          <w:rFonts w:hint="eastAsia" w:ascii="黑体" w:hAnsi="黑体" w:eastAsia="黑体" w:cs="Times New Roman Regular"/>
          <w:bCs/>
          <w:color w:val="000000" w:themeColor="text1"/>
          <w:szCs w:val="21"/>
          <w:highlight w:val="none"/>
          <w14:textFill>
            <w14:solidFill>
              <w14:schemeClr w14:val="tx1"/>
            </w14:solidFill>
          </w14:textFill>
        </w:rPr>
        <w:t>操作要点</w:t>
      </w:r>
    </w:p>
    <w:p w14:paraId="660DAE57">
      <w:pPr>
        <w:pStyle w:val="62"/>
        <w:shd w:val="clear"/>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4310" cy="2025015"/>
            <wp:effectExtent l="0" t="0" r="0" b="0"/>
            <wp:docPr id="1761756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56515" name="图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2025640"/>
                    </a:xfrm>
                    <a:prstGeom prst="rect">
                      <a:avLst/>
                    </a:prstGeom>
                  </pic:spPr>
                </pic:pic>
              </a:graphicData>
            </a:graphic>
          </wp:inline>
        </w:drawing>
      </w:r>
    </w:p>
    <w:p w14:paraId="484D8137">
      <w:pPr>
        <w:pStyle w:val="33"/>
        <w:numPr>
          <w:ilvl w:val="0"/>
          <w:numId w:val="6"/>
        </w:numPr>
        <w:shd w:val="clear"/>
        <w:spacing w:before="312" w:beforeLines="100" w:after="312" w:afterLines="100"/>
        <w:ind w:firstLineChars="0"/>
        <w:jc w:val="left"/>
        <w:outlineLvl w:val="0"/>
        <w:rPr>
          <w:rFonts w:hint="eastAsia" w:ascii="黑体" w:hAnsi="黑体" w:eastAsia="黑体" w:cs="黑体"/>
          <w:bCs/>
          <w:color w:val="000000" w:themeColor="text1"/>
          <w:szCs w:val="21"/>
          <w:highlight w:val="none"/>
          <w14:textFill>
            <w14:solidFill>
              <w14:schemeClr w14:val="tx1"/>
            </w14:solidFill>
          </w14:textFill>
        </w:rPr>
      </w:pPr>
      <w:bookmarkStart w:id="17" w:name="_Toc207835479"/>
      <w:r>
        <w:rPr>
          <w:rFonts w:hint="eastAsia" w:ascii="黑体" w:hAnsi="黑体" w:eastAsia="黑体" w:cs="黑体"/>
          <w:bCs/>
          <w:color w:val="000000" w:themeColor="text1"/>
          <w:szCs w:val="21"/>
          <w:highlight w:val="none"/>
          <w14:textFill>
            <w14:solidFill>
              <w14:schemeClr w14:val="tx1"/>
            </w14:solidFill>
          </w14:textFill>
        </w:rPr>
        <w:t>结果判读</w:t>
      </w:r>
      <w:bookmarkEnd w:id="17"/>
    </w:p>
    <w:p w14:paraId="1F23101B">
      <w:pPr>
        <w:pStyle w:val="33"/>
        <w:numPr>
          <w:ilvl w:val="1"/>
          <w:numId w:val="6"/>
        </w:numPr>
        <w:shd w:val="clear"/>
        <w:spacing w:before="156" w:beforeLines="50" w:after="156" w:afterLines="50"/>
        <w:ind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肌电信号的判读</w:t>
      </w:r>
    </w:p>
    <w:p w14:paraId="36549625">
      <w:pPr>
        <w:pStyle w:val="33"/>
        <w:numPr>
          <w:ilvl w:val="2"/>
          <w:numId w:val="6"/>
        </w:numPr>
        <w:shd w:val="clear"/>
        <w:spacing w:before="0" w:beforeLines="-2147483648" w:after="0" w:afterLines="-2147483648"/>
        <w:ind w:firstLine="0" w:firstLineChars="0"/>
        <w:jc w:val="left"/>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肌电信号的基本参数及其意义见附录D。EMG的</w:t>
      </w:r>
      <w:r>
        <w:rPr>
          <w:rFonts w:ascii="Times New Roman" w:hAnsi="Times New Roman" w:eastAsia="宋体" w:cs="Times New Roman"/>
          <w:color w:val="000000" w:themeColor="text1"/>
          <w:szCs w:val="21"/>
          <w:highlight w:val="none"/>
          <w14:textFill>
            <w14:solidFill>
              <w14:schemeClr w14:val="tx1"/>
            </w14:solidFill>
          </w14:textFill>
        </w:rPr>
        <w:t>振幅和潜伏期是反映神经功能的重要指标</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应在术中重点关注</w:t>
      </w:r>
      <w:r>
        <w:rPr>
          <w:rFonts w:hint="eastAsia" w:ascii="Times New Roman" w:hAnsi="Times New Roman" w:eastAsia="宋体" w:cs="Times New Roman"/>
          <w:color w:val="000000" w:themeColor="text1"/>
          <w:szCs w:val="21"/>
          <w:highlight w:val="none"/>
          <w14:textFill>
            <w14:solidFill>
              <w14:schemeClr w14:val="tx1"/>
            </w14:solidFill>
          </w14:textFill>
        </w:rPr>
        <w:t>。</w:t>
      </w:r>
    </w:p>
    <w:p w14:paraId="181FA4A0">
      <w:pPr>
        <w:pStyle w:val="33"/>
        <w:numPr>
          <w:ilvl w:val="2"/>
          <w:numId w:val="6"/>
        </w:numPr>
        <w:shd w:val="clear"/>
        <w:spacing w:before="0" w:beforeLines="-2147483648" w:after="0" w:afterLines="-2147483648"/>
        <w:ind w:firstLine="0" w:firstLineChars="0"/>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肌电信号异常是指在已获得</w:t>
      </w:r>
      <w:r>
        <w:rPr>
          <w:rFonts w:hint="eastAsia" w:ascii="Times New Roman" w:hAnsi="Times New Roman" w:eastAsia="宋体" w:cs="Times New Roman"/>
          <w:color w:val="000000" w:themeColor="text1"/>
          <w:szCs w:val="21"/>
          <w:highlight w:val="none"/>
          <w14:textFill>
            <w14:solidFill>
              <w14:schemeClr w14:val="tx1"/>
            </w14:solidFill>
          </w14:textFill>
        </w:rPr>
        <w:t>良好</w:t>
      </w:r>
      <w:r>
        <w:rPr>
          <w:rFonts w:ascii="Times New Roman" w:hAnsi="Times New Roman" w:eastAsia="宋体" w:cs="Times New Roman"/>
          <w:color w:val="000000" w:themeColor="text1"/>
          <w:szCs w:val="21"/>
          <w:highlight w:val="none"/>
          <w14:textFill>
            <w14:solidFill>
              <w14:schemeClr w14:val="tx1"/>
            </w14:solidFill>
          </w14:textFill>
        </w:rPr>
        <w:t>初始肌电信号的前提下</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术中</w:t>
      </w:r>
      <w:r>
        <w:rPr>
          <w:rFonts w:hint="eastAsia" w:ascii="Times New Roman" w:hAnsi="Times New Roman" w:eastAsia="宋体" w:cs="Times New Roman"/>
          <w:color w:val="000000" w:themeColor="text1"/>
          <w:szCs w:val="21"/>
          <w:highlight w:val="none"/>
          <w14:textFill>
            <w14:solidFill>
              <w14:schemeClr w14:val="tx1"/>
            </w14:solidFill>
          </w14:textFill>
        </w:rPr>
        <w:t>EMG</w:t>
      </w:r>
      <w:r>
        <w:rPr>
          <w:rFonts w:ascii="Times New Roman" w:hAnsi="Times New Roman" w:eastAsia="宋体" w:cs="Times New Roman"/>
          <w:color w:val="000000" w:themeColor="text1"/>
          <w:szCs w:val="21"/>
          <w:highlight w:val="none"/>
          <w14:textFill>
            <w14:solidFill>
              <w14:schemeClr w14:val="tx1"/>
            </w14:solidFill>
          </w14:textFill>
        </w:rPr>
        <w:t>振幅发生显著下降</w:t>
      </w:r>
      <w:r>
        <w:rPr>
          <w:rFonts w:hint="eastAsia" w:ascii="Times New Roman" w:hAnsi="Times New Roman" w:eastAsia="宋体" w:cs="Times New Roman"/>
          <w:color w:val="000000" w:themeColor="text1"/>
          <w:szCs w:val="21"/>
          <w:highlight w:val="none"/>
          <w14:textFill>
            <w14:solidFill>
              <w14:schemeClr w14:val="tx1"/>
            </w14:solidFill>
          </w14:textFill>
        </w:rPr>
        <w:t>，当降</w:t>
      </w:r>
      <w:r>
        <w:rPr>
          <w:rFonts w:ascii="Times New Roman" w:hAnsi="Times New Roman" w:eastAsia="宋体" w:cs="Times New Roman"/>
          <w:color w:val="000000" w:themeColor="text1"/>
          <w:szCs w:val="21"/>
          <w:highlight w:val="none"/>
          <w14:textFill>
            <w14:solidFill>
              <w14:schemeClr w14:val="tx1"/>
            </w14:solidFill>
          </w14:textFill>
        </w:rPr>
        <w:t>至100 μV以下</w:t>
      </w:r>
      <w:r>
        <w:rPr>
          <w:rFonts w:hint="eastAsia" w:ascii="Times New Roman" w:hAnsi="Times New Roman" w:eastAsia="宋体" w:cs="Times New Roman"/>
          <w:color w:val="000000" w:themeColor="text1"/>
          <w:szCs w:val="21"/>
          <w:highlight w:val="none"/>
          <w14:textFill>
            <w14:solidFill>
              <w14:schemeClr w14:val="tx1"/>
            </w14:solidFill>
          </w14:textFill>
        </w:rPr>
        <w:t>或消失时定义</w:t>
      </w:r>
      <w:r>
        <w:rPr>
          <w:rFonts w:ascii="Times New Roman" w:hAnsi="Times New Roman" w:eastAsia="宋体" w:cs="Times New Roman"/>
          <w:color w:val="000000" w:themeColor="text1"/>
          <w:szCs w:val="21"/>
          <w:highlight w:val="none"/>
          <w14:textFill>
            <w14:solidFill>
              <w14:schemeClr w14:val="tx1"/>
            </w14:solidFill>
          </w14:textFill>
        </w:rPr>
        <w:t>为肌电信号丢失</w:t>
      </w:r>
      <w:r>
        <w:rPr>
          <w:rFonts w:hint="eastAsia" w:ascii="Times New Roman" w:hAnsi="Times New Roman" w:eastAsia="宋体" w:cs="Times New Roman"/>
          <w:color w:val="000000" w:themeColor="text1"/>
          <w:szCs w:val="21"/>
          <w:highlight w:val="none"/>
          <w14:textFill>
            <w14:solidFill>
              <w14:schemeClr w14:val="tx1"/>
            </w14:solidFill>
          </w14:textFill>
        </w:rPr>
        <w:t>。</w:t>
      </w:r>
    </w:p>
    <w:p w14:paraId="740C4803">
      <w:pPr>
        <w:pStyle w:val="33"/>
        <w:numPr>
          <w:ilvl w:val="2"/>
          <w:numId w:val="6"/>
        </w:numPr>
        <w:shd w:val="clear"/>
        <w:spacing w:before="0" w:beforeLines="-2147483648" w:after="0" w:afterLines="-2147483648"/>
        <w:ind w:firstLine="0" w:firstLineChars="0"/>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术中发生肌电信号异常时</w:t>
      </w:r>
      <w:r>
        <w:rPr>
          <w:rFonts w:hint="eastAsia" w:ascii="Times New Roman" w:hAnsi="Times New Roman" w:eastAsia="宋体" w:cs="Times New Roman"/>
          <w:color w:val="000000" w:themeColor="text1"/>
          <w:szCs w:val="21"/>
          <w:highlight w:val="none"/>
          <w14:textFill>
            <w14:solidFill>
              <w14:schemeClr w14:val="tx1"/>
            </w14:solidFill>
          </w14:textFill>
        </w:rPr>
        <w:t>，首先应鉴别是因</w:t>
      </w:r>
      <w:r>
        <w:rPr>
          <w:rFonts w:ascii="Times New Roman" w:hAnsi="Times New Roman" w:eastAsia="宋体" w:cs="Times New Roman"/>
          <w:color w:val="000000" w:themeColor="text1"/>
          <w:szCs w:val="21"/>
          <w:highlight w:val="none"/>
          <w14:textFill>
            <w14:solidFill>
              <w14:schemeClr w14:val="tx1"/>
            </w14:solidFill>
          </w14:textFill>
        </w:rPr>
        <w:t>监测系统问题</w:t>
      </w:r>
      <w:r>
        <w:rPr>
          <w:rFonts w:hint="eastAsia" w:ascii="Times New Roman" w:hAnsi="Times New Roman" w:eastAsia="宋体" w:cs="Times New Roman"/>
          <w:color w:val="000000" w:themeColor="text1"/>
          <w:szCs w:val="21"/>
          <w:highlight w:val="none"/>
          <w14:textFill>
            <w14:solidFill>
              <w14:schemeClr w14:val="tx1"/>
            </w14:solidFill>
          </w14:textFill>
        </w:rPr>
        <w:t>而导致的假性信号丢失，</w:t>
      </w:r>
      <w:r>
        <w:rPr>
          <w:rFonts w:ascii="Times New Roman" w:hAnsi="Times New Roman" w:eastAsia="宋体" w:cs="Times New Roman"/>
          <w:color w:val="000000" w:themeColor="text1"/>
          <w:szCs w:val="21"/>
          <w:highlight w:val="none"/>
          <w14:textFill>
            <w14:solidFill>
              <w14:schemeClr w14:val="tx1"/>
            </w14:solidFill>
          </w14:textFill>
        </w:rPr>
        <w:t>或</w:t>
      </w:r>
      <w:r>
        <w:rPr>
          <w:rFonts w:hint="eastAsia" w:ascii="Times New Roman" w:hAnsi="Times New Roman" w:eastAsia="宋体" w:cs="Times New Roman"/>
          <w:color w:val="000000" w:themeColor="text1"/>
          <w:szCs w:val="21"/>
          <w:highlight w:val="none"/>
          <w14:textFill>
            <w14:solidFill>
              <w14:schemeClr w14:val="tx1"/>
            </w14:solidFill>
          </w14:textFill>
        </w:rPr>
        <w:t>因损伤而导致的真性信号丢失。</w:t>
      </w:r>
    </w:p>
    <w:p w14:paraId="11520608">
      <w:pPr>
        <w:pStyle w:val="33"/>
        <w:numPr>
          <w:ilvl w:val="1"/>
          <w:numId w:val="6"/>
        </w:numPr>
        <w:shd w:val="clear"/>
        <w:spacing w:before="156" w:beforeLines="50" w:after="156" w:afterLines="50"/>
        <w:ind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hint="eastAsia" w:ascii="黑体" w:hAnsi="黑体" w:eastAsia="黑体" w:cs="黑体"/>
          <w:bCs/>
          <w:color w:val="000000" w:themeColor="text1"/>
          <w:szCs w:val="21"/>
          <w:highlight w:val="none"/>
          <w14:textFill>
            <w14:solidFill>
              <w14:schemeClr w14:val="tx1"/>
            </w14:solidFill>
          </w14:textFill>
        </w:rPr>
        <w:t>监测系统问题分析及处理</w:t>
      </w:r>
    </w:p>
    <w:p w14:paraId="773DA3EA">
      <w:pPr>
        <w:pStyle w:val="33"/>
        <w:numPr>
          <w:ilvl w:val="2"/>
          <w:numId w:val="6"/>
        </w:numPr>
        <w:shd w:val="clear"/>
        <w:spacing w:before="157" w:beforeLines="50" w:after="157" w:afterLines="50"/>
        <w:ind w:firstLine="0" w:firstLineChars="0"/>
        <w:jc w:val="both"/>
        <w:rPr>
          <w:rFonts w:hint="eastAsia" w:ascii="黑体" w:hAnsi="黑体" w:eastAsia="黑体" w:cs="Times New Roman"/>
          <w:color w:val="000000" w:themeColor="text1"/>
          <w:szCs w:val="21"/>
          <w:highlight w:val="none"/>
          <w14:textFill>
            <w14:solidFill>
              <w14:schemeClr w14:val="tx1"/>
            </w14:solidFill>
          </w14:textFill>
        </w:rPr>
      </w:pPr>
      <w:r>
        <w:rPr>
          <w:rFonts w:hint="eastAsia" w:ascii="黑体" w:hAnsi="黑体" w:eastAsia="黑体" w:cs="Times New Roman"/>
          <w:color w:val="000000" w:themeColor="text1"/>
          <w:szCs w:val="21"/>
          <w:highlight w:val="none"/>
          <w14:textFill>
            <w14:solidFill>
              <w14:schemeClr w14:val="tx1"/>
            </w14:solidFill>
          </w14:textFill>
        </w:rPr>
        <w:t>排查流程</w:t>
      </w:r>
    </w:p>
    <w:p w14:paraId="2D12D80E">
      <w:pPr>
        <w:pStyle w:val="33"/>
        <w:shd w:val="clear"/>
        <w:spacing w:before="0" w:beforeLines="-2147483648" w:after="0" w:afterLines="-2147483648"/>
        <w:jc w:val="both"/>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当刺激RLN显露部近端与对侧VN</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信号明显减弱或无法测得时</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考虑监测系统存在异常情况</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可按照监测系统常见问题分析与处理方案进行逐项排查</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见</w:t>
      </w:r>
      <w:r>
        <w:rPr>
          <w:rFonts w:hint="eastAsia" w:ascii="Times New Roman" w:hAnsi="Times New Roman" w:eastAsia="宋体" w:cs="Times New Roman"/>
          <w:color w:val="000000" w:themeColor="text1"/>
          <w:szCs w:val="21"/>
          <w:highlight w:val="none"/>
          <w14:textFill>
            <w14:solidFill>
              <w14:schemeClr w14:val="tx1"/>
            </w14:solidFill>
          </w14:textFill>
        </w:rPr>
        <w:t>图1）。</w:t>
      </w:r>
    </w:p>
    <w:p w14:paraId="15F2C235">
      <w:pPr>
        <w:pStyle w:val="33"/>
        <w:shd w:val="clear"/>
        <w:spacing w:before="156" w:beforeLines="50" w:after="156" w:afterLines="50"/>
        <w:ind w:firstLine="0" w:firstLineChars="0"/>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drawing>
          <wp:inline distT="0" distB="0" distL="0" distR="0">
            <wp:extent cx="5274310" cy="3840480"/>
            <wp:effectExtent l="0" t="0" r="0" b="0"/>
            <wp:docPr id="136"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5"/>
                    <pic:cNvPicPr>
                      <a:picLocks noChangeAspect="1"/>
                    </pic:cNvPicPr>
                  </pic:nvPicPr>
                  <pic:blipFill>
                    <a:blip r:embed="rId16"/>
                    <a:stretch>
                      <a:fillRect/>
                    </a:stretch>
                  </pic:blipFill>
                  <pic:spPr>
                    <a:xfrm>
                      <a:off x="0" y="0"/>
                      <a:ext cx="5274310" cy="3840480"/>
                    </a:xfrm>
                    <a:prstGeom prst="rect">
                      <a:avLst/>
                    </a:prstGeom>
                  </pic:spPr>
                </pic:pic>
              </a:graphicData>
            </a:graphic>
          </wp:inline>
        </w:drawing>
      </w:r>
    </w:p>
    <w:p w14:paraId="15BEC0D0">
      <w:pPr>
        <w:pStyle w:val="73"/>
        <w:numPr>
          <w:ilvl w:val="0"/>
          <w:numId w:val="0"/>
        </w:numPr>
        <w:shd w:val="clear"/>
        <w:spacing w:after="240"/>
        <w:jc w:val="center"/>
        <w:rPr>
          <w:rFonts w:ascii="Times New Roman" w:eastAsia="黑体"/>
          <w:color w:val="000000" w:themeColor="text1"/>
          <w:szCs w:val="21"/>
          <w:highlight w:val="none"/>
          <w14:textFill>
            <w14:solidFill>
              <w14:schemeClr w14:val="tx1"/>
            </w14:solidFill>
          </w14:textFill>
        </w:rPr>
      </w:pPr>
      <w:r>
        <w:rPr>
          <w:rFonts w:ascii="Times New Roman" w:eastAsia="黑体"/>
          <w:color w:val="000000" w:themeColor="text1"/>
          <w:szCs w:val="21"/>
          <w:highlight w:val="none"/>
          <w14:textFill>
            <w14:solidFill>
              <w14:schemeClr w14:val="tx1"/>
            </w14:solidFill>
          </w14:textFill>
        </w:rPr>
        <w:t xml:space="preserve">图1 </w:t>
      </w:r>
      <w:r>
        <w:rPr>
          <w:rFonts w:hint="eastAsia" w:ascii="Times New Roman" w:eastAsia="黑体"/>
          <w:color w:val="000000" w:themeColor="text1"/>
          <w:szCs w:val="21"/>
          <w:highlight w:val="none"/>
          <w14:textFill>
            <w14:solidFill>
              <w14:schemeClr w14:val="tx1"/>
            </w14:solidFill>
          </w14:textFill>
        </w:rPr>
        <w:t>术中监测系统问题所致LOS的分析及处理</w:t>
      </w:r>
    </w:p>
    <w:p w14:paraId="2AE569F6">
      <w:pPr>
        <w:pStyle w:val="33"/>
        <w:numPr>
          <w:ilvl w:val="2"/>
          <w:numId w:val="6"/>
        </w:numPr>
        <w:shd w:val="clear"/>
        <w:spacing w:before="157" w:beforeLines="50" w:after="157" w:afterLines="50"/>
        <w:ind w:firstLine="0" w:firstLineChars="0"/>
        <w:jc w:val="both"/>
        <w:rPr>
          <w:rFonts w:ascii="Times New Roman" w:hAnsi="Times New Roman" w:eastAsia="宋体" w:cs="Times New Roman"/>
          <w:color w:val="000000" w:themeColor="text1"/>
          <w:szCs w:val="21"/>
          <w:highlight w:val="none"/>
          <w14:textFill>
            <w14:solidFill>
              <w14:schemeClr w14:val="tx1"/>
            </w14:solidFill>
          </w14:textFill>
        </w:rPr>
      </w:pPr>
      <w:r>
        <w:rPr>
          <w:rFonts w:ascii="黑体" w:hAnsi="黑体" w:eastAsia="黑体" w:cs="Times New Roman"/>
          <w:color w:val="000000" w:themeColor="text1"/>
          <w:szCs w:val="21"/>
          <w:highlight w:val="none"/>
          <w14:textFill>
            <w14:solidFill>
              <w14:schemeClr w14:val="tx1"/>
            </w14:solidFill>
          </w14:textFill>
        </w:rPr>
        <w:t>麻醉相关问题</w:t>
      </w:r>
    </w:p>
    <w:p w14:paraId="0B91BB3B">
      <w:pPr>
        <w:pStyle w:val="65"/>
        <w:numPr>
          <w:ilvl w:val="0"/>
          <w:numId w:val="0"/>
        </w:numPr>
        <w:shd w:val="clear"/>
        <w:spacing w:before="0" w:beforeLines="0" w:after="0" w:afterLines="0"/>
        <w:ind w:firstLine="420" w:firstLineChars="200"/>
        <w:outlineLvl w:val="9"/>
        <w:rPr>
          <w:rFonts w:ascii="Times New Roman" w:eastAsia="宋体"/>
          <w:color w:val="000000" w:themeColor="text1"/>
          <w:szCs w:val="21"/>
          <w:highlight w:val="none"/>
          <w14:textFill>
            <w14:solidFill>
              <w14:schemeClr w14:val="tx1"/>
            </w14:solidFill>
          </w14:textFill>
        </w:rPr>
      </w:pPr>
      <w:r>
        <w:rPr>
          <w:rFonts w:ascii="Times New Roman" w:eastAsia="宋体"/>
          <w:color w:val="000000" w:themeColor="text1"/>
          <w:szCs w:val="21"/>
          <w:highlight w:val="none"/>
          <w14:textFill>
            <w14:solidFill>
              <w14:schemeClr w14:val="tx1"/>
            </w14:solidFill>
          </w14:textFill>
        </w:rPr>
        <w:t>若刺激</w:t>
      </w:r>
      <w:r>
        <w:rPr>
          <w:rFonts w:hint="eastAsia" w:ascii="Times New Roman" w:eastAsia="宋体"/>
          <w:color w:val="000000" w:themeColor="text1"/>
          <w:szCs w:val="21"/>
          <w:highlight w:val="none"/>
          <w14:textFill>
            <w14:solidFill>
              <w14:schemeClr w14:val="tx1"/>
            </w14:solidFill>
          </w14:textFill>
        </w:rPr>
        <w:t>肌肉</w:t>
      </w:r>
      <w:r>
        <w:rPr>
          <w:rFonts w:ascii="Times New Roman" w:eastAsia="宋体"/>
          <w:color w:val="000000" w:themeColor="text1"/>
          <w:szCs w:val="21"/>
          <w:highlight w:val="none"/>
          <w14:textFill>
            <w14:solidFill>
              <w14:schemeClr w14:val="tx1"/>
            </w14:solidFill>
          </w14:textFill>
        </w:rPr>
        <w:t>无收缩</w:t>
      </w:r>
      <w:r>
        <w:rPr>
          <w:rFonts w:hint="eastAsia" w:ascii="Times New Roman" w:eastAsia="宋体"/>
          <w:color w:val="000000" w:themeColor="text1"/>
          <w:szCs w:val="21"/>
          <w:highlight w:val="none"/>
          <w14:textFill>
            <w14:solidFill>
              <w14:schemeClr w14:val="tx1"/>
            </w14:solidFill>
          </w14:textFill>
        </w:rPr>
        <w:t>，</w:t>
      </w:r>
      <w:r>
        <w:rPr>
          <w:rFonts w:ascii="Times New Roman" w:eastAsia="宋体"/>
          <w:color w:val="000000" w:themeColor="text1"/>
          <w:szCs w:val="21"/>
          <w:highlight w:val="none"/>
          <w14:textFill>
            <w14:solidFill>
              <w14:schemeClr w14:val="tx1"/>
            </w14:solidFill>
          </w14:textFill>
        </w:rPr>
        <w:t>电流</w:t>
      </w:r>
      <w:r>
        <w:rPr>
          <w:rFonts w:hint="eastAsia" w:ascii="Times New Roman" w:eastAsia="宋体"/>
          <w:color w:val="000000" w:themeColor="text1"/>
          <w:szCs w:val="21"/>
          <w:highlight w:val="none"/>
          <w14:textFill>
            <w14:solidFill>
              <w14:schemeClr w14:val="tx1"/>
            </w14:solidFill>
          </w14:textFill>
        </w:rPr>
        <w:t>输出</w:t>
      </w:r>
      <w:r>
        <w:rPr>
          <w:rFonts w:ascii="Times New Roman" w:eastAsia="宋体"/>
          <w:color w:val="000000" w:themeColor="text1"/>
          <w:szCs w:val="21"/>
          <w:highlight w:val="none"/>
          <w14:textFill>
            <w14:solidFill>
              <w14:schemeClr w14:val="tx1"/>
            </w14:solidFill>
          </w14:textFill>
        </w:rPr>
        <w:t>正常，提示肌松剂过量</w:t>
      </w:r>
      <w:r>
        <w:rPr>
          <w:rFonts w:hint="eastAsia" w:ascii="Times New Roman" w:eastAsia="宋体"/>
          <w:color w:val="000000" w:themeColor="text1"/>
          <w:szCs w:val="21"/>
          <w:highlight w:val="none"/>
          <w14:textFill>
            <w14:solidFill>
              <w14:schemeClr w14:val="tx1"/>
            </w14:solidFill>
          </w14:textFill>
        </w:rPr>
        <w:t>。此时，</w:t>
      </w:r>
      <w:r>
        <w:rPr>
          <w:rFonts w:ascii="Times New Roman" w:eastAsia="宋体"/>
          <w:color w:val="000000" w:themeColor="text1"/>
          <w:szCs w:val="21"/>
          <w:highlight w:val="none"/>
          <w14:textFill>
            <w14:solidFill>
              <w14:schemeClr w14:val="tx1"/>
            </w14:solidFill>
          </w14:textFill>
        </w:rPr>
        <w:t>可暂停涉及神经区域的手术操作或应用拮抗剂，待肌松效果减弱后再行手术操作</w:t>
      </w:r>
      <w:r>
        <w:rPr>
          <w:rFonts w:hint="eastAsia" w:ascii="Times New Roman" w:eastAsia="宋体"/>
          <w:color w:val="000000" w:themeColor="text1"/>
          <w:szCs w:val="21"/>
          <w:highlight w:val="none"/>
          <w14:textFill>
            <w14:solidFill>
              <w14:schemeClr w14:val="tx1"/>
            </w14:solidFill>
          </w14:textFill>
        </w:rPr>
        <w:t>。</w:t>
      </w:r>
    </w:p>
    <w:p w14:paraId="5629FB51">
      <w:pPr>
        <w:pStyle w:val="33"/>
        <w:numPr>
          <w:ilvl w:val="2"/>
          <w:numId w:val="6"/>
        </w:numPr>
        <w:shd w:val="clear"/>
        <w:spacing w:before="157" w:beforeLines="50" w:after="157" w:afterLines="50"/>
        <w:ind w:firstLine="0" w:firstLineChars="0"/>
        <w:jc w:val="both"/>
        <w:rPr>
          <w:rFonts w:hint="eastAsia" w:ascii="黑体" w:hAnsi="黑体" w:eastAsia="黑体" w:cs="Times New Roman"/>
          <w:color w:val="000000" w:themeColor="text1"/>
          <w:szCs w:val="21"/>
          <w:highlight w:val="none"/>
          <w14:textFill>
            <w14:solidFill>
              <w14:schemeClr w14:val="tx1"/>
            </w14:solidFill>
          </w14:textFill>
        </w:rPr>
      </w:pPr>
      <w:r>
        <w:rPr>
          <w:rFonts w:ascii="黑体" w:hAnsi="黑体" w:eastAsia="黑体" w:cs="Times New Roman"/>
          <w:color w:val="000000" w:themeColor="text1"/>
          <w:szCs w:val="21"/>
          <w:highlight w:val="none"/>
          <w14:textFill>
            <w14:solidFill>
              <w14:schemeClr w14:val="tx1"/>
            </w14:solidFill>
          </w14:textFill>
        </w:rPr>
        <w:t>刺激端相关问题</w:t>
      </w:r>
    </w:p>
    <w:p w14:paraId="396EA77A">
      <w:pPr>
        <w:pStyle w:val="33"/>
        <w:numPr>
          <w:ilvl w:val="3"/>
          <w:numId w:val="6"/>
        </w:numPr>
        <w:shd w:val="clear"/>
        <w:spacing w:before="0" w:beforeLines="-2147483648" w:after="0" w:afterLines="-2147483648"/>
        <w:ind w:left="4" w:hanging="4" w:firstLineChars="0"/>
        <w:rPr>
          <w:rFonts w:hint="eastAsia" w:ascii="宋体" w:hAnsi="宋体"/>
          <w:bCs/>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若</w:t>
      </w:r>
      <w:r>
        <w:rPr>
          <w:rFonts w:ascii="Times New Roman" w:hAnsi="Times New Roman" w:eastAsia="宋体" w:cs="Times New Roman"/>
          <w:color w:val="000000" w:themeColor="text1"/>
          <w:szCs w:val="21"/>
          <w:highlight w:val="none"/>
          <w14:textFill>
            <w14:solidFill>
              <w14:schemeClr w14:val="tx1"/>
            </w14:solidFill>
          </w14:textFill>
        </w:rPr>
        <w:t>刺激肌肉收缩</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电流返回正常</w:t>
      </w:r>
      <w:r>
        <w:rPr>
          <w:rFonts w:hint="eastAsia" w:ascii="Times New Roman" w:hAnsi="Times New Roman" w:eastAsia="宋体" w:cs="Times New Roman"/>
          <w:color w:val="000000" w:themeColor="text1"/>
          <w:szCs w:val="21"/>
          <w:highlight w:val="none"/>
          <w14:textFill>
            <w14:solidFill>
              <w14:schemeClr w14:val="tx1"/>
            </w14:solidFill>
          </w14:textFill>
        </w:rPr>
        <w:t>，提示电流弥散。此时，可</w:t>
      </w:r>
      <w:r>
        <w:rPr>
          <w:rFonts w:ascii="Times New Roman" w:hAnsi="Times New Roman" w:eastAsia="宋体" w:cs="Times New Roman"/>
          <w:color w:val="000000" w:themeColor="text1"/>
          <w:szCs w:val="21"/>
          <w:highlight w:val="none"/>
          <w14:textFill>
            <w14:solidFill>
              <w14:schemeClr w14:val="tx1"/>
            </w14:solidFill>
          </w14:textFill>
        </w:rPr>
        <w:t>需擦拭术野液体或适当增加刺激电流强度</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监测过程中应避免神经表面覆盖血液或其他液体</w:t>
      </w:r>
      <w:r>
        <w:rPr>
          <w:rFonts w:hint="eastAsia" w:ascii="Times New Roman" w:hAnsi="Times New Roman" w:eastAsia="宋体" w:cs="Times New Roman"/>
          <w:color w:val="000000" w:themeColor="text1"/>
          <w:szCs w:val="21"/>
          <w:highlight w:val="none"/>
          <w14:textFill>
            <w14:solidFill>
              <w14:schemeClr w14:val="tx1"/>
            </w14:solidFill>
          </w14:textFill>
        </w:rPr>
        <w:t>。</w:t>
      </w:r>
    </w:p>
    <w:p w14:paraId="17E12EB1">
      <w:pPr>
        <w:pStyle w:val="33"/>
        <w:numPr>
          <w:ilvl w:val="3"/>
          <w:numId w:val="6"/>
        </w:numPr>
        <w:shd w:val="clear"/>
        <w:spacing w:before="0" w:beforeLines="-2147483648" w:after="0" w:afterLines="-2147483648"/>
        <w:ind w:left="4" w:hanging="4" w:firstLineChars="0"/>
        <w:rPr>
          <w:rFonts w:hint="eastAsia" w:ascii="宋体" w:hAnsi="宋体"/>
          <w:bCs/>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若</w:t>
      </w:r>
      <w:r>
        <w:rPr>
          <w:rFonts w:ascii="Times New Roman" w:hAnsi="Times New Roman" w:eastAsia="宋体" w:cs="Times New Roman"/>
          <w:color w:val="000000" w:themeColor="text1"/>
          <w:szCs w:val="21"/>
          <w:highlight w:val="none"/>
          <w14:textFill>
            <w14:solidFill>
              <w14:schemeClr w14:val="tx1"/>
            </w14:solidFill>
          </w14:textFill>
        </w:rPr>
        <w:t>刺激肌肉无收缩</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电流</w:t>
      </w:r>
      <w:r>
        <w:rPr>
          <w:rFonts w:hint="eastAsia" w:ascii="Times New Roman" w:hAnsi="Times New Roman" w:eastAsia="宋体" w:cs="Times New Roman"/>
          <w:color w:val="000000" w:themeColor="text1"/>
          <w:szCs w:val="21"/>
          <w:highlight w:val="none"/>
          <w14:textFill>
            <w14:solidFill>
              <w14:schemeClr w14:val="tx1"/>
            </w14:solidFill>
          </w14:textFill>
        </w:rPr>
        <w:t>输出显示</w:t>
      </w:r>
      <w:r>
        <w:rPr>
          <w:rFonts w:ascii="Times New Roman" w:hAnsi="Times New Roman" w:eastAsia="宋体" w:cs="Times New Roman"/>
          <w:color w:val="000000" w:themeColor="text1"/>
          <w:szCs w:val="21"/>
          <w:highlight w:val="none"/>
          <w14:textFill>
            <w14:solidFill>
              <w14:schemeClr w14:val="tx1"/>
            </w14:solidFill>
          </w14:textFill>
        </w:rPr>
        <w:t>为“0”</w:t>
      </w:r>
      <w:r>
        <w:rPr>
          <w:rFonts w:hint="eastAsia" w:ascii="Times New Roman" w:hAnsi="Times New Roman" w:eastAsia="宋体" w:cs="Times New Roman"/>
          <w:color w:val="000000" w:themeColor="text1"/>
          <w:szCs w:val="21"/>
          <w:highlight w:val="none"/>
          <w14:textFill>
            <w14:solidFill>
              <w14:schemeClr w14:val="tx1"/>
            </w14:solidFill>
          </w14:textFill>
        </w:rPr>
        <w:t>，提示</w:t>
      </w:r>
      <w:r>
        <w:rPr>
          <w:rFonts w:ascii="Times New Roman" w:hAnsi="Times New Roman" w:eastAsia="宋体" w:cs="Times New Roman"/>
          <w:color w:val="000000" w:themeColor="text1"/>
          <w:szCs w:val="21"/>
          <w:highlight w:val="none"/>
          <w14:textFill>
            <w14:solidFill>
              <w14:schemeClr w14:val="tx1"/>
            </w14:solidFill>
          </w14:textFill>
        </w:rPr>
        <w:t>刺激电流无法传递至神经，造成无法测得肌电信号。常见原因包括：刺激探针损坏</w:t>
      </w:r>
      <w:r>
        <w:rPr>
          <w:rFonts w:hint="eastAsia" w:ascii="Times New Roman" w:hAnsi="Times New Roman" w:eastAsia="宋体" w:cs="Times New Roman"/>
          <w:color w:val="000000" w:themeColor="text1"/>
          <w:szCs w:val="21"/>
          <w:highlight w:val="none"/>
          <w14:textFill>
            <w14:solidFill>
              <w14:schemeClr w14:val="tx1"/>
            </w14:solidFill>
          </w14:textFill>
        </w:rPr>
        <w:t>、系统设置不当、连接错误、</w:t>
      </w:r>
      <w:r>
        <w:rPr>
          <w:rFonts w:ascii="Times New Roman" w:hAnsi="Times New Roman" w:eastAsia="宋体" w:cs="Times New Roman"/>
          <w:color w:val="000000" w:themeColor="text1"/>
          <w:szCs w:val="21"/>
          <w:highlight w:val="none"/>
          <w14:textFill>
            <w14:solidFill>
              <w14:schemeClr w14:val="tx1"/>
            </w14:solidFill>
          </w14:textFill>
        </w:rPr>
        <w:t>保险丝熔断等</w:t>
      </w:r>
      <w:r>
        <w:rPr>
          <w:rFonts w:hint="eastAsia" w:ascii="Times New Roman" w:hAnsi="Times New Roman" w:eastAsia="宋体" w:cs="Times New Roman"/>
          <w:color w:val="000000" w:themeColor="text1"/>
          <w:szCs w:val="21"/>
          <w:highlight w:val="none"/>
          <w14:textFill>
            <w14:solidFill>
              <w14:schemeClr w14:val="tx1"/>
            </w14:solidFill>
          </w14:textFill>
        </w:rPr>
        <w:t>。</w:t>
      </w:r>
    </w:p>
    <w:p w14:paraId="46AAB6CE">
      <w:pPr>
        <w:pStyle w:val="33"/>
        <w:numPr>
          <w:ilvl w:val="2"/>
          <w:numId w:val="6"/>
        </w:numPr>
        <w:shd w:val="clear"/>
        <w:spacing w:before="157" w:beforeLines="50" w:after="157" w:afterLines="50"/>
        <w:ind w:firstLine="0" w:firstLineChars="0"/>
        <w:jc w:val="both"/>
        <w:rPr>
          <w:rFonts w:hint="default" w:ascii="黑体" w:hAnsi="黑体" w:eastAsia="黑体" w:cs="Times New Roman"/>
          <w:color w:val="000000" w:themeColor="text1"/>
          <w:szCs w:val="21"/>
          <w:highlight w:val="none"/>
          <w14:textFill>
            <w14:solidFill>
              <w14:schemeClr w14:val="tx1"/>
            </w14:solidFill>
          </w14:textFill>
        </w:rPr>
      </w:pPr>
      <w:r>
        <w:rPr>
          <w:rFonts w:ascii="黑体" w:hAnsi="黑体" w:eastAsia="黑体" w:cs="Times New Roman"/>
          <w:color w:val="000000" w:themeColor="text1"/>
          <w:szCs w:val="21"/>
          <w:highlight w:val="none"/>
          <w14:textFill>
            <w14:solidFill>
              <w14:schemeClr w14:val="tx1"/>
            </w14:solidFill>
          </w14:textFill>
        </w:rPr>
        <w:t>记录端相关问题</w:t>
      </w:r>
    </w:p>
    <w:p w14:paraId="0E906DCD">
      <w:pPr>
        <w:pStyle w:val="33"/>
        <w:numPr>
          <w:ilvl w:val="3"/>
          <w:numId w:val="6"/>
        </w:numPr>
        <w:shd w:val="clear"/>
        <w:spacing w:before="0" w:beforeLines="-2147483648" w:after="0" w:afterLines="-2147483648"/>
        <w:ind w:left="284" w:hanging="284" w:firstLineChars="0"/>
        <w:rPr>
          <w:rFonts w:hint="eastAsia" w:ascii="宋体" w:hAnsi="宋体"/>
          <w:bCs/>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监测导管相关问题所致LOS包括以下情况</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p w14:paraId="5F47A541">
      <w:pPr>
        <w:pStyle w:val="73"/>
        <w:shd w:val="clear"/>
        <w:tabs>
          <w:tab w:val="left" w:pos="840"/>
          <w:tab w:val="clear" w:pos="567"/>
        </w:tabs>
        <w:ind w:left="827" w:hanging="407"/>
        <w:jc w:val="both"/>
        <w:rPr>
          <w:rFonts w:hint="eastAsia" w:hAnsi="宋体"/>
          <w:bCs/>
          <w:color w:val="000000" w:themeColor="text1"/>
          <w:szCs w:val="21"/>
          <w:highlight w:val="none"/>
          <w14:textFill>
            <w14:solidFill>
              <w14:schemeClr w14:val="tx1"/>
            </w14:solidFill>
          </w14:textFill>
        </w:rPr>
      </w:pPr>
      <w:r>
        <w:rPr>
          <w:rFonts w:hint="eastAsia" w:ascii="Times New Roman"/>
          <w:color w:val="000000" w:themeColor="text1"/>
          <w:szCs w:val="21"/>
          <w:highlight w:val="none"/>
          <w14:textFill>
            <w14:solidFill>
              <w14:schemeClr w14:val="tx1"/>
            </w14:solidFill>
          </w14:textFill>
        </w:rPr>
        <w:t>若</w:t>
      </w:r>
      <w:r>
        <w:rPr>
          <w:rFonts w:ascii="Times New Roman"/>
          <w:color w:val="000000" w:themeColor="text1"/>
          <w:szCs w:val="21"/>
          <w:highlight w:val="none"/>
          <w14:textFill>
            <w14:solidFill>
              <w14:schemeClr w14:val="tx1"/>
            </w14:solidFill>
          </w14:textFill>
        </w:rPr>
        <w:t>单侧记录电极阻抗升高</w:t>
      </w:r>
      <w:r>
        <w:rPr>
          <w:rFonts w:hint="eastAsia" w:ascii="Times New Roman"/>
          <w:color w:val="000000" w:themeColor="text1"/>
          <w:szCs w:val="21"/>
          <w:highlight w:val="none"/>
          <w14:textFill>
            <w14:solidFill>
              <w14:schemeClr w14:val="tx1"/>
            </w14:solidFill>
          </w14:textFill>
        </w:rPr>
        <w:t>，提示</w:t>
      </w:r>
      <w:r>
        <w:rPr>
          <w:rFonts w:ascii="Times New Roman"/>
          <w:color w:val="000000" w:themeColor="text1"/>
          <w:szCs w:val="21"/>
          <w:highlight w:val="none"/>
          <w14:textFill>
            <w14:solidFill>
              <w14:schemeClr w14:val="tx1"/>
            </w14:solidFill>
          </w14:textFill>
        </w:rPr>
        <w:t>监测导管偏转</w:t>
      </w:r>
      <w:r>
        <w:rPr>
          <w:rFonts w:hint="eastAsia" w:ascii="Times New Roman"/>
          <w:color w:val="000000" w:themeColor="text1"/>
          <w:szCs w:val="21"/>
          <w:highlight w:val="none"/>
          <w14:textFill>
            <w14:solidFill>
              <w14:schemeClr w14:val="tx1"/>
            </w14:solidFill>
          </w14:textFill>
        </w:rPr>
        <w:t>。</w:t>
      </w:r>
    </w:p>
    <w:p w14:paraId="4B0F9D10">
      <w:pPr>
        <w:pStyle w:val="73"/>
        <w:numPr>
          <w:ilvl w:val="-1"/>
          <w:numId w:val="0"/>
        </w:numPr>
        <w:shd w:val="clear"/>
        <w:ind w:left="420" w:firstLine="0"/>
        <w:jc w:val="both"/>
        <w:rPr>
          <w:rFonts w:hint="eastAsia" w:hAnsi="宋体"/>
          <w:bCs/>
          <w:color w:val="000000" w:themeColor="text1"/>
          <w:szCs w:val="21"/>
          <w:highlight w:val="none"/>
          <w14:textFill>
            <w14:solidFill>
              <w14:schemeClr w14:val="tx1"/>
            </w14:solidFill>
          </w14:textFill>
        </w:rPr>
      </w:pPr>
      <w:r>
        <w:rPr>
          <w:rFonts w:hint="eastAsia" w:ascii="Times New Roman"/>
          <w:color w:val="000000" w:themeColor="text1"/>
          <w:szCs w:val="21"/>
          <w:highlight w:val="none"/>
          <w:lang w:eastAsia="zh-CN"/>
          <w14:textFill>
            <w14:solidFill>
              <w14:schemeClr w14:val="tx1"/>
            </w14:solidFill>
          </w14:textFill>
        </w:rPr>
        <w:t>——</w:t>
      </w:r>
      <w:r>
        <w:rPr>
          <w:rFonts w:hint="eastAsia" w:ascii="Times New Roman"/>
          <w:color w:val="000000" w:themeColor="text1"/>
          <w:szCs w:val="21"/>
          <w:highlight w:val="none"/>
          <w14:textFill>
            <w14:solidFill>
              <w14:schemeClr w14:val="tx1"/>
            </w14:solidFill>
          </w14:textFill>
        </w:rPr>
        <w:t>若双侧</w:t>
      </w:r>
      <w:r>
        <w:rPr>
          <w:rFonts w:ascii="Times New Roman"/>
          <w:color w:val="000000" w:themeColor="text1"/>
          <w:szCs w:val="21"/>
          <w:highlight w:val="none"/>
          <w14:textFill>
            <w14:solidFill>
              <w14:schemeClr w14:val="tx1"/>
            </w14:solidFill>
          </w14:textFill>
        </w:rPr>
        <w:t>记录电极阻抗正常</w:t>
      </w:r>
      <w:r>
        <w:rPr>
          <w:rFonts w:hint="eastAsia" w:asci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刺激气管产生杂波</w:t>
      </w:r>
      <w:r>
        <w:rPr>
          <w:rFonts w:hint="eastAsia" w:ascii="Times New Roman"/>
          <w:color w:val="000000" w:themeColor="text1"/>
          <w:szCs w:val="21"/>
          <w:highlight w:val="none"/>
          <w14:textFill>
            <w14:solidFill>
              <w14:schemeClr w14:val="tx1"/>
            </w14:solidFill>
          </w14:textFill>
        </w:rPr>
        <w:t>，提示</w:t>
      </w:r>
      <w:r>
        <w:rPr>
          <w:rFonts w:ascii="Times New Roman"/>
          <w:color w:val="000000" w:themeColor="text1"/>
          <w:szCs w:val="21"/>
          <w:highlight w:val="none"/>
          <w14:textFill>
            <w14:solidFill>
              <w14:schemeClr w14:val="tx1"/>
            </w14:solidFill>
          </w14:textFill>
        </w:rPr>
        <w:t>监测导管过深</w:t>
      </w:r>
      <w:r>
        <w:rPr>
          <w:rFonts w:hint="eastAsia" w:ascii="Times New Roman"/>
          <w:color w:val="000000" w:themeColor="text1"/>
          <w:szCs w:val="21"/>
          <w:highlight w:val="none"/>
          <w14:textFill>
            <w14:solidFill>
              <w14:schemeClr w14:val="tx1"/>
            </w14:solidFill>
          </w14:textFill>
        </w:rPr>
        <w:t>。</w:t>
      </w:r>
    </w:p>
    <w:p w14:paraId="7C75CE25">
      <w:pPr>
        <w:pStyle w:val="73"/>
        <w:numPr>
          <w:ilvl w:val="-1"/>
          <w:numId w:val="0"/>
        </w:numPr>
        <w:shd w:val="clear"/>
        <w:ind w:left="420" w:firstLine="0"/>
        <w:jc w:val="both"/>
        <w:rPr>
          <w:rFonts w:hint="eastAsia" w:hAnsi="宋体"/>
          <w:bCs/>
          <w:color w:val="000000" w:themeColor="text1"/>
          <w:szCs w:val="21"/>
          <w:highlight w:val="none"/>
          <w14:textFill>
            <w14:solidFill>
              <w14:schemeClr w14:val="tx1"/>
            </w14:solidFill>
          </w14:textFill>
        </w:rPr>
      </w:pPr>
      <w:r>
        <w:rPr>
          <w:rFonts w:hint="eastAsia" w:ascii="Times New Roman"/>
          <w:color w:val="000000" w:themeColor="text1"/>
          <w:szCs w:val="21"/>
          <w:highlight w:val="none"/>
          <w:lang w:eastAsia="zh-CN"/>
          <w14:textFill>
            <w14:solidFill>
              <w14:schemeClr w14:val="tx1"/>
            </w14:solidFill>
          </w14:textFill>
        </w:rPr>
        <w:t>——</w:t>
      </w:r>
      <w:r>
        <w:rPr>
          <w:rFonts w:hint="eastAsia" w:ascii="Times New Roman"/>
          <w:color w:val="000000" w:themeColor="text1"/>
          <w:szCs w:val="21"/>
          <w:highlight w:val="none"/>
          <w14:textFill>
            <w14:solidFill>
              <w14:schemeClr w14:val="tx1"/>
            </w14:solidFill>
          </w14:textFill>
        </w:rPr>
        <w:t>若</w:t>
      </w:r>
      <w:r>
        <w:rPr>
          <w:rFonts w:ascii="Times New Roman"/>
          <w:color w:val="000000" w:themeColor="text1"/>
          <w:szCs w:val="21"/>
          <w:highlight w:val="none"/>
          <w14:textFill>
            <w14:solidFill>
              <w14:schemeClr w14:val="tx1"/>
            </w14:solidFill>
          </w14:textFill>
        </w:rPr>
        <w:t>双侧记录电极阻抗异常</w:t>
      </w:r>
      <w:r>
        <w:rPr>
          <w:rFonts w:hint="eastAsia" w:asci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伴干扰波形</w:t>
      </w:r>
      <w:r>
        <w:rPr>
          <w:rFonts w:hint="eastAsia" w:ascii="Times New Roman"/>
          <w:color w:val="000000" w:themeColor="text1"/>
          <w:szCs w:val="21"/>
          <w:highlight w:val="none"/>
          <w14:textFill>
            <w14:solidFill>
              <w14:schemeClr w14:val="tx1"/>
            </w14:solidFill>
          </w14:textFill>
        </w:rPr>
        <w:t>，提示</w:t>
      </w:r>
      <w:r>
        <w:rPr>
          <w:rFonts w:ascii="Times New Roman"/>
          <w:color w:val="000000" w:themeColor="text1"/>
          <w:szCs w:val="21"/>
          <w:highlight w:val="none"/>
          <w14:textFill>
            <w14:solidFill>
              <w14:schemeClr w14:val="tx1"/>
            </w14:solidFill>
          </w14:textFill>
        </w:rPr>
        <w:t>监测导管过浅</w:t>
      </w:r>
      <w:r>
        <w:rPr>
          <w:rFonts w:hint="eastAsia" w:ascii="Times New Roman"/>
          <w:color w:val="000000" w:themeColor="text1"/>
          <w:szCs w:val="21"/>
          <w:highlight w:val="none"/>
          <w14:textFill>
            <w14:solidFill>
              <w14:schemeClr w14:val="tx1"/>
            </w14:solidFill>
          </w14:textFill>
        </w:rPr>
        <w:t>或</w:t>
      </w:r>
      <w:r>
        <w:rPr>
          <w:rFonts w:ascii="Times New Roman"/>
          <w:color w:val="000000" w:themeColor="text1"/>
          <w:szCs w:val="21"/>
          <w:highlight w:val="none"/>
          <w14:textFill>
            <w14:solidFill>
              <w14:schemeClr w14:val="tx1"/>
            </w14:solidFill>
          </w14:textFill>
        </w:rPr>
        <w:t>表面电极接触不良</w:t>
      </w:r>
      <w:r>
        <w:rPr>
          <w:rFonts w:hint="eastAsia" w:ascii="Times New Roman"/>
          <w:color w:val="000000" w:themeColor="text1"/>
          <w:szCs w:val="21"/>
          <w:highlight w:val="none"/>
          <w14:textFill>
            <w14:solidFill>
              <w14:schemeClr w14:val="tx1"/>
            </w14:solidFill>
          </w14:textFill>
        </w:rPr>
        <w:t>。</w:t>
      </w:r>
    </w:p>
    <w:p w14:paraId="1D6862CA">
      <w:pPr>
        <w:pStyle w:val="33"/>
        <w:numPr>
          <w:ilvl w:val="3"/>
          <w:numId w:val="6"/>
        </w:numPr>
        <w:shd w:val="clear"/>
        <w:spacing w:before="0" w:beforeLines="-2147483648" w:after="0" w:afterLines="-2147483648"/>
        <w:ind w:left="4" w:hanging="4" w:firstLineChar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考虑发生</w:t>
      </w:r>
      <w:r>
        <w:rPr>
          <w:rFonts w:hint="eastAsia" w:ascii="Times New Roman" w:hAnsi="Times New Roman" w:eastAsia="宋体" w:cs="Times New Roman"/>
          <w:color w:val="000000" w:themeColor="text1"/>
          <w:szCs w:val="21"/>
          <w:highlight w:val="none"/>
          <w14:textFill>
            <w14:solidFill>
              <w14:schemeClr w14:val="tx1"/>
            </w14:solidFill>
          </w14:textFill>
        </w:rPr>
        <w:t>监测导管相关问题</w:t>
      </w:r>
      <w:r>
        <w:rPr>
          <w:rFonts w:ascii="Times New Roman" w:hAnsi="Times New Roman" w:eastAsia="宋体" w:cs="Times New Roman"/>
          <w:color w:val="000000" w:themeColor="text1"/>
          <w:szCs w:val="21"/>
          <w:highlight w:val="none"/>
          <w14:textFill>
            <w14:solidFill>
              <w14:schemeClr w14:val="tx1"/>
            </w14:solidFill>
          </w14:textFill>
        </w:rPr>
        <w:t>时</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可先应用</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交叉电极法</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排查原因并改善由监测导管偏转导致的信号不良情况。</w:t>
      </w:r>
      <w:r>
        <w:rPr>
          <w:rFonts w:hint="eastAsia" w:ascii="Times New Roman" w:hAnsi="Times New Roman" w:eastAsia="宋体" w:cs="Times New Roman"/>
          <w:color w:val="000000" w:themeColor="text1"/>
          <w:szCs w:val="21"/>
          <w:highlight w:val="none"/>
          <w14:textFill>
            <w14:solidFill>
              <w14:schemeClr w14:val="tx1"/>
            </w14:solidFill>
          </w14:textFill>
        </w:rPr>
        <w:t>此外，可</w:t>
      </w:r>
      <w:r>
        <w:rPr>
          <w:rFonts w:ascii="Times New Roman" w:hAnsi="Times New Roman" w:eastAsia="宋体" w:cs="Times New Roman"/>
          <w:color w:val="000000" w:themeColor="text1"/>
          <w:szCs w:val="21"/>
          <w:highlight w:val="none"/>
          <w14:textFill>
            <w14:solidFill>
              <w14:schemeClr w14:val="tx1"/>
            </w14:solidFill>
          </w14:textFill>
        </w:rPr>
        <w:t>与麻醉医师合作</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在探测迷走神经的同时调整监测导管</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待肌电信号改善后再行手术操作</w:t>
      </w:r>
      <w:r>
        <w:rPr>
          <w:rFonts w:hint="eastAsia" w:ascii="Times New Roman" w:hAnsi="Times New Roman" w:eastAsia="宋体" w:cs="Times New Roman"/>
          <w:color w:val="000000" w:themeColor="text1"/>
          <w:szCs w:val="21"/>
          <w:highlight w:val="none"/>
          <w14:textFill>
            <w14:solidFill>
              <w14:schemeClr w14:val="tx1"/>
            </w14:solidFill>
          </w14:textFill>
        </w:rPr>
        <w:t>。</w:t>
      </w:r>
    </w:p>
    <w:p w14:paraId="09AC3B66">
      <w:pPr>
        <w:pStyle w:val="33"/>
        <w:numPr>
          <w:ilvl w:val="2"/>
          <w:numId w:val="6"/>
        </w:numPr>
        <w:shd w:val="clear"/>
        <w:spacing w:before="157" w:beforeLines="50" w:after="157" w:afterLines="50"/>
        <w:ind w:firstLine="0" w:firstLineChars="0"/>
        <w:jc w:val="both"/>
        <w:rPr>
          <w:rFonts w:hint="eastAsia" w:ascii="黑体" w:hAnsi="黑体" w:eastAsia="黑体" w:cs="Times New Roman"/>
          <w:color w:val="000000" w:themeColor="text1"/>
          <w:szCs w:val="21"/>
          <w:highlight w:val="none"/>
          <w14:textFill>
            <w14:solidFill>
              <w14:schemeClr w14:val="tx1"/>
            </w14:solidFill>
          </w14:textFill>
        </w:rPr>
      </w:pPr>
      <w:r>
        <w:rPr>
          <w:rFonts w:ascii="黑体" w:hAnsi="黑体" w:eastAsia="黑体" w:cs="Times New Roman"/>
          <w:color w:val="000000" w:themeColor="text1"/>
          <w:szCs w:val="21"/>
          <w:highlight w:val="none"/>
          <w14:textFill>
            <w14:solidFill>
              <w14:schemeClr w14:val="tx1"/>
            </w14:solidFill>
          </w14:textFill>
        </w:rPr>
        <w:t>线路连接相关问题</w:t>
      </w:r>
    </w:p>
    <w:p w14:paraId="7673BC37">
      <w:pPr>
        <w:pStyle w:val="33"/>
        <w:shd w:val="clear"/>
        <w:spacing w:before="0" w:beforeLines="-2147483648" w:after="0" w:afterLines="-2147483648"/>
        <w:ind w:firstLineChars="0"/>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线路连接问题所致LOS常表现为出现严重的干扰波形，包括以下情况</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p w14:paraId="6CC46981">
      <w:pPr>
        <w:pStyle w:val="73"/>
        <w:numPr>
          <w:ilvl w:val="-1"/>
          <w:numId w:val="0"/>
        </w:numPr>
        <w:shd w:val="clear"/>
        <w:tabs>
          <w:tab w:val="left" w:pos="1060"/>
          <w:tab w:val="clear" w:pos="567"/>
        </w:tabs>
        <w:ind w:left="420" w:firstLine="0"/>
        <w:jc w:val="both"/>
        <w:rPr>
          <w:rFonts w:hint="eastAsia" w:hAnsi="宋体"/>
          <w:bCs/>
          <w:color w:val="000000" w:themeColor="text1"/>
          <w:szCs w:val="21"/>
          <w:highlight w:val="none"/>
          <w14:textFill>
            <w14:solidFill>
              <w14:schemeClr w14:val="tx1"/>
            </w14:solidFill>
          </w14:textFill>
        </w:rPr>
      </w:pPr>
      <w:r>
        <w:rPr>
          <w:rFonts w:hint="eastAsia" w:ascii="Times New Roman"/>
          <w:color w:val="000000" w:themeColor="text1"/>
          <w:szCs w:val="21"/>
          <w:highlight w:val="none"/>
          <w:lang w:eastAsia="zh-CN"/>
          <w14:textFill>
            <w14:solidFill>
              <w14:schemeClr w14:val="tx1"/>
            </w14:solidFill>
          </w14:textFill>
        </w:rPr>
        <w:t>——</w:t>
      </w:r>
      <w:r>
        <w:rPr>
          <w:rFonts w:hint="eastAsia" w:ascii="Times New Roman"/>
          <w:color w:val="000000" w:themeColor="text1"/>
          <w:szCs w:val="21"/>
          <w:highlight w:val="none"/>
          <w14:textFill>
            <w14:solidFill>
              <w14:schemeClr w14:val="tx1"/>
            </w14:solidFill>
          </w14:textFill>
        </w:rPr>
        <w:t>若</w:t>
      </w:r>
      <w:r>
        <w:rPr>
          <w:rFonts w:ascii="Times New Roman"/>
          <w:color w:val="000000" w:themeColor="text1"/>
          <w:szCs w:val="21"/>
          <w:highlight w:val="none"/>
          <w14:textFill>
            <w14:solidFill>
              <w14:schemeClr w14:val="tx1"/>
            </w14:solidFill>
          </w14:textFill>
        </w:rPr>
        <w:t>回路电极及接地电极脱落</w:t>
      </w:r>
      <w:r>
        <w:rPr>
          <w:rFonts w:hint="eastAsia" w:ascii="Times New Roman"/>
          <w:color w:val="000000" w:themeColor="text1"/>
          <w:szCs w:val="21"/>
          <w:highlight w:val="none"/>
          <w14:textFill>
            <w14:solidFill>
              <w14:schemeClr w14:val="tx1"/>
            </w14:solidFill>
          </w14:textFill>
        </w:rPr>
        <w:t>，应重新放置相关电极</w:t>
      </w:r>
      <w:r>
        <w:rPr>
          <w:rFonts w:hint="eastAsia" w:ascii="Times New Roman"/>
          <w:color w:val="000000" w:themeColor="text1"/>
          <w:szCs w:val="21"/>
          <w:highlight w:val="none"/>
          <w14:textFill>
            <w14:solidFill>
              <w14:schemeClr w14:val="tx1"/>
            </w14:solidFill>
          </w14:textFill>
        </w:rPr>
        <w:t>。</w:t>
      </w:r>
    </w:p>
    <w:p w14:paraId="4DFD5FD5">
      <w:pPr>
        <w:pStyle w:val="73"/>
        <w:numPr>
          <w:ilvl w:val="-1"/>
          <w:numId w:val="0"/>
        </w:numPr>
        <w:shd w:val="clear"/>
        <w:ind w:left="420" w:firstLine="0"/>
        <w:jc w:val="both"/>
        <w:rPr>
          <w:rFonts w:ascii="Times New Roman"/>
          <w:color w:val="000000" w:themeColor="text1"/>
          <w:szCs w:val="21"/>
          <w:highlight w:val="none"/>
          <w14:textFill>
            <w14:solidFill>
              <w14:schemeClr w14:val="tx1"/>
            </w14:solidFill>
          </w14:textFill>
        </w:rPr>
      </w:pPr>
      <w:r>
        <w:rPr>
          <w:rFonts w:hint="eastAsia" w:ascii="Times New Roman"/>
          <w:color w:val="000000" w:themeColor="text1"/>
          <w:szCs w:val="21"/>
          <w:highlight w:val="none"/>
          <w:lang w:eastAsia="zh-CN"/>
          <w14:textFill>
            <w14:solidFill>
              <w14:schemeClr w14:val="tx1"/>
            </w14:solidFill>
          </w14:textFill>
        </w:rPr>
        <w:t>——</w:t>
      </w:r>
      <w:r>
        <w:rPr>
          <w:rFonts w:hint="eastAsia" w:ascii="Times New Roman"/>
          <w:color w:val="000000" w:themeColor="text1"/>
          <w:szCs w:val="21"/>
          <w:highlight w:val="none"/>
          <w14:textFill>
            <w14:solidFill>
              <w14:schemeClr w14:val="tx1"/>
            </w14:solidFill>
          </w14:textFill>
        </w:rPr>
        <w:t>若因</w:t>
      </w:r>
      <w:r>
        <w:rPr>
          <w:rFonts w:ascii="Times New Roman"/>
          <w:color w:val="000000" w:themeColor="text1"/>
          <w:szCs w:val="21"/>
          <w:highlight w:val="none"/>
          <w14:textFill>
            <w14:solidFill>
              <w14:schemeClr w14:val="tx1"/>
            </w14:solidFill>
          </w14:textFill>
        </w:rPr>
        <w:t>监测仪主机插座</w:t>
      </w:r>
      <w:r>
        <w:rPr>
          <w:rFonts w:hint="eastAsia" w:ascii="Times New Roman"/>
          <w:color w:val="000000" w:themeColor="text1"/>
          <w:szCs w:val="21"/>
          <w:highlight w:val="none"/>
          <w14:textFill>
            <w14:solidFill>
              <w14:schemeClr w14:val="tx1"/>
            </w14:solidFill>
          </w14:textFill>
        </w:rPr>
        <w:t>导致地线接地不良，应更换</w:t>
      </w:r>
      <w:r>
        <w:rPr>
          <w:rFonts w:ascii="Times New Roman"/>
          <w:color w:val="000000" w:themeColor="text1"/>
          <w:szCs w:val="21"/>
          <w:highlight w:val="none"/>
          <w14:textFill>
            <w14:solidFill>
              <w14:schemeClr w14:val="tx1"/>
            </w14:solidFill>
          </w14:textFill>
        </w:rPr>
        <w:t>带有良好接地的三相交流电源</w:t>
      </w:r>
      <w:r>
        <w:rPr>
          <w:rFonts w:hint="eastAsia" w:ascii="Times New Roman"/>
          <w:color w:val="000000" w:themeColor="text1"/>
          <w:szCs w:val="21"/>
          <w:highlight w:val="none"/>
          <w14:textFill>
            <w14:solidFill>
              <w14:schemeClr w14:val="tx1"/>
            </w14:solidFill>
          </w14:textFill>
        </w:rPr>
        <w:t>插座。</w:t>
      </w:r>
    </w:p>
    <w:p w14:paraId="01463153">
      <w:pPr>
        <w:pStyle w:val="33"/>
        <w:numPr>
          <w:ilvl w:val="1"/>
          <w:numId w:val="6"/>
        </w:numPr>
        <w:shd w:val="clear"/>
        <w:spacing w:before="156" w:beforeLines="50" w:after="156" w:afterLines="50"/>
        <w:ind w:firstLineChars="0"/>
        <w:jc w:val="left"/>
        <w:rPr>
          <w:rFonts w:hint="eastAsia" w:ascii="黑体" w:hAnsi="黑体" w:eastAsia="黑体" w:cs="黑体"/>
          <w:bCs/>
          <w:color w:val="000000" w:themeColor="text1"/>
          <w:szCs w:val="21"/>
          <w:highlight w:val="none"/>
          <w14:textFill>
            <w14:solidFill>
              <w14:schemeClr w14:val="tx1"/>
            </w14:solidFill>
          </w14:textFill>
        </w:rPr>
      </w:pPr>
      <w:r>
        <w:rPr>
          <w:rFonts w:ascii="黑体" w:hAnsi="黑体" w:eastAsia="黑体" w:cs="黑体"/>
          <w:bCs/>
          <w:color w:val="000000" w:themeColor="text1"/>
          <w:szCs w:val="21"/>
          <w:highlight w:val="none"/>
          <w14:textFill>
            <w14:solidFill>
              <w14:schemeClr w14:val="tx1"/>
            </w14:solidFill>
          </w14:textFill>
        </w:rPr>
        <w:t>神经损伤的</w:t>
      </w:r>
      <w:r>
        <w:rPr>
          <w:rFonts w:hint="eastAsia" w:ascii="黑体" w:hAnsi="黑体" w:eastAsia="黑体" w:cs="黑体"/>
          <w:bCs/>
          <w:color w:val="000000" w:themeColor="text1"/>
          <w:szCs w:val="21"/>
          <w:highlight w:val="none"/>
          <w14:textFill>
            <w14:solidFill>
              <w14:schemeClr w14:val="tx1"/>
            </w14:solidFill>
          </w14:textFill>
        </w:rPr>
        <w:t>术中</w:t>
      </w:r>
      <w:r>
        <w:rPr>
          <w:rFonts w:ascii="黑体" w:hAnsi="黑体" w:eastAsia="黑体" w:cs="黑体"/>
          <w:bCs/>
          <w:color w:val="000000" w:themeColor="text1"/>
          <w:szCs w:val="21"/>
          <w:highlight w:val="none"/>
          <w14:textFill>
            <w14:solidFill>
              <w14:schemeClr w14:val="tx1"/>
            </w14:solidFill>
          </w14:textFill>
        </w:rPr>
        <w:t>分析</w:t>
      </w:r>
      <w:r>
        <w:rPr>
          <w:rFonts w:hint="eastAsia" w:ascii="黑体" w:hAnsi="黑体" w:eastAsia="黑体" w:cs="黑体"/>
          <w:bCs/>
          <w:color w:val="000000" w:themeColor="text1"/>
          <w:szCs w:val="21"/>
          <w:highlight w:val="none"/>
          <w14:textFill>
            <w14:solidFill>
              <w14:schemeClr w14:val="tx1"/>
            </w14:solidFill>
          </w14:textFill>
        </w:rPr>
        <w:t>流程</w:t>
      </w:r>
    </w:p>
    <w:p w14:paraId="56CDEB11">
      <w:pPr>
        <w:pStyle w:val="33"/>
        <w:numPr>
          <w:ilvl w:val="2"/>
          <w:numId w:val="6"/>
        </w:numPr>
        <w:shd w:val="clear"/>
        <w:spacing w:before="0" w:beforeLines="-2147483648" w:after="0" w:afterLines="-2147483648"/>
        <w:ind w:firstLine="0" w:firstLineChars="0"/>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当</w:t>
      </w:r>
      <w:r>
        <w:rPr>
          <w:rFonts w:ascii="Times New Roman" w:hAnsi="Times New Roman" w:eastAsia="宋体" w:cs="Times New Roman"/>
          <w:color w:val="000000" w:themeColor="text1"/>
          <w:szCs w:val="21"/>
          <w:highlight w:val="none"/>
          <w14:textFill>
            <w14:solidFill>
              <w14:schemeClr w14:val="tx1"/>
            </w14:solidFill>
          </w14:textFill>
        </w:rPr>
        <w:t>肌电信号异常改变时</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如逐项排查除外监测系统问题</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宜</w:t>
      </w:r>
      <w:r>
        <w:rPr>
          <w:rFonts w:ascii="Times New Roman" w:hAnsi="Times New Roman" w:eastAsia="宋体" w:cs="Times New Roman"/>
          <w:color w:val="000000" w:themeColor="text1"/>
          <w:szCs w:val="21"/>
          <w:highlight w:val="none"/>
          <w14:textFill>
            <w14:solidFill>
              <w14:schemeClr w14:val="tx1"/>
            </w14:solidFill>
          </w14:textFill>
        </w:rPr>
        <w:t>考虑神经损伤</w:t>
      </w:r>
      <w:r>
        <w:rPr>
          <w:rFonts w:hint="eastAsia" w:ascii="Times New Roman" w:hAnsi="Times New Roman" w:eastAsia="宋体" w:cs="Times New Roman"/>
          <w:color w:val="000000" w:themeColor="text1"/>
          <w:szCs w:val="21"/>
          <w:highlight w:val="none"/>
          <w14:textFill>
            <w14:solidFill>
              <w14:schemeClr w14:val="tx1"/>
            </w14:solidFill>
          </w14:textFill>
        </w:rPr>
        <w:t>的可能</w:t>
      </w:r>
      <w:r>
        <w:rPr>
          <w:rFonts w:ascii="Times New Roman" w:hAnsi="Times New Roman" w:eastAsia="宋体" w:cs="Times New Roman"/>
          <w:color w:val="000000" w:themeColor="text1"/>
          <w:szCs w:val="21"/>
          <w:highlight w:val="none"/>
          <w14:textFill>
            <w14:solidFill>
              <w14:schemeClr w14:val="tx1"/>
            </w14:solidFill>
          </w14:textFill>
        </w:rPr>
        <w:t>。</w:t>
      </w:r>
    </w:p>
    <w:p w14:paraId="5945B8F7">
      <w:pPr>
        <w:pStyle w:val="33"/>
        <w:numPr>
          <w:ilvl w:val="2"/>
          <w:numId w:val="6"/>
        </w:numPr>
        <w:shd w:val="clear"/>
        <w:spacing w:before="0" w:beforeLines="-2147483648" w:after="0" w:afterLines="-2147483648"/>
        <w:ind w:firstLine="0" w:firstLineChar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考虑发生RLN损伤时</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可自入喉点至最近端探测RLN全程及双侧VN</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对比信号有无异常</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判断损伤类型、分析</w:t>
      </w:r>
      <w:r>
        <w:rPr>
          <w:rFonts w:ascii="Times New Roman" w:hAnsi="Times New Roman" w:eastAsia="宋体" w:cs="Times New Roman"/>
          <w:color w:val="000000" w:themeColor="text1"/>
          <w:szCs w:val="21"/>
          <w:highlight w:val="none"/>
          <w14:textFill>
            <w14:solidFill>
              <w14:schemeClr w14:val="tx1"/>
            </w14:solidFill>
          </w14:textFill>
        </w:rPr>
        <w:t>损伤原因</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见</w:t>
      </w:r>
      <w:r>
        <w:rPr>
          <w:rFonts w:hint="eastAsia" w:ascii="Times New Roman" w:hAnsi="Times New Roman" w:eastAsia="宋体" w:cs="Times New Roman"/>
          <w:color w:val="000000" w:themeColor="text1"/>
          <w:szCs w:val="21"/>
          <w:highlight w:val="none"/>
          <w14:textFill>
            <w14:solidFill>
              <w14:schemeClr w14:val="tx1"/>
            </w14:solidFill>
          </w14:textFill>
        </w:rPr>
        <w:t>图</w:t>
      </w:r>
      <w:r>
        <w:rPr>
          <w:rFonts w:ascii="Times New Roman" w:hAnsi="Times New Roman" w:eastAsia="宋体" w:cs="Times New Roman"/>
          <w:color w:val="000000" w:themeColor="text1"/>
          <w:szCs w:val="21"/>
          <w:highlight w:val="none"/>
          <w14:textFill>
            <w14:solidFill>
              <w14:schemeClr w14:val="tx1"/>
            </w14:solidFill>
          </w14:textFill>
        </w:rPr>
        <w:t>2</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w:t>
      </w:r>
    </w:p>
    <w:p w14:paraId="5BE3C172">
      <w:pPr>
        <w:pStyle w:val="73"/>
        <w:shd w:val="clear"/>
        <w:tabs>
          <w:tab w:val="left" w:pos="840"/>
          <w:tab w:val="clear" w:pos="567"/>
        </w:tabs>
        <w:ind w:left="840"/>
        <w:jc w:val="both"/>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如果刺激RLN入喉点有肌电信号</w:t>
      </w:r>
      <w:r>
        <w:rPr>
          <w:rFonts w:hint="eastAsia" w:asci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但刺激同侧VN无肌电信号</w:t>
      </w:r>
      <w:r>
        <w:rPr>
          <w:rFonts w:hint="eastAsia" w:asci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则提示发生I型损伤</w:t>
      </w:r>
      <w:r>
        <w:rPr>
          <w:rFonts w:hint="eastAsia" w:asci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或称节段型损伤或点损伤</w:t>
      </w:r>
      <w:r>
        <w:rPr>
          <w:rFonts w:hint="eastAsia" w:asci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可沿神经走行自入喉点至最近端定位损伤点位置。I型损伤多见于牵拉、卡压、钳夹、热损伤等</w:t>
      </w:r>
      <w:r>
        <w:rPr>
          <w:rFonts w:hint="eastAsia" w:asci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其中牵拉损伤为最常见原因</w:t>
      </w:r>
      <w:r>
        <w:rPr>
          <w:rFonts w:hint="eastAsia" w:ascii="Times New Roman"/>
          <w:color w:val="000000" w:themeColor="text1"/>
          <w:szCs w:val="21"/>
          <w:highlight w:val="none"/>
          <w14:textFill>
            <w14:solidFill>
              <w14:schemeClr w14:val="tx1"/>
            </w14:solidFill>
          </w14:textFill>
        </w:rPr>
        <w:t>。</w:t>
      </w:r>
    </w:p>
    <w:p w14:paraId="04F8AAD9">
      <w:pPr>
        <w:pStyle w:val="73"/>
        <w:shd w:val="clear"/>
        <w:tabs>
          <w:tab w:val="left" w:pos="840"/>
          <w:tab w:val="clear" w:pos="567"/>
        </w:tabs>
        <w:ind w:left="840"/>
        <w:jc w:val="both"/>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如果刺激RLN与同侧VN全程均无肌电信号</w:t>
      </w:r>
      <w:r>
        <w:rPr>
          <w:rFonts w:hint="eastAsia" w:asci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但刺激对侧VN有肌电信号</w:t>
      </w:r>
      <w:r>
        <w:rPr>
          <w:rFonts w:hint="eastAsia" w:asci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则提示发生II型损伤</w:t>
      </w:r>
      <w:r>
        <w:rPr>
          <w:rFonts w:hint="eastAsia" w:asci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II型损伤</w:t>
      </w:r>
      <w:r>
        <w:rPr>
          <w:rFonts w:hint="eastAsia" w:ascii="Times New Roman"/>
          <w:color w:val="000000" w:themeColor="text1"/>
          <w:szCs w:val="21"/>
          <w:highlight w:val="none"/>
          <w14:textFill>
            <w14:solidFill>
              <w14:schemeClr w14:val="tx1"/>
            </w14:solidFill>
          </w14:textFill>
        </w:rPr>
        <w:t>原因尚未明确。</w:t>
      </w:r>
    </w:p>
    <w:p w14:paraId="41644A74">
      <w:pPr>
        <w:pStyle w:val="33"/>
        <w:shd w:val="clear"/>
        <w:spacing w:before="156" w:beforeLines="50" w:after="156" w:afterLines="50"/>
        <w:ind w:firstLine="0" w:firstLineChar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drawing>
          <wp:inline distT="0" distB="0" distL="0" distR="0">
            <wp:extent cx="5274310" cy="2518410"/>
            <wp:effectExtent l="0" t="0" r="0" b="0"/>
            <wp:docPr id="8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7"/>
                    <pic:cNvPicPr>
                      <a:picLocks noChangeAspect="1"/>
                    </pic:cNvPicPr>
                  </pic:nvPicPr>
                  <pic:blipFill>
                    <a:blip r:embed="rId17"/>
                    <a:stretch>
                      <a:fillRect/>
                    </a:stretch>
                  </pic:blipFill>
                  <pic:spPr>
                    <a:xfrm>
                      <a:off x="0" y="0"/>
                      <a:ext cx="5274310" cy="2518845"/>
                    </a:xfrm>
                    <a:prstGeom prst="rect">
                      <a:avLst/>
                    </a:prstGeom>
                  </pic:spPr>
                </pic:pic>
              </a:graphicData>
            </a:graphic>
          </wp:inline>
        </w:drawing>
      </w:r>
    </w:p>
    <w:p w14:paraId="0FA89790">
      <w:pPr>
        <w:pStyle w:val="73"/>
        <w:numPr>
          <w:ilvl w:val="0"/>
          <w:numId w:val="0"/>
        </w:numPr>
        <w:shd w:val="clear"/>
        <w:spacing w:after="240"/>
        <w:jc w:val="center"/>
        <w:rPr>
          <w:rFonts w:ascii="Times New Roman" w:eastAsia="黑体"/>
          <w:color w:val="000000" w:themeColor="text1"/>
          <w:szCs w:val="21"/>
          <w:highlight w:val="none"/>
          <w14:textFill>
            <w14:solidFill>
              <w14:schemeClr w14:val="tx1"/>
            </w14:solidFill>
          </w14:textFill>
        </w:rPr>
      </w:pPr>
      <w:r>
        <w:rPr>
          <w:rFonts w:hint="eastAsia" w:ascii="Times New Roman" w:eastAsia="黑体"/>
          <w:color w:val="000000" w:themeColor="text1"/>
          <w:szCs w:val="21"/>
          <w:highlight w:val="none"/>
          <w14:textFill>
            <w14:solidFill>
              <w14:schemeClr w14:val="tx1"/>
            </w14:solidFill>
          </w14:textFill>
        </w:rPr>
        <w:t>图2 术中神经损伤所致LOS的分析流程图</w:t>
      </w:r>
    </w:p>
    <w:p w14:paraId="15E970E9">
      <w:pPr>
        <w:pStyle w:val="73"/>
        <w:numPr>
          <w:ilvl w:val="0"/>
          <w:numId w:val="0"/>
        </w:numPr>
        <w:shd w:val="clear"/>
        <w:jc w:val="both"/>
        <w:rPr>
          <w:rFonts w:ascii="Times New Roman"/>
          <w:color w:val="000000" w:themeColor="text1"/>
          <w:szCs w:val="21"/>
          <w:highlight w:val="none"/>
          <w14:textFill>
            <w14:solidFill>
              <w14:schemeClr w14:val="tx1"/>
            </w14:solidFill>
          </w14:textFill>
        </w:rPr>
        <w:sectPr>
          <w:footerReference r:id="rId12" w:type="default"/>
          <w:pgSz w:w="11906" w:h="16838"/>
          <w:pgMar w:top="1440" w:right="1800" w:bottom="1440" w:left="1800" w:header="851" w:footer="992" w:gutter="0"/>
          <w:cols w:space="425" w:num="1"/>
          <w:docGrid w:type="lines" w:linePitch="312" w:charSpace="0"/>
        </w:sectPr>
      </w:pPr>
    </w:p>
    <w:p w14:paraId="04FCEB2F">
      <w:pPr>
        <w:pStyle w:val="103"/>
        <w:shd w:val="clear"/>
        <w:spacing w:before="0" w:after="0" w:afterLines="0"/>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br w:type="textWrapping"/>
      </w:r>
      <w:bookmarkStart w:id="18" w:name="_Toc207835481"/>
      <w:r>
        <w:rPr>
          <w:rFonts w:hint="eastAsia" w:ascii="Times New Roman"/>
          <w:color w:val="000000" w:themeColor="text1"/>
          <w:highlight w:val="none"/>
          <w14:textFill>
            <w14:solidFill>
              <w14:schemeClr w14:val="tx1"/>
            </w14:solidFill>
          </w14:textFill>
        </w:rPr>
        <w:t>（规范性）</w:t>
      </w:r>
      <w:r>
        <w:rPr>
          <w:rFonts w:ascii="Times New Roman"/>
          <w:color w:val="000000" w:themeColor="text1"/>
          <w:highlight w:val="none"/>
          <w14:textFill>
            <w14:solidFill>
              <w14:schemeClr w14:val="tx1"/>
            </w14:solidFill>
          </w14:textFill>
        </w:rPr>
        <w:br w:type="textWrapping"/>
      </w:r>
      <w:r>
        <w:rPr>
          <w:rFonts w:hint="eastAsia" w:ascii="Times New Roman"/>
          <w:color w:val="000000" w:themeColor="text1"/>
          <w:highlight w:val="none"/>
          <w14:textFill>
            <w14:solidFill>
              <w14:schemeClr w14:val="tx1"/>
            </w14:solidFill>
          </w14:textFill>
        </w:rPr>
        <w:t>记录电极留置位置示意图</w:t>
      </w:r>
      <w:bookmarkEnd w:id="18"/>
    </w:p>
    <w:p w14:paraId="62F755AB">
      <w:pPr>
        <w:pStyle w:val="62"/>
        <w:shd w:val="clea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记录电极留置位置示意图见图A.1和图A.2。</w:t>
      </w:r>
    </w:p>
    <w:p w14:paraId="5562F429">
      <w:pPr>
        <w:pStyle w:val="73"/>
        <w:numPr>
          <w:ilvl w:val="0"/>
          <w:numId w:val="0"/>
        </w:numPr>
        <w:shd w:val="clear"/>
        <w:spacing w:after="240"/>
        <w:jc w:val="center"/>
        <w:rPr>
          <w:rFonts w:ascii="Times New Roman" w:eastAsia="黑体"/>
          <w:color w:val="000000" w:themeColor="text1"/>
          <w:szCs w:val="21"/>
          <w:highlight w:val="none"/>
          <w14:textFill>
            <w14:solidFill>
              <w14:schemeClr w14:val="tx1"/>
            </w14:solidFill>
          </w14:textFill>
        </w:rPr>
      </w:pPr>
      <w:r>
        <w:rPr>
          <w:rFonts w:ascii="Times New Roman" w:eastAsia="黑体"/>
          <w:color w:val="000000" w:themeColor="text1"/>
          <w:szCs w:val="21"/>
          <w:highlight w:val="none"/>
          <w14:textFill>
            <w14:solidFill>
              <w14:schemeClr w14:val="tx1"/>
            </w14:solidFill>
          </w14:textFill>
        </w:rPr>
        <w:drawing>
          <wp:inline distT="0" distB="0" distL="0" distR="0">
            <wp:extent cx="3690620" cy="1981835"/>
            <wp:effectExtent l="0" t="0" r="5080" b="0"/>
            <wp:docPr id="164819081"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9081" name="图片 1" descr="图示&#10;&#10;AI 生成的内容可能不正确。"/>
                    <pic:cNvPicPr>
                      <a:picLocks noChangeAspect="1"/>
                    </pic:cNvPicPr>
                  </pic:nvPicPr>
                  <pic:blipFill>
                    <a:blip r:embed="rId18"/>
                    <a:stretch>
                      <a:fillRect/>
                    </a:stretch>
                  </pic:blipFill>
                  <pic:spPr>
                    <a:xfrm>
                      <a:off x="0" y="0"/>
                      <a:ext cx="3731433" cy="2003635"/>
                    </a:xfrm>
                    <a:prstGeom prst="rect">
                      <a:avLst/>
                    </a:prstGeom>
                  </pic:spPr>
                </pic:pic>
              </a:graphicData>
            </a:graphic>
          </wp:inline>
        </w:drawing>
      </w:r>
    </w:p>
    <w:p w14:paraId="68A36757">
      <w:pPr>
        <w:pStyle w:val="73"/>
        <w:numPr>
          <w:ilvl w:val="0"/>
          <w:numId w:val="0"/>
        </w:numPr>
        <w:shd w:val="clear"/>
        <w:jc w:val="center"/>
        <w:rPr>
          <w:rFonts w:ascii="Times New Roman" w:eastAsia="黑体"/>
          <w:color w:val="000000" w:themeColor="text1"/>
          <w:szCs w:val="21"/>
          <w:highlight w:val="none"/>
          <w14:textFill>
            <w14:solidFill>
              <w14:schemeClr w14:val="tx1"/>
            </w14:solidFill>
          </w14:textFill>
        </w:rPr>
      </w:pPr>
      <w:r>
        <w:rPr>
          <w:rFonts w:hint="eastAsia" w:ascii="Times New Roman" w:eastAsia="黑体"/>
          <w:color w:val="000000" w:themeColor="text1"/>
          <w:szCs w:val="21"/>
          <w:highlight w:val="none"/>
          <w14:textFill>
            <w14:solidFill>
              <w14:schemeClr w14:val="tx1"/>
            </w14:solidFill>
          </w14:textFill>
        </w:rPr>
        <w:t xml:space="preserve">图A.1 </w:t>
      </w:r>
      <w:r>
        <w:rPr>
          <w:rFonts w:ascii="Times New Roman" w:eastAsia="黑体"/>
          <w:color w:val="000000" w:themeColor="text1"/>
          <w:szCs w:val="21"/>
          <w:highlight w:val="none"/>
          <w14:textFill>
            <w14:solidFill>
              <w14:schemeClr w14:val="tx1"/>
            </w14:solidFill>
          </w14:textFill>
        </w:rPr>
        <w:t>监测导管表面电极留置位置</w:t>
      </w:r>
    </w:p>
    <w:p w14:paraId="6C90C4F7">
      <w:pPr>
        <w:pStyle w:val="73"/>
        <w:numPr>
          <w:ilvl w:val="0"/>
          <w:numId w:val="0"/>
        </w:numPr>
        <w:shd w:val="clear"/>
        <w:jc w:val="center"/>
        <w:rPr>
          <w:rFonts w:ascii="Times New Roman" w:eastAsia="黑体"/>
          <w:color w:val="000000" w:themeColor="text1"/>
          <w:szCs w:val="21"/>
          <w:highlight w:val="none"/>
          <w14:textFill>
            <w14:solidFill>
              <w14:schemeClr w14:val="tx1"/>
            </w14:solidFill>
          </w14:textFill>
        </w:rPr>
      </w:pPr>
    </w:p>
    <w:p w14:paraId="0DD421F0">
      <w:pPr>
        <w:pStyle w:val="73"/>
        <w:numPr>
          <w:ilvl w:val="0"/>
          <w:numId w:val="0"/>
        </w:numPr>
        <w:shd w:val="clear"/>
        <w:jc w:val="center"/>
        <w:rPr>
          <w:rFonts w:ascii="Times New Roman" w:eastAsia="黑体"/>
          <w:color w:val="000000" w:themeColor="text1"/>
          <w:szCs w:val="21"/>
          <w:highlight w:val="none"/>
          <w14:textFill>
            <w14:solidFill>
              <w14:schemeClr w14:val="tx1"/>
            </w14:solidFill>
          </w14:textFill>
        </w:rPr>
      </w:pPr>
      <w:r>
        <w:rPr>
          <w:rFonts w:ascii="Times New Roman" w:eastAsia="黑体"/>
          <w:color w:val="000000" w:themeColor="text1"/>
          <w:szCs w:val="21"/>
          <w:highlight w:val="none"/>
          <w14:textFill>
            <w14:solidFill>
              <w14:schemeClr w14:val="tx1"/>
            </w14:solidFill>
          </w14:textFill>
        </w:rPr>
        <w:drawing>
          <wp:inline distT="0" distB="0" distL="0" distR="0">
            <wp:extent cx="3716020" cy="1854835"/>
            <wp:effectExtent l="0" t="0" r="5080" b="0"/>
            <wp:docPr id="12240356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35645" name="图片 1"/>
                    <pic:cNvPicPr>
                      <a:picLocks noChangeAspect="1"/>
                    </pic:cNvPicPr>
                  </pic:nvPicPr>
                  <pic:blipFill>
                    <a:blip r:embed="rId19"/>
                    <a:stretch>
                      <a:fillRect/>
                    </a:stretch>
                  </pic:blipFill>
                  <pic:spPr>
                    <a:xfrm>
                      <a:off x="0" y="0"/>
                      <a:ext cx="3746617" cy="1870152"/>
                    </a:xfrm>
                    <a:prstGeom prst="rect">
                      <a:avLst/>
                    </a:prstGeom>
                  </pic:spPr>
                </pic:pic>
              </a:graphicData>
            </a:graphic>
          </wp:inline>
        </w:drawing>
      </w:r>
    </w:p>
    <w:p w14:paraId="657E5992">
      <w:pPr>
        <w:pStyle w:val="73"/>
        <w:numPr>
          <w:ilvl w:val="0"/>
          <w:numId w:val="0"/>
        </w:numPr>
        <w:shd w:val="clear"/>
        <w:jc w:val="center"/>
        <w:rPr>
          <w:rFonts w:ascii="Times New Roman" w:eastAsia="黑体"/>
          <w:color w:val="000000" w:themeColor="text1"/>
          <w:szCs w:val="21"/>
          <w:highlight w:val="none"/>
          <w14:textFill>
            <w14:solidFill>
              <w14:schemeClr w14:val="tx1"/>
            </w14:solidFill>
          </w14:textFill>
        </w:rPr>
      </w:pPr>
      <w:r>
        <w:rPr>
          <w:rFonts w:hint="eastAsia" w:ascii="Times New Roman" w:eastAsia="黑体"/>
          <w:color w:val="000000" w:themeColor="text1"/>
          <w:szCs w:val="21"/>
          <w:highlight w:val="none"/>
          <w14:textFill>
            <w14:solidFill>
              <w14:schemeClr w14:val="tx1"/>
            </w14:solidFill>
          </w14:textFill>
        </w:rPr>
        <w:t xml:space="preserve">图A.2 </w:t>
      </w:r>
      <w:r>
        <w:rPr>
          <w:rFonts w:ascii="Times New Roman" w:eastAsia="黑体"/>
          <w:color w:val="000000" w:themeColor="text1"/>
          <w:szCs w:val="21"/>
          <w:highlight w:val="none"/>
          <w14:textFill>
            <w14:solidFill>
              <w14:schemeClr w14:val="tx1"/>
            </w14:solidFill>
          </w14:textFill>
        </w:rPr>
        <w:t>甲状软骨电极留置位置</w:t>
      </w:r>
    </w:p>
    <w:p w14:paraId="1C9C897C">
      <w:pPr>
        <w:pStyle w:val="73"/>
        <w:numPr>
          <w:ilvl w:val="0"/>
          <w:numId w:val="0"/>
        </w:numPr>
        <w:shd w:val="clear"/>
        <w:spacing w:after="240"/>
        <w:jc w:val="center"/>
        <w:rPr>
          <w:rFonts w:ascii="Times New Roman" w:eastAsia="黑体"/>
          <w:color w:val="000000" w:themeColor="text1"/>
          <w:szCs w:val="21"/>
          <w:highlight w:val="none"/>
          <w14:textFill>
            <w14:solidFill>
              <w14:schemeClr w14:val="tx1"/>
            </w14:solidFill>
          </w14:textFill>
        </w:rPr>
      </w:pPr>
    </w:p>
    <w:p w14:paraId="33AF6EF3">
      <w:pPr>
        <w:pStyle w:val="73"/>
        <w:numPr>
          <w:ilvl w:val="0"/>
          <w:numId w:val="0"/>
        </w:numPr>
        <w:shd w:val="clear"/>
        <w:spacing w:after="240"/>
        <w:rPr>
          <w:rFonts w:ascii="Times New Roman" w:eastAsia="黑体"/>
          <w:color w:val="000000" w:themeColor="text1"/>
          <w:szCs w:val="21"/>
          <w:highlight w:val="none"/>
          <w14:textFill>
            <w14:solidFill>
              <w14:schemeClr w14:val="tx1"/>
            </w14:solidFill>
          </w14:textFill>
        </w:rPr>
      </w:pPr>
    </w:p>
    <w:p w14:paraId="3A64AAD4">
      <w:pPr>
        <w:pStyle w:val="73"/>
        <w:numPr>
          <w:ilvl w:val="0"/>
          <w:numId w:val="0"/>
        </w:numPr>
        <w:shd w:val="clear"/>
        <w:spacing w:after="240"/>
        <w:rPr>
          <w:rFonts w:ascii="Times New Roman" w:eastAsia="黑体"/>
          <w:color w:val="000000" w:themeColor="text1"/>
          <w:szCs w:val="21"/>
          <w:highlight w:val="none"/>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2FB30C5D">
      <w:pPr>
        <w:pStyle w:val="103"/>
        <w:shd w:val="clear"/>
        <w:spacing w:before="0" w:after="0" w:afterLines="0"/>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br w:type="textWrapping"/>
      </w:r>
      <w:bookmarkStart w:id="19" w:name="_Toc207835482"/>
      <w:r>
        <w:rPr>
          <w:rFonts w:hint="eastAsia" w:ascii="Times New Roman"/>
          <w:color w:val="000000" w:themeColor="text1"/>
          <w:highlight w:val="none"/>
          <w14:textFill>
            <w14:solidFill>
              <w14:schemeClr w14:val="tx1"/>
            </w14:solidFill>
          </w14:textFill>
        </w:rPr>
        <w:t>（资料性）</w:t>
      </w:r>
      <w:r>
        <w:rPr>
          <w:rFonts w:ascii="Times New Roman"/>
          <w:color w:val="000000" w:themeColor="text1"/>
          <w:highlight w:val="none"/>
          <w14:textFill>
            <w14:solidFill>
              <w14:schemeClr w14:val="tx1"/>
            </w14:solidFill>
          </w14:textFill>
        </w:rPr>
        <w:br w:type="textWrapping"/>
      </w:r>
      <w:r>
        <w:rPr>
          <w:rFonts w:hint="eastAsia" w:ascii="Times New Roman"/>
          <w:color w:val="000000" w:themeColor="text1"/>
          <w:highlight w:val="none"/>
          <w14:textFill>
            <w14:solidFill>
              <w14:schemeClr w14:val="tx1"/>
            </w14:solidFill>
          </w14:textFill>
        </w:rPr>
        <w:t>非返性喉返神经监测方法</w:t>
      </w:r>
      <w:bookmarkEnd w:id="19"/>
    </w:p>
    <w:p w14:paraId="185C5C30">
      <w:pPr>
        <w:pStyle w:val="73"/>
        <w:numPr>
          <w:ilvl w:val="0"/>
          <w:numId w:val="0"/>
        </w:numPr>
        <w:shd w:val="clear"/>
        <w:rPr>
          <w:rFonts w:ascii="Times New Roman" w:eastAsia="黑体"/>
          <w:color w:val="000000" w:themeColor="text1"/>
          <w:szCs w:val="21"/>
          <w:highlight w:val="none"/>
          <w14:textFill>
            <w14:solidFill>
              <w14:schemeClr w14:val="tx1"/>
            </w14:solidFill>
          </w14:textFill>
        </w:rPr>
      </w:pPr>
    </w:p>
    <w:p w14:paraId="4ADFD572">
      <w:pPr>
        <w:pStyle w:val="73"/>
        <w:numPr>
          <w:ilvl w:val="0"/>
          <w:numId w:val="0"/>
        </w:numPr>
        <w:shd w:val="clear"/>
        <w:spacing w:before="157" w:beforeLines="50" w:after="157" w:afterLines="50"/>
        <w:rPr>
          <w:rFonts w:hint="eastAsia" w:ascii="黑体" w:hAnsi="黑体" w:eastAsia="黑体" w:cs="黑体"/>
          <w:color w:val="000000" w:themeColor="text1"/>
          <w:szCs w:val="21"/>
          <w:highlight w:val="none"/>
          <w14:textFill>
            <w14:solidFill>
              <w14:schemeClr w14:val="tx1"/>
            </w14:solidFill>
          </w14:textFill>
        </w:rPr>
      </w:pPr>
      <w:r>
        <w:rPr>
          <w:rFonts w:hint="eastAsia" w:ascii="黑体" w:hAnsi="黑体" w:eastAsia="黑体" w:cs="黑体"/>
          <w:color w:val="000000" w:themeColor="text1"/>
          <w:szCs w:val="21"/>
          <w:highlight w:val="none"/>
          <w14:textFill>
            <w14:solidFill>
              <w14:schemeClr w14:val="tx1"/>
            </w14:solidFill>
          </w14:textFill>
        </w:rPr>
        <w:t xml:space="preserve">B.1 </w:t>
      </w:r>
      <w:r>
        <w:rPr>
          <w:rFonts w:hint="eastAsia" w:ascii="黑体" w:hAnsi="黑体" w:eastAsia="黑体" w:cs="黑体"/>
          <w:color w:val="000000" w:themeColor="text1"/>
          <w:szCs w:val="21"/>
          <w:highlight w:val="none"/>
          <w14:textFill>
            <w14:solidFill>
              <w14:schemeClr w14:val="tx1"/>
            </w14:solidFill>
          </w14:textFill>
        </w:rPr>
        <w:t>监测点对比法</w:t>
      </w:r>
    </w:p>
    <w:p w14:paraId="2133312C">
      <w:pPr>
        <w:pStyle w:val="33"/>
        <w:shd w:val="clear"/>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通过</w:t>
      </w:r>
      <w:r>
        <w:rPr>
          <w:rFonts w:hint="eastAsia" w:ascii="Times New Roman" w:hAnsi="Times New Roman" w:eastAsia="宋体" w:cs="Times New Roman"/>
          <w:color w:val="000000" w:themeColor="text1"/>
          <w:szCs w:val="21"/>
          <w:highlight w:val="none"/>
          <w14:textFill>
            <w14:solidFill>
              <w14:schemeClr w14:val="tx1"/>
            </w14:solidFill>
          </w14:textFill>
        </w:rPr>
        <w:t>对比</w:t>
      </w:r>
      <w:r>
        <w:rPr>
          <w:rFonts w:ascii="Times New Roman" w:hAnsi="Times New Roman" w:eastAsia="宋体" w:cs="Times New Roman"/>
          <w:color w:val="000000" w:themeColor="text1"/>
          <w:szCs w:val="21"/>
          <w:highlight w:val="none"/>
          <w14:textFill>
            <w14:solidFill>
              <w14:schemeClr w14:val="tx1"/>
            </w14:solidFill>
          </w14:textFill>
        </w:rPr>
        <w:t>颈动脉鞘内VN远端</w:t>
      </w:r>
      <w:r>
        <w:rPr>
          <w:rFonts w:hint="eastAsia" w:ascii="Times New Roman" w:hAnsi="Times New Roman" w:eastAsia="宋体" w:cs="Times New Roman"/>
          <w:color w:val="000000" w:themeColor="text1"/>
          <w:szCs w:val="21"/>
          <w:highlight w:val="none"/>
          <w14:textFill>
            <w14:solidFill>
              <w14:schemeClr w14:val="tx1"/>
            </w14:solidFill>
          </w14:textFill>
        </w:rPr>
        <w:t>未监测到信号，但</w:t>
      </w:r>
      <w:r>
        <w:rPr>
          <w:rFonts w:ascii="Times New Roman" w:hAnsi="Times New Roman" w:eastAsia="宋体" w:cs="Times New Roman"/>
          <w:color w:val="000000" w:themeColor="text1"/>
          <w:szCs w:val="21"/>
          <w:highlight w:val="none"/>
          <w14:textFill>
            <w14:solidFill>
              <w14:schemeClr w14:val="tx1"/>
            </w14:solidFill>
          </w14:textFill>
        </w:rPr>
        <w:t>近端</w:t>
      </w:r>
      <w:r>
        <w:rPr>
          <w:rFonts w:hint="eastAsia" w:ascii="Times New Roman" w:hAnsi="Times New Roman" w:eastAsia="宋体" w:cs="Times New Roman"/>
          <w:color w:val="000000" w:themeColor="text1"/>
          <w:szCs w:val="21"/>
          <w:highlight w:val="none"/>
          <w14:textFill>
            <w14:solidFill>
              <w14:schemeClr w14:val="tx1"/>
            </w14:solidFill>
          </w14:textFill>
        </w:rPr>
        <w:t>可监测到信号，</w:t>
      </w:r>
      <w:r>
        <w:rPr>
          <w:rFonts w:ascii="Times New Roman" w:hAnsi="Times New Roman" w:eastAsia="宋体" w:cs="Times New Roman"/>
          <w:color w:val="000000" w:themeColor="text1"/>
          <w:szCs w:val="21"/>
          <w:highlight w:val="none"/>
          <w14:textFill>
            <w14:solidFill>
              <w14:schemeClr w14:val="tx1"/>
            </w14:solidFill>
          </w14:textFill>
        </w:rPr>
        <w:t>提示</w:t>
      </w:r>
      <w:r>
        <w:rPr>
          <w:rFonts w:hint="eastAsia" w:ascii="Times New Roman" w:hAnsi="Times New Roman" w:eastAsia="宋体" w:cs="Times New Roman"/>
          <w:color w:val="000000" w:themeColor="text1"/>
          <w:szCs w:val="21"/>
          <w:highlight w:val="none"/>
          <w14:textFill>
            <w14:solidFill>
              <w14:schemeClr w14:val="tx1"/>
            </w14:solidFill>
          </w14:textFill>
        </w:rPr>
        <w:t>为</w:t>
      </w:r>
      <w:r>
        <w:rPr>
          <w:rFonts w:ascii="Times New Roman" w:hAnsi="Times New Roman" w:eastAsia="宋体" w:cs="Times New Roman"/>
          <w:color w:val="000000" w:themeColor="text1"/>
          <w:szCs w:val="21"/>
          <w:highlight w:val="none"/>
          <w14:textFill>
            <w14:solidFill>
              <w14:schemeClr w14:val="tx1"/>
            </w14:solidFill>
          </w14:textFill>
        </w:rPr>
        <w:t>NRLN</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见</w:t>
      </w:r>
      <w:r>
        <w:rPr>
          <w:rFonts w:hint="eastAsia" w:ascii="Times New Roman" w:hAnsi="Times New Roman" w:eastAsia="宋体" w:cs="Times New Roman"/>
          <w:color w:val="000000" w:themeColor="text1"/>
          <w:szCs w:val="21"/>
          <w:highlight w:val="none"/>
          <w14:textFill>
            <w14:solidFill>
              <w14:schemeClr w14:val="tx1"/>
            </w14:solidFill>
          </w14:textFill>
        </w:rPr>
        <w:t>图B.1）</w:t>
      </w:r>
      <w:r>
        <w:rPr>
          <w:rFonts w:ascii="Times New Roman" w:hAnsi="Times New Roman" w:eastAsia="宋体" w:cs="Times New Roman"/>
          <w:color w:val="000000" w:themeColor="text1"/>
          <w:szCs w:val="21"/>
          <w:highlight w:val="none"/>
          <w14:textFill>
            <w14:solidFill>
              <w14:schemeClr w14:val="tx1"/>
            </w14:solidFill>
          </w14:textFill>
        </w:rPr>
        <w:t>。</w:t>
      </w:r>
    </w:p>
    <w:p w14:paraId="410B0A72">
      <w:pPr>
        <w:pStyle w:val="33"/>
        <w:shd w:val="clear"/>
        <w:ind w:firstLine="0" w:firstLineChars="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drawing>
          <wp:inline distT="0" distB="0" distL="0" distR="0">
            <wp:extent cx="4026535" cy="2081530"/>
            <wp:effectExtent l="0" t="0" r="0" b="1270"/>
            <wp:docPr id="1067001633"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01633" name="图片 1" descr="图示&#10;&#10;AI 生成的内容可能不正确。"/>
                    <pic:cNvPicPr>
                      <a:picLocks noChangeAspect="1"/>
                    </pic:cNvPicPr>
                  </pic:nvPicPr>
                  <pic:blipFill>
                    <a:blip r:embed="rId20"/>
                    <a:stretch>
                      <a:fillRect/>
                    </a:stretch>
                  </pic:blipFill>
                  <pic:spPr>
                    <a:xfrm>
                      <a:off x="0" y="0"/>
                      <a:ext cx="4037631" cy="2087357"/>
                    </a:xfrm>
                    <a:prstGeom prst="rect">
                      <a:avLst/>
                    </a:prstGeom>
                  </pic:spPr>
                </pic:pic>
              </a:graphicData>
            </a:graphic>
          </wp:inline>
        </w:drawing>
      </w:r>
    </w:p>
    <w:p w14:paraId="5D6BDA1C">
      <w:pPr>
        <w:pStyle w:val="73"/>
        <w:numPr>
          <w:ilvl w:val="0"/>
          <w:numId w:val="0"/>
        </w:numPr>
        <w:shd w:val="clear"/>
        <w:jc w:val="center"/>
        <w:rPr>
          <w:rFonts w:ascii="Times New Roman" w:eastAsia="黑体"/>
          <w:color w:val="000000" w:themeColor="text1"/>
          <w:szCs w:val="21"/>
          <w:highlight w:val="none"/>
          <w14:textFill>
            <w14:solidFill>
              <w14:schemeClr w14:val="tx1"/>
            </w14:solidFill>
          </w14:textFill>
        </w:rPr>
      </w:pPr>
      <w:r>
        <w:rPr>
          <w:rFonts w:hint="eastAsia" w:ascii="Times New Roman" w:eastAsia="黑体"/>
          <w:color w:val="000000" w:themeColor="text1"/>
          <w:szCs w:val="21"/>
          <w:highlight w:val="none"/>
          <w14:textFill>
            <w14:solidFill>
              <w14:schemeClr w14:val="tx1"/>
            </w14:solidFill>
          </w14:textFill>
        </w:rPr>
        <w:t>图B.1 监测点对比法识别非返性喉返神经</w:t>
      </w:r>
    </w:p>
    <w:p w14:paraId="6F0AD13F">
      <w:pPr>
        <w:pStyle w:val="33"/>
        <w:shd w:val="clear"/>
        <w:ind w:firstLine="0" w:firstLineChars="0"/>
        <w:jc w:val="center"/>
        <w:rPr>
          <w:rFonts w:ascii="Times New Roman" w:hAnsi="Times New Roman" w:eastAsia="宋体" w:cs="Times New Roman"/>
          <w:color w:val="000000" w:themeColor="text1"/>
          <w:szCs w:val="21"/>
          <w:highlight w:val="none"/>
          <w14:textFill>
            <w14:solidFill>
              <w14:schemeClr w14:val="tx1"/>
            </w14:solidFill>
          </w14:textFill>
        </w:rPr>
      </w:pPr>
    </w:p>
    <w:p w14:paraId="1B6575D4">
      <w:pPr>
        <w:pStyle w:val="73"/>
        <w:numPr>
          <w:ilvl w:val="0"/>
          <w:numId w:val="0"/>
        </w:numPr>
        <w:shd w:val="clear"/>
        <w:spacing w:before="157" w:beforeLines="50" w:after="157" w:afterLines="50"/>
        <w:rPr>
          <w:rFonts w:hint="eastAsia" w:ascii="黑体" w:hAnsi="黑体" w:eastAsia="黑体" w:cs="黑体"/>
          <w:color w:val="000000" w:themeColor="text1"/>
          <w:szCs w:val="21"/>
          <w:highlight w:val="none"/>
          <w14:textFill>
            <w14:solidFill>
              <w14:schemeClr w14:val="tx1"/>
            </w14:solidFill>
          </w14:textFill>
        </w:rPr>
      </w:pPr>
      <w:r>
        <w:rPr>
          <w:rFonts w:hint="eastAsia" w:ascii="黑体" w:hAnsi="黑体" w:eastAsia="黑体" w:cs="黑体"/>
          <w:color w:val="000000" w:themeColor="text1"/>
          <w:szCs w:val="21"/>
          <w:highlight w:val="none"/>
          <w14:textFill>
            <w14:solidFill>
              <w14:schemeClr w14:val="tx1"/>
            </w14:solidFill>
          </w14:textFill>
        </w:rPr>
        <w:t xml:space="preserve">B.2 </w:t>
      </w:r>
      <w:r>
        <w:rPr>
          <w:rFonts w:hint="eastAsia" w:ascii="黑体" w:hAnsi="黑体" w:eastAsia="黑体" w:cs="黑体"/>
          <w:color w:val="000000" w:themeColor="text1"/>
          <w:szCs w:val="21"/>
          <w:highlight w:val="none"/>
          <w14:textFill>
            <w14:solidFill>
              <w14:schemeClr w14:val="tx1"/>
            </w14:solidFill>
          </w14:textFill>
        </w:rPr>
        <w:t>潜伏期评估法</w:t>
      </w:r>
    </w:p>
    <w:p w14:paraId="2519D481">
      <w:pPr>
        <w:pStyle w:val="33"/>
        <w:shd w:val="clear"/>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通过评估</w:t>
      </w:r>
      <w:r>
        <w:rPr>
          <w:rFonts w:hint="eastAsia" w:ascii="Times New Roman" w:hAnsi="Times New Roman" w:eastAsia="宋体" w:cs="Times New Roman"/>
          <w:color w:val="000000" w:themeColor="text1"/>
          <w:szCs w:val="21"/>
          <w:highlight w:val="none"/>
          <w14:textFill>
            <w14:solidFill>
              <w14:schemeClr w14:val="tx1"/>
            </w14:solidFill>
          </w14:textFill>
        </w:rPr>
        <w:t>VN</w:t>
      </w:r>
      <w:r>
        <w:rPr>
          <w:rFonts w:ascii="Times New Roman" w:hAnsi="Times New Roman" w:eastAsia="宋体" w:cs="Times New Roman"/>
          <w:color w:val="000000" w:themeColor="text1"/>
          <w:szCs w:val="21"/>
          <w:highlight w:val="none"/>
          <w14:textFill>
            <w14:solidFill>
              <w14:schemeClr w14:val="tx1"/>
            </w14:solidFill>
          </w14:textFill>
        </w:rPr>
        <w:t>潜伏期的长短鉴别神经类型，若</w:t>
      </w:r>
      <w:r>
        <w:rPr>
          <w:rFonts w:hint="eastAsia" w:ascii="Times New Roman" w:hAnsi="Times New Roman" w:eastAsia="宋体" w:cs="Times New Roman"/>
          <w:color w:val="000000" w:themeColor="text1"/>
          <w:szCs w:val="21"/>
          <w:highlight w:val="none"/>
          <w14:textFill>
            <w14:solidFill>
              <w14:schemeClr w14:val="tx1"/>
            </w14:solidFill>
          </w14:textFill>
        </w:rPr>
        <w:t>小于</w:t>
      </w:r>
      <w:r>
        <w:rPr>
          <w:rFonts w:ascii="Times New Roman" w:hAnsi="Times New Roman" w:eastAsia="宋体" w:cs="Times New Roman"/>
          <w:color w:val="000000" w:themeColor="text1"/>
          <w:szCs w:val="21"/>
          <w:highlight w:val="none"/>
          <w14:textFill>
            <w14:solidFill>
              <w14:schemeClr w14:val="tx1"/>
            </w14:solidFill>
          </w14:textFill>
        </w:rPr>
        <w:t>2.5 m</w:t>
      </w:r>
      <w:r>
        <w:rPr>
          <w:rFonts w:hint="eastAsia" w:ascii="Times New Roman" w:hAnsi="Times New Roman" w:eastAsia="宋体" w:cs="Times New Roman"/>
          <w:color w:val="000000" w:themeColor="text1"/>
          <w:szCs w:val="21"/>
          <w:highlight w:val="none"/>
          <w14:textFill>
            <w14:solidFill>
              <w14:schemeClr w14:val="tx1"/>
            </w14:solidFill>
          </w14:textFill>
        </w:rPr>
        <w:t>s</w:t>
      </w:r>
      <w:r>
        <w:rPr>
          <w:rFonts w:ascii="Times New Roman" w:hAnsi="Times New Roman" w:eastAsia="宋体" w:cs="Times New Roman"/>
          <w:color w:val="000000" w:themeColor="text1"/>
          <w:szCs w:val="21"/>
          <w:highlight w:val="none"/>
          <w14:textFill>
            <w14:solidFill>
              <w14:schemeClr w14:val="tx1"/>
            </w14:solidFill>
          </w14:textFill>
        </w:rPr>
        <w:t>，提示</w:t>
      </w:r>
      <w:r>
        <w:rPr>
          <w:rFonts w:hint="eastAsia" w:ascii="Times New Roman" w:hAnsi="Times New Roman" w:eastAsia="宋体" w:cs="Times New Roman"/>
          <w:color w:val="000000" w:themeColor="text1"/>
          <w:szCs w:val="21"/>
          <w:highlight w:val="none"/>
          <w14:textFill>
            <w14:solidFill>
              <w14:schemeClr w14:val="tx1"/>
            </w14:solidFill>
          </w14:textFill>
        </w:rPr>
        <w:t>为</w:t>
      </w:r>
      <w:r>
        <w:rPr>
          <w:rFonts w:ascii="Times New Roman" w:hAnsi="Times New Roman" w:eastAsia="宋体" w:cs="Times New Roman"/>
          <w:color w:val="000000" w:themeColor="text1"/>
          <w:szCs w:val="21"/>
          <w:highlight w:val="none"/>
          <w14:textFill>
            <w14:solidFill>
              <w14:schemeClr w14:val="tx1"/>
            </w14:solidFill>
          </w14:textFill>
        </w:rPr>
        <w:t>NRLN</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见</w:t>
      </w:r>
      <w:r>
        <w:rPr>
          <w:rFonts w:hint="eastAsia" w:ascii="Times New Roman" w:hAnsi="Times New Roman" w:eastAsia="宋体" w:cs="Times New Roman"/>
          <w:color w:val="000000" w:themeColor="text1"/>
          <w:szCs w:val="21"/>
          <w:highlight w:val="none"/>
          <w14:textFill>
            <w14:solidFill>
              <w14:schemeClr w14:val="tx1"/>
            </w14:solidFill>
          </w14:textFill>
        </w:rPr>
        <w:t>图B.2）</w:t>
      </w:r>
      <w:r>
        <w:rPr>
          <w:rFonts w:ascii="Times New Roman" w:hAnsi="Times New Roman" w:eastAsia="宋体" w:cs="Times New Roman"/>
          <w:color w:val="000000" w:themeColor="text1"/>
          <w:szCs w:val="21"/>
          <w:highlight w:val="none"/>
          <w14:textFill>
            <w14:solidFill>
              <w14:schemeClr w14:val="tx1"/>
            </w14:solidFill>
          </w14:textFill>
        </w:rPr>
        <w:t>。</w:t>
      </w:r>
    </w:p>
    <w:p w14:paraId="6D968712">
      <w:pPr>
        <w:pStyle w:val="33"/>
        <w:shd w:val="clear"/>
        <w:jc w:val="left"/>
        <w:rPr>
          <w:rFonts w:ascii="Times New Roman" w:hAnsi="Times New Roman" w:eastAsia="宋体" w:cs="Times New Roman"/>
          <w:color w:val="000000" w:themeColor="text1"/>
          <w:szCs w:val="21"/>
          <w:highlight w:val="none"/>
          <w14:textFill>
            <w14:solidFill>
              <w14:schemeClr w14:val="tx1"/>
            </w14:solidFill>
          </w14:textFill>
        </w:rPr>
      </w:pPr>
    </w:p>
    <w:p w14:paraId="68C72083">
      <w:pPr>
        <w:pStyle w:val="33"/>
        <w:shd w:val="clear"/>
        <w:jc w:val="center"/>
        <w:rPr>
          <w:rFonts w:ascii="Times New Roman" w:hAnsi="Times New Roman" w:eastAsia="宋体" w:cs="Times New Roman"/>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3681730" cy="1700530"/>
            <wp:effectExtent l="0" t="0" r="1270" b="1270"/>
            <wp:docPr id="2000003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03787"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1744" cy="1700643"/>
                    </a:xfrm>
                    <a:prstGeom prst="rect">
                      <a:avLst/>
                    </a:prstGeom>
                  </pic:spPr>
                </pic:pic>
              </a:graphicData>
            </a:graphic>
          </wp:inline>
        </w:drawing>
      </w:r>
    </w:p>
    <w:p w14:paraId="40669372">
      <w:pPr>
        <w:pStyle w:val="33"/>
        <w:shd w:val="clear"/>
        <w:jc w:val="center"/>
        <w:rPr>
          <w:rFonts w:ascii="Times New Roman" w:hAnsi="Times New Roman" w:eastAsia="宋体" w:cs="Times New Roman"/>
          <w:color w:val="000000" w:themeColor="text1"/>
          <w:szCs w:val="21"/>
          <w:highlight w:val="none"/>
          <w14:textFill>
            <w14:solidFill>
              <w14:schemeClr w14:val="tx1"/>
            </w14:solidFill>
          </w14:textFill>
        </w:rPr>
      </w:pPr>
    </w:p>
    <w:p w14:paraId="397E54ED">
      <w:pPr>
        <w:pStyle w:val="73"/>
        <w:numPr>
          <w:ilvl w:val="0"/>
          <w:numId w:val="0"/>
        </w:numPr>
        <w:shd w:val="clear"/>
        <w:jc w:val="center"/>
        <w:rPr>
          <w:rFonts w:ascii="Times New Roman" w:eastAsia="黑体"/>
          <w:color w:val="000000" w:themeColor="text1"/>
          <w:szCs w:val="21"/>
          <w:highlight w:val="none"/>
          <w14:textFill>
            <w14:solidFill>
              <w14:schemeClr w14:val="tx1"/>
            </w14:solidFill>
          </w14:textFill>
        </w:rPr>
      </w:pPr>
      <w:r>
        <w:rPr>
          <w:rFonts w:hint="eastAsia" w:ascii="Times New Roman" w:eastAsia="黑体"/>
          <w:color w:val="000000" w:themeColor="text1"/>
          <w:szCs w:val="21"/>
          <w:highlight w:val="none"/>
          <w14:textFill>
            <w14:solidFill>
              <w14:schemeClr w14:val="tx1"/>
            </w14:solidFill>
          </w14:textFill>
        </w:rPr>
        <w:t>图B.2 潜伏期评估法识别非返性喉返神经</w:t>
      </w:r>
    </w:p>
    <w:p w14:paraId="29BE96AC">
      <w:pPr>
        <w:pStyle w:val="73"/>
        <w:numPr>
          <w:ilvl w:val="0"/>
          <w:numId w:val="0"/>
        </w:numPr>
        <w:shd w:val="clear"/>
        <w:jc w:val="center"/>
        <w:rPr>
          <w:rFonts w:ascii="Times New Roman"/>
          <w:color w:val="000000" w:themeColor="text1"/>
          <w:szCs w:val="21"/>
          <w:highlight w:val="none"/>
          <w14:textFill>
            <w14:solidFill>
              <w14:schemeClr w14:val="tx1"/>
            </w14:solidFill>
          </w14:textFill>
        </w:rPr>
      </w:pPr>
    </w:p>
    <w:p w14:paraId="710CFBE1">
      <w:pPr>
        <w:shd w:val="clear"/>
        <w:rPr>
          <w:rFonts w:hint="eastAsia"/>
          <w:color w:val="000000" w:themeColor="text1"/>
          <w:highlight w:val="none"/>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27E73C7E">
      <w:pPr>
        <w:pStyle w:val="103"/>
        <w:shd w:val="clear"/>
        <w:spacing w:before="0" w:after="0" w:afterLines="0"/>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br w:type="textWrapping"/>
      </w:r>
      <w:bookmarkStart w:id="20" w:name="_Toc207835483"/>
      <w:r>
        <w:rPr>
          <w:rFonts w:hint="eastAsia" w:ascii="Times New Roman"/>
          <w:color w:val="000000" w:themeColor="text1"/>
          <w:highlight w:val="none"/>
          <w14:textFill>
            <w14:solidFill>
              <w14:schemeClr w14:val="tx1"/>
            </w14:solidFill>
          </w14:textFill>
        </w:rPr>
        <w:t>（资料性）</w:t>
      </w:r>
      <w:r>
        <w:rPr>
          <w:rFonts w:ascii="Times New Roman"/>
          <w:color w:val="000000" w:themeColor="text1"/>
          <w:highlight w:val="none"/>
          <w14:textFill>
            <w14:solidFill>
              <w14:schemeClr w14:val="tx1"/>
            </w14:solidFill>
          </w14:textFill>
        </w:rPr>
        <w:br w:type="textWrapping"/>
      </w:r>
      <w:r>
        <w:rPr>
          <w:rFonts w:hint="eastAsia" w:ascii="Times New Roman"/>
          <w:color w:val="000000" w:themeColor="text1"/>
          <w:highlight w:val="none"/>
          <w14:textFill>
            <w14:solidFill>
              <w14:schemeClr w14:val="tx1"/>
            </w14:solidFill>
          </w14:textFill>
        </w:rPr>
        <w:t>胸骨甲状肌</w:t>
      </w:r>
      <w:r>
        <w:rPr>
          <w:rFonts w:ascii="Times New Roman"/>
          <w:color w:val="000000" w:themeColor="text1"/>
          <w:highlight w:val="none"/>
          <w14:textFill>
            <w14:solidFill>
              <w14:schemeClr w14:val="tx1"/>
            </w14:solidFill>
          </w14:textFill>
        </w:rPr>
        <w:t>-</w:t>
      </w:r>
      <w:r>
        <w:rPr>
          <w:rFonts w:hint="eastAsia" w:ascii="Times New Roman"/>
          <w:color w:val="000000" w:themeColor="text1"/>
          <w:highlight w:val="none"/>
          <w14:textFill>
            <w14:solidFill>
              <w14:schemeClr w14:val="tx1"/>
            </w14:solidFill>
          </w14:textFill>
        </w:rPr>
        <w:t>喉三角示意图</w:t>
      </w:r>
      <w:bookmarkEnd w:id="20"/>
    </w:p>
    <w:p w14:paraId="39A7F8C0">
      <w:pPr>
        <w:shd w:val="clear"/>
        <w:ind w:firstLine="420" w:firstLineChars="200"/>
        <w:rPr>
          <w:rFonts w:ascii="黑体" w:hAnsi="Times New Roman" w:eastAsia="黑体" w:cs="Times New Roman"/>
          <w:color w:val="000000" w:themeColor="text1"/>
          <w:kern w:val="0"/>
          <w:szCs w:val="20"/>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EBSLN常走行于“胸骨甲状肌-喉三角”，即以胸骨甲状肌为外侧界、咽下缩肌及环甲肌为内侧界、甲状腺上极为下界的三角区域</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见</w:t>
      </w:r>
      <w:r>
        <w:rPr>
          <w:rFonts w:hint="eastAsia" w:ascii="Times New Roman" w:hAnsi="Times New Roman" w:eastAsia="宋体" w:cs="Times New Roman"/>
          <w:color w:val="000000" w:themeColor="text1"/>
          <w:szCs w:val="21"/>
          <w:highlight w:val="none"/>
          <w14:textFill>
            <w14:solidFill>
              <w14:schemeClr w14:val="tx1"/>
            </w14:solidFill>
          </w14:textFill>
        </w:rPr>
        <w:t>图C.1）</w:t>
      </w:r>
      <w:r>
        <w:rPr>
          <w:rFonts w:ascii="Times New Roman" w:hAnsi="Times New Roman" w:eastAsia="宋体" w:cs="Times New Roman"/>
          <w:color w:val="000000" w:themeColor="text1"/>
          <w:szCs w:val="21"/>
          <w:highlight w:val="none"/>
          <w14:textFill>
            <w14:solidFill>
              <w14:schemeClr w14:val="tx1"/>
            </w14:solidFill>
          </w14:textFill>
        </w:rPr>
        <w:t>。术中将甲状腺向下、向外侧牵拉，充分显露胸骨甲状肌-喉三角，有助于甲状腺上极血管的处理和EBSLN的定位显露。</w:t>
      </w:r>
    </w:p>
    <w:p w14:paraId="555A2218">
      <w:pPr>
        <w:shd w:val="clear"/>
        <w:jc w:val="center"/>
        <w:rPr>
          <w:rFonts w:ascii="黑体" w:hAnsi="Times New Roman" w:eastAsia="黑体" w:cs="Times New Roman"/>
          <w:color w:val="000000" w:themeColor="text1"/>
          <w:kern w:val="0"/>
          <w:szCs w:val="20"/>
          <w:highlight w:val="none"/>
          <w14:textFill>
            <w14:solidFill>
              <w14:schemeClr w14:val="tx1"/>
            </w14:solidFill>
          </w14:textFill>
        </w:rPr>
      </w:pPr>
      <w:r>
        <w:rPr>
          <w:rFonts w:ascii="黑体" w:hAnsi="Times New Roman" w:eastAsia="黑体" w:cs="Times New Roman"/>
          <w:color w:val="000000" w:themeColor="text1"/>
          <w:kern w:val="0"/>
          <w:szCs w:val="20"/>
          <w:highlight w:val="none"/>
          <w14:textFill>
            <w14:solidFill>
              <w14:schemeClr w14:val="tx1"/>
            </w14:solidFill>
          </w14:textFill>
        </w:rPr>
        <w:drawing>
          <wp:inline distT="0" distB="0" distL="0" distR="0">
            <wp:extent cx="2891790" cy="2692400"/>
            <wp:effectExtent l="0" t="0" r="381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2"/>
                    <a:stretch>
                      <a:fillRect/>
                    </a:stretch>
                  </pic:blipFill>
                  <pic:spPr>
                    <a:xfrm>
                      <a:off x="0" y="0"/>
                      <a:ext cx="2927377" cy="2725791"/>
                    </a:xfrm>
                    <a:prstGeom prst="rect">
                      <a:avLst/>
                    </a:prstGeom>
                  </pic:spPr>
                </pic:pic>
              </a:graphicData>
            </a:graphic>
          </wp:inline>
        </w:drawing>
      </w:r>
    </w:p>
    <w:p w14:paraId="0A71FB1C">
      <w:pPr>
        <w:pStyle w:val="73"/>
        <w:numPr>
          <w:ilvl w:val="0"/>
          <w:numId w:val="0"/>
        </w:numPr>
        <w:shd w:val="clear"/>
        <w:jc w:val="center"/>
        <w:rPr>
          <w:rFonts w:ascii="Times New Roman" w:eastAsia="黑体"/>
          <w:color w:val="000000" w:themeColor="text1"/>
          <w:szCs w:val="21"/>
          <w:highlight w:val="none"/>
          <w14:textFill>
            <w14:solidFill>
              <w14:schemeClr w14:val="tx1"/>
            </w14:solidFill>
          </w14:textFill>
        </w:rPr>
      </w:pPr>
      <w:r>
        <w:rPr>
          <w:rFonts w:hint="eastAsia" w:ascii="Times New Roman" w:eastAsia="黑体"/>
          <w:color w:val="000000" w:themeColor="text1"/>
          <w:szCs w:val="21"/>
          <w:highlight w:val="none"/>
          <w14:textFill>
            <w14:solidFill>
              <w14:schemeClr w14:val="tx1"/>
            </w14:solidFill>
          </w14:textFill>
        </w:rPr>
        <w:t>图C.1 胸骨甲状肌-喉三角示意图</w:t>
      </w:r>
    </w:p>
    <w:p w14:paraId="4EEB9F77">
      <w:pPr>
        <w:shd w:val="clear"/>
        <w:tabs>
          <w:tab w:val="center" w:pos="4153"/>
        </w:tabs>
        <w:rPr>
          <w:rFonts w:hint="eastAsia"/>
          <w:color w:val="000000" w:themeColor="text1"/>
          <w:highlight w:val="none"/>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066D9AB4">
      <w:pPr>
        <w:pStyle w:val="103"/>
        <w:shd w:val="clear"/>
        <w:spacing w:before="0" w:after="0" w:afterLines="0"/>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br w:type="textWrapping"/>
      </w:r>
      <w:bookmarkStart w:id="21" w:name="_Toc207835484"/>
      <w:r>
        <w:rPr>
          <w:rFonts w:hint="eastAsia" w:ascii="Times New Roman"/>
          <w:color w:val="000000" w:themeColor="text1"/>
          <w:highlight w:val="none"/>
          <w14:textFill>
            <w14:solidFill>
              <w14:schemeClr w14:val="tx1"/>
            </w14:solidFill>
          </w14:textFill>
        </w:rPr>
        <w:t>（资料性）</w:t>
      </w:r>
      <w:r>
        <w:rPr>
          <w:rFonts w:ascii="Times New Roman"/>
          <w:color w:val="000000" w:themeColor="text1"/>
          <w:highlight w:val="none"/>
          <w14:textFill>
            <w14:solidFill>
              <w14:schemeClr w14:val="tx1"/>
            </w14:solidFill>
          </w14:textFill>
        </w:rPr>
        <w:br w:type="textWrapping"/>
      </w:r>
      <w:r>
        <w:rPr>
          <w:rFonts w:hint="eastAsia" w:ascii="Times New Roman"/>
          <w:color w:val="000000" w:themeColor="text1"/>
          <w:highlight w:val="none"/>
          <w14:textFill>
            <w14:solidFill>
              <w14:schemeClr w14:val="tx1"/>
            </w14:solidFill>
          </w14:textFill>
        </w:rPr>
        <w:t>肌电信号的基本参数</w:t>
      </w:r>
      <w:bookmarkEnd w:id="21"/>
    </w:p>
    <w:p w14:paraId="737A40F9">
      <w:pPr>
        <w:pStyle w:val="33"/>
        <w:shd w:val="clear"/>
        <w:spacing w:before="156" w:beforeLines="50" w:after="156" w:afterLines="50"/>
        <w:jc w:val="left"/>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肌电图（</w:t>
      </w:r>
      <w:r>
        <w:rPr>
          <w:rFonts w:ascii="Times New Roman" w:hAnsi="Times New Roman" w:eastAsia="宋体" w:cs="Times New Roman"/>
          <w:color w:val="000000" w:themeColor="text1"/>
          <w:szCs w:val="21"/>
          <w:highlight w:val="none"/>
          <w14:textFill>
            <w14:solidFill>
              <w14:schemeClr w14:val="tx1"/>
            </w14:solidFill>
          </w14:textFill>
        </w:rPr>
        <w:t>EMG</w:t>
      </w:r>
      <w:r>
        <w:rPr>
          <w:rFonts w:hint="eastAsia" w:ascii="Times New Roman" w:hAnsi="Times New Roman" w:eastAsia="宋体" w:cs="Times New Roman"/>
          <w:color w:val="000000" w:themeColor="text1"/>
          <w:szCs w:val="21"/>
          <w:highlight w:val="none"/>
          <w14:textFill>
            <w14:solidFill>
              <w14:schemeClr w14:val="tx1"/>
            </w14:solidFill>
          </w14:textFill>
        </w:rPr>
        <w:t>）可</w:t>
      </w:r>
      <w:r>
        <w:rPr>
          <w:rFonts w:ascii="Times New Roman" w:hAnsi="Times New Roman" w:eastAsia="宋体" w:cs="Times New Roman"/>
          <w:color w:val="000000" w:themeColor="text1"/>
          <w:szCs w:val="21"/>
          <w:highlight w:val="none"/>
          <w14:textFill>
            <w14:solidFill>
              <w14:schemeClr w14:val="tx1"/>
            </w14:solidFill>
          </w14:textFill>
        </w:rPr>
        <w:t>客观、准确、量化地反映神经功能</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是目前最为常用的</w:t>
      </w:r>
      <w:r>
        <w:rPr>
          <w:rFonts w:hint="eastAsia" w:ascii="Times New Roman" w:hAnsi="Times New Roman" w:eastAsia="宋体" w:cs="Times New Roman"/>
          <w:color w:val="000000" w:themeColor="text1"/>
          <w:szCs w:val="21"/>
          <w:highlight w:val="none"/>
          <w14:textFill>
            <w14:solidFill>
              <w14:schemeClr w14:val="tx1"/>
            </w14:solidFill>
          </w14:textFill>
        </w:rPr>
        <w:t>神经</w:t>
      </w:r>
      <w:r>
        <w:rPr>
          <w:rFonts w:ascii="Times New Roman" w:hAnsi="Times New Roman" w:eastAsia="宋体" w:cs="Times New Roman"/>
          <w:color w:val="000000" w:themeColor="text1"/>
          <w:szCs w:val="21"/>
          <w:highlight w:val="none"/>
          <w14:textFill>
            <w14:solidFill>
              <w14:schemeClr w14:val="tx1"/>
            </w14:solidFill>
          </w14:textFill>
        </w:rPr>
        <w:t>监测形式</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观测、分析和记录EMG</w:t>
      </w:r>
      <w:r>
        <w:rPr>
          <w:rFonts w:hint="eastAsia" w:ascii="Times New Roman" w:hAnsi="Times New Roman" w:eastAsia="宋体" w:cs="Times New Roman"/>
          <w:color w:val="000000" w:themeColor="text1"/>
          <w:szCs w:val="21"/>
          <w:highlight w:val="none"/>
          <w14:textFill>
            <w14:solidFill>
              <w14:schemeClr w14:val="tx1"/>
            </w14:solidFill>
          </w14:textFill>
        </w:rPr>
        <w:t>参数</w:t>
      </w:r>
      <w:r>
        <w:rPr>
          <w:rFonts w:ascii="Times New Roman" w:hAnsi="Times New Roman" w:eastAsia="宋体" w:cs="Times New Roman"/>
          <w:color w:val="000000" w:themeColor="text1"/>
          <w:szCs w:val="21"/>
          <w:highlight w:val="none"/>
          <w14:textFill>
            <w14:solidFill>
              <w14:schemeClr w14:val="tx1"/>
            </w14:solidFill>
          </w14:textFill>
        </w:rPr>
        <w:t>对评估神经功能具有重要的临床意义</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可用于临床分析与科学研究。EMG的主要参数</w:t>
      </w:r>
      <w:r>
        <w:rPr>
          <w:rFonts w:hint="eastAsia" w:ascii="Times New Roman" w:hAnsi="Times New Roman" w:eastAsia="宋体" w:cs="Times New Roman"/>
          <w:color w:val="000000" w:themeColor="text1"/>
          <w:szCs w:val="21"/>
          <w:highlight w:val="none"/>
          <w14:textFill>
            <w14:solidFill>
              <w14:schemeClr w14:val="tx1"/>
            </w14:solidFill>
          </w14:textFill>
        </w:rPr>
        <w:t>如图D.1所示。</w:t>
      </w:r>
    </w:p>
    <w:p w14:paraId="404663CA">
      <w:pPr>
        <w:pStyle w:val="73"/>
        <w:numPr>
          <w:ilvl w:val="0"/>
          <w:numId w:val="0"/>
        </w:numPr>
        <w:shd w:val="clear"/>
        <w:rPr>
          <w:rFonts w:hint="eastAsia" w:ascii="Times New Roman" w:hAnsi="Times New Roman" w:eastAsia="黑体"/>
          <w:color w:val="000000" w:themeColor="text1"/>
          <w:szCs w:val="21"/>
          <w:highlight w:val="none"/>
          <w14:textFill>
            <w14:solidFill>
              <w14:schemeClr w14:val="tx1"/>
            </w14:solidFill>
          </w14:textFill>
        </w:rPr>
      </w:pPr>
      <w:r>
        <w:rPr>
          <w:rFonts w:hint="eastAsia" w:ascii="Times New Roman" w:eastAsia="黑体"/>
          <w:color w:val="000000" w:themeColor="text1"/>
          <w:szCs w:val="21"/>
          <w:highlight w:val="none"/>
          <w:lang w:val="en-US" w:eastAsia="zh-CN"/>
          <w14:textFill>
            <w14:solidFill>
              <w14:schemeClr w14:val="tx1"/>
            </w14:solidFill>
          </w14:textFill>
        </w:rPr>
        <w:t>D</w:t>
      </w:r>
      <w:r>
        <w:rPr>
          <w:rFonts w:hint="eastAsia" w:ascii="Times New Roman" w:hAnsi="Times New Roman" w:eastAsia="黑体"/>
          <w:color w:val="000000" w:themeColor="text1"/>
          <w:szCs w:val="21"/>
          <w:highlight w:val="none"/>
          <w14:textFill>
            <w14:solidFill>
              <w14:schemeClr w14:val="tx1"/>
            </w14:solidFill>
          </w14:textFill>
        </w:rPr>
        <w:t>.1 振幅</w:t>
      </w:r>
    </w:p>
    <w:p w14:paraId="623410A6">
      <w:pPr>
        <w:pStyle w:val="33"/>
        <w:shd w:val="clear"/>
        <w:spacing w:before="156" w:beforeLines="50" w:after="156" w:afterLines="50"/>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EMG波形</w:t>
      </w:r>
      <w:r>
        <w:rPr>
          <w:rFonts w:hint="eastAsia" w:ascii="Times New Roman" w:hAnsi="Times New Roman" w:eastAsia="宋体" w:cs="Times New Roman"/>
          <w:color w:val="000000" w:themeColor="text1"/>
          <w:szCs w:val="21"/>
          <w:highlight w:val="none"/>
          <w14:textFill>
            <w14:solidFill>
              <w14:schemeClr w14:val="tx1"/>
            </w14:solidFill>
          </w14:textFill>
        </w:rPr>
        <w:t>从波峰或波谷到基线之间的最大</w:t>
      </w:r>
      <w:r>
        <w:rPr>
          <w:rFonts w:ascii="Times New Roman" w:hAnsi="Times New Roman" w:eastAsia="宋体" w:cs="Times New Roman"/>
          <w:color w:val="000000" w:themeColor="text1"/>
          <w:szCs w:val="21"/>
          <w:highlight w:val="none"/>
          <w14:textFill>
            <w14:solidFill>
              <w14:schemeClr w14:val="tx1"/>
            </w14:solidFill>
          </w14:textFill>
        </w:rPr>
        <w:t>电压差值</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单位微伏</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μV</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。振幅的高低代表肌肉运动单位动作电位的总和</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与同时参与去极化的肌纤维的数量有关</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振幅</w:t>
      </w:r>
      <w:r>
        <w:rPr>
          <w:rFonts w:hint="eastAsia" w:ascii="Times New Roman" w:hAnsi="Times New Roman" w:eastAsia="宋体" w:cs="Times New Roman"/>
          <w:color w:val="000000" w:themeColor="text1"/>
          <w:szCs w:val="21"/>
          <w:highlight w:val="none"/>
          <w14:textFill>
            <w14:solidFill>
              <w14:schemeClr w14:val="tx1"/>
            </w14:solidFill>
          </w14:textFill>
        </w:rPr>
        <w:t>的</w:t>
      </w:r>
      <w:r>
        <w:rPr>
          <w:rFonts w:ascii="Times New Roman" w:hAnsi="Times New Roman" w:eastAsia="宋体" w:cs="Times New Roman"/>
          <w:color w:val="000000" w:themeColor="text1"/>
          <w:szCs w:val="21"/>
          <w:highlight w:val="none"/>
          <w14:textFill>
            <w14:solidFill>
              <w14:schemeClr w14:val="tx1"/>
            </w14:solidFill>
          </w14:textFill>
        </w:rPr>
        <w:t>变化直接提示神经功能的变化</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是反映神经功能最重要的指标</w:t>
      </w:r>
      <w:r>
        <w:rPr>
          <w:rFonts w:hint="eastAsia" w:ascii="Times New Roman" w:hAnsi="Times New Roman" w:eastAsia="宋体" w:cs="Times New Roman"/>
          <w:color w:val="000000" w:themeColor="text1"/>
          <w:szCs w:val="21"/>
          <w:highlight w:val="none"/>
          <w14:textFill>
            <w14:solidFill>
              <w14:schemeClr w14:val="tx1"/>
            </w14:solidFill>
          </w14:textFill>
        </w:rPr>
        <w:t>。</w:t>
      </w:r>
    </w:p>
    <w:p w14:paraId="55EB09F2">
      <w:pPr>
        <w:pStyle w:val="73"/>
        <w:numPr>
          <w:ilvl w:val="0"/>
          <w:numId w:val="0"/>
        </w:numPr>
        <w:shd w:val="clear"/>
        <w:rPr>
          <w:rFonts w:hint="eastAsia" w:ascii="Times New Roman" w:hAnsi="Times New Roman" w:eastAsia="黑体"/>
          <w:color w:val="000000" w:themeColor="text1"/>
          <w:szCs w:val="21"/>
          <w:highlight w:val="none"/>
          <w14:textFill>
            <w14:solidFill>
              <w14:schemeClr w14:val="tx1"/>
            </w14:solidFill>
          </w14:textFill>
        </w:rPr>
      </w:pPr>
      <w:r>
        <w:rPr>
          <w:rFonts w:hint="eastAsia" w:ascii="Times New Roman" w:eastAsia="黑体"/>
          <w:color w:val="000000" w:themeColor="text1"/>
          <w:szCs w:val="21"/>
          <w:highlight w:val="none"/>
          <w:lang w:val="en-US" w:eastAsia="zh-CN"/>
          <w14:textFill>
            <w14:solidFill>
              <w14:schemeClr w14:val="tx1"/>
            </w14:solidFill>
          </w14:textFill>
        </w:rPr>
        <w:t>D</w:t>
      </w:r>
      <w:r>
        <w:rPr>
          <w:rFonts w:hint="eastAsia" w:ascii="Times New Roman" w:hAnsi="Times New Roman" w:eastAsia="黑体"/>
          <w:color w:val="000000" w:themeColor="text1"/>
          <w:szCs w:val="21"/>
          <w:highlight w:val="none"/>
          <w14:textFill>
            <w14:solidFill>
              <w14:schemeClr w14:val="tx1"/>
            </w14:solidFill>
          </w14:textFill>
        </w:rPr>
        <w:t>.2 潜伏期</w:t>
      </w:r>
    </w:p>
    <w:p w14:paraId="27E82965">
      <w:pPr>
        <w:pStyle w:val="33"/>
        <w:shd w:val="clear"/>
        <w:spacing w:before="156" w:beforeLines="50" w:after="156" w:afterLines="50"/>
        <w:jc w:val="left"/>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EMG波形</w:t>
      </w:r>
      <w:r>
        <w:rPr>
          <w:rFonts w:ascii="Times New Roman" w:hAnsi="Times New Roman" w:eastAsia="宋体" w:cs="Times New Roman"/>
          <w:color w:val="000000" w:themeColor="text1"/>
          <w:szCs w:val="21"/>
          <w:highlight w:val="none"/>
          <w14:textFill>
            <w14:solidFill>
              <w14:schemeClr w14:val="tx1"/>
            </w14:solidFill>
          </w14:textFill>
        </w:rPr>
        <w:t>从电刺激开始至第一个波形首次偏离基线之间的时长</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单位毫秒</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ms</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。潜伏期的长短与电刺激产生的神经去极化的速度有关</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刺激位点与效应肌肉的距离直接决定潜伏期值。因此</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潜伏期变化可辅助分辨神经类型</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尤其对非返性喉返神经的判断作用甚大。</w:t>
      </w:r>
    </w:p>
    <w:p w14:paraId="3256F443">
      <w:pPr>
        <w:pStyle w:val="73"/>
        <w:numPr>
          <w:ilvl w:val="0"/>
          <w:numId w:val="0"/>
        </w:numPr>
        <w:shd w:val="clear"/>
        <w:rPr>
          <w:rFonts w:hint="eastAsia" w:ascii="Times New Roman" w:hAnsi="Times New Roman" w:eastAsia="黑体"/>
          <w:color w:val="000000" w:themeColor="text1"/>
          <w:szCs w:val="21"/>
          <w:highlight w:val="none"/>
          <w14:textFill>
            <w14:solidFill>
              <w14:schemeClr w14:val="tx1"/>
            </w14:solidFill>
          </w14:textFill>
        </w:rPr>
      </w:pPr>
      <w:r>
        <w:rPr>
          <w:rFonts w:hint="eastAsia" w:ascii="Times New Roman" w:eastAsia="黑体"/>
          <w:color w:val="000000" w:themeColor="text1"/>
          <w:szCs w:val="21"/>
          <w:highlight w:val="none"/>
          <w:lang w:val="en-US" w:eastAsia="zh-CN"/>
          <w14:textFill>
            <w14:solidFill>
              <w14:schemeClr w14:val="tx1"/>
            </w14:solidFill>
          </w14:textFill>
        </w:rPr>
        <w:t>D</w:t>
      </w:r>
      <w:r>
        <w:rPr>
          <w:rFonts w:hint="eastAsia" w:ascii="Times New Roman" w:hAnsi="Times New Roman" w:eastAsia="黑体"/>
          <w:color w:val="000000" w:themeColor="text1"/>
          <w:szCs w:val="21"/>
          <w:highlight w:val="none"/>
          <w14:textFill>
            <w14:solidFill>
              <w14:schemeClr w14:val="tx1"/>
            </w14:solidFill>
          </w14:textFill>
        </w:rPr>
        <w:t>.3 时程</w:t>
      </w:r>
    </w:p>
    <w:p w14:paraId="463FE252">
      <w:pPr>
        <w:pStyle w:val="33"/>
        <w:shd w:val="clear"/>
        <w:spacing w:before="156" w:beforeLines="50" w:after="156" w:afterLines="50"/>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EMG波形从偏离基线至回归基线所用的时间</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单位毫秒</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ms</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。时程的长短反映效应肌肉去极化的时间</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与神经纤维同步兴奋程度有关</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可用于区分效应肌的种类</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多应用于EMG相关分析。</w:t>
      </w:r>
    </w:p>
    <w:p w14:paraId="18D216C3">
      <w:pPr>
        <w:pStyle w:val="73"/>
        <w:numPr>
          <w:ilvl w:val="0"/>
          <w:numId w:val="0"/>
        </w:numPr>
        <w:shd w:val="clear"/>
        <w:rPr>
          <w:rFonts w:hint="eastAsia" w:ascii="Times New Roman" w:hAnsi="Times New Roman" w:eastAsia="黑体"/>
          <w:color w:val="000000" w:themeColor="text1"/>
          <w:szCs w:val="21"/>
          <w:highlight w:val="none"/>
          <w14:textFill>
            <w14:solidFill>
              <w14:schemeClr w14:val="tx1"/>
            </w14:solidFill>
          </w14:textFill>
        </w:rPr>
      </w:pPr>
      <w:r>
        <w:rPr>
          <w:rFonts w:hint="eastAsia" w:ascii="Times New Roman" w:eastAsia="黑体"/>
          <w:color w:val="000000" w:themeColor="text1"/>
          <w:szCs w:val="21"/>
          <w:highlight w:val="none"/>
          <w:lang w:val="en-US" w:eastAsia="zh-CN"/>
          <w14:textFill>
            <w14:solidFill>
              <w14:schemeClr w14:val="tx1"/>
            </w14:solidFill>
          </w14:textFill>
        </w:rPr>
        <w:t>D</w:t>
      </w:r>
      <w:r>
        <w:rPr>
          <w:rFonts w:hint="default" w:ascii="Times New Roman" w:hAnsi="Times New Roman" w:eastAsia="黑体"/>
          <w:color w:val="000000" w:themeColor="text1"/>
          <w:szCs w:val="21"/>
          <w:highlight w:val="none"/>
          <w:lang w:val="en-US"/>
          <w14:textFill>
            <w14:solidFill>
              <w14:schemeClr w14:val="tx1"/>
            </w14:solidFill>
          </w14:textFill>
        </w:rPr>
        <w:t>.</w:t>
      </w:r>
      <w:r>
        <w:rPr>
          <w:rFonts w:hint="eastAsia" w:ascii="Times New Roman" w:hAnsi="Times New Roman" w:eastAsia="黑体"/>
          <w:color w:val="000000" w:themeColor="text1"/>
          <w:szCs w:val="21"/>
          <w:highlight w:val="none"/>
          <w14:textFill>
            <w14:solidFill>
              <w14:schemeClr w14:val="tx1"/>
            </w14:solidFill>
          </w14:textFill>
        </w:rPr>
        <w:t>4 波形下面积</w:t>
      </w:r>
    </w:p>
    <w:p w14:paraId="1B1E5B24">
      <w:pPr>
        <w:pStyle w:val="33"/>
        <w:shd w:val="clear"/>
        <w:spacing w:before="156" w:beforeLines="50" w:after="156" w:afterLines="50"/>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EMG波形与基线所围成封闭图形的面积</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单位像素</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pt</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。面积的大小与参与肌肉动作电位的肌纤维数量有关</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是衡量运动神经功能变化较为敏感的特征指标</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适用于监测振幅较低、潜伏期和时程较短的神经</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如EBSLN。</w:t>
      </w:r>
    </w:p>
    <w:p w14:paraId="0FBC9CD8">
      <w:pPr>
        <w:pStyle w:val="33"/>
        <w:shd w:val="clear"/>
        <w:ind w:firstLine="0" w:firstLineChars="0"/>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drawing>
          <wp:inline distT="0" distB="0" distL="0" distR="0">
            <wp:extent cx="3597275" cy="2445385"/>
            <wp:effectExtent l="0" t="0" r="0" b="5715"/>
            <wp:docPr id="1212674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74302" name="图片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620300" cy="2461421"/>
                    </a:xfrm>
                    <a:prstGeom prst="rect">
                      <a:avLst/>
                    </a:prstGeom>
                  </pic:spPr>
                </pic:pic>
              </a:graphicData>
            </a:graphic>
          </wp:inline>
        </w:drawing>
      </w:r>
    </w:p>
    <w:p w14:paraId="69387308">
      <w:pPr>
        <w:pStyle w:val="33"/>
        <w:shd w:val="clear"/>
        <w:spacing w:before="156" w:beforeLines="50" w:after="156" w:afterLines="50"/>
        <w:ind w:firstLine="0" w:firstLineChars="0"/>
        <w:jc w:val="center"/>
        <w:rPr>
          <w:rFonts w:ascii="Times New Roman" w:hAnsi="Times New Roman" w:eastAsia="黑体" w:cs="Times New Roman"/>
          <w:bCs/>
          <w:color w:val="000000" w:themeColor="text1"/>
          <w:szCs w:val="21"/>
          <w:highlight w:val="none"/>
          <w14:textFill>
            <w14:solidFill>
              <w14:schemeClr w14:val="tx1"/>
            </w14:solidFill>
          </w14:textFill>
        </w:rPr>
      </w:pPr>
      <w:r>
        <w:rPr>
          <w:rFonts w:ascii="Times New Roman" w:hAnsi="Times New Roman" w:eastAsia="黑体" w:cs="Times New Roman"/>
          <w:bCs/>
          <w:color w:val="000000" w:themeColor="text1"/>
          <w:szCs w:val="21"/>
          <w:highlight w:val="none"/>
          <w14:textFill>
            <w14:solidFill>
              <w14:schemeClr w14:val="tx1"/>
            </w14:solidFill>
          </w14:textFill>
        </w:rPr>
        <w:t>图</w:t>
      </w:r>
      <w:r>
        <w:rPr>
          <w:rFonts w:hint="eastAsia" w:ascii="Times New Roman" w:hAnsi="Times New Roman" w:eastAsia="黑体" w:cs="Times New Roman"/>
          <w:bCs/>
          <w:color w:val="000000" w:themeColor="text1"/>
          <w:szCs w:val="21"/>
          <w:highlight w:val="none"/>
          <w14:textFill>
            <w14:solidFill>
              <w14:schemeClr w14:val="tx1"/>
            </w14:solidFill>
          </w14:textFill>
        </w:rPr>
        <w:t>D</w:t>
      </w:r>
      <w:r>
        <w:rPr>
          <w:rFonts w:ascii="Times New Roman" w:hAnsi="Times New Roman" w:eastAsia="黑体" w:cs="Times New Roman"/>
          <w:bCs/>
          <w:color w:val="000000" w:themeColor="text1"/>
          <w:szCs w:val="21"/>
          <w:highlight w:val="none"/>
          <w14:textFill>
            <w14:solidFill>
              <w14:schemeClr w14:val="tx1"/>
            </w14:solidFill>
          </w14:textFill>
        </w:rPr>
        <w:t>.1 术中神经监测EMG波形的基本参数</w:t>
      </w:r>
    </w:p>
    <w:p w14:paraId="7BA0419A">
      <w:pPr>
        <w:pStyle w:val="62"/>
        <w:shd w:val="clear"/>
        <w:ind w:firstLine="0" w:firstLineChars="0"/>
        <w:rPr>
          <w:color w:val="000000" w:themeColor="text1"/>
          <w:highlight w:val="none"/>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7AF72B5C">
      <w:pPr>
        <w:widowControl/>
        <w:shd w:val="clear"/>
        <w:spacing w:before="312" w:beforeLines="100" w:after="156" w:afterLines="50"/>
        <w:jc w:val="center"/>
        <w:outlineLvl w:val="0"/>
        <w:rPr>
          <w:rFonts w:hint="eastAsia" w:ascii="黑体" w:hAnsi="黑体" w:eastAsia="黑体" w:cs="黑体"/>
          <w:bCs/>
          <w:color w:val="000000" w:themeColor="text1"/>
          <w:szCs w:val="21"/>
          <w:highlight w:val="none"/>
          <w14:textFill>
            <w14:solidFill>
              <w14:schemeClr w14:val="tx1"/>
            </w14:solidFill>
          </w14:textFill>
        </w:rPr>
      </w:pPr>
      <w:bookmarkStart w:id="22" w:name="_Toc207835485"/>
      <w:r>
        <w:rPr>
          <w:rFonts w:hint="eastAsia" w:ascii="黑体" w:hAnsi="黑体" w:eastAsia="黑体" w:cs="黑体"/>
          <w:bCs/>
          <w:color w:val="000000" w:themeColor="text1"/>
          <w:szCs w:val="21"/>
          <w:highlight w:val="none"/>
          <w14:textFill>
            <w14:solidFill>
              <w14:schemeClr w14:val="tx1"/>
            </w14:solidFill>
          </w14:textFill>
        </w:rPr>
        <w:t>参  考  文  献</w:t>
      </w:r>
      <w:bookmarkEnd w:id="22"/>
    </w:p>
    <w:p w14:paraId="592EAFC9">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中国医师协会外科医师分会甲状腺外科医师委员会</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甲状腺及甲状旁腺手术中神经电生理监测临床指南</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中国版</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中国实用外科杂志</w:t>
      </w:r>
      <w:r>
        <w:rPr>
          <w:rFonts w:ascii="Times New Roman" w:hAnsi="Times New Roman" w:eastAsia="宋体" w:cs="Times New Roman"/>
          <w:color w:val="000000" w:themeColor="text1"/>
          <w:sz w:val="21"/>
          <w:szCs w:val="21"/>
          <w:highlight w:val="none"/>
          <w14:textFill>
            <w14:solidFill>
              <w14:schemeClr w14:val="tx1"/>
            </w14:solidFill>
          </w14:textFill>
        </w:rPr>
        <w:t>,2013,33(6): 470-474.</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【请修改作者】</w:t>
      </w:r>
    </w:p>
    <w:p w14:paraId="5B547262">
      <w:pPr>
        <w:pStyle w:val="39"/>
        <w:numPr>
          <w:ilvl w:val="0"/>
          <w:numId w:val="8"/>
        </w:numPr>
        <w:shd w:val="clea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中国医师协会外科医师分会甲状腺外科医师委员会</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中国研究型医院学会甲状腺疾病专业委员会</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中国医学装备协会外科装备分会甲状腺外科装备委员会</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甲状腺及甲状旁腺术中喉上神经外支保护与监测专家共识</w:t>
      </w:r>
      <w:r>
        <w:rPr>
          <w:rFonts w:ascii="Times New Roman" w:hAnsi="Times New Roman" w:eastAsia="宋体" w:cs="Times New Roman"/>
          <w:color w:val="000000" w:themeColor="text1"/>
          <w:sz w:val="21"/>
          <w:szCs w:val="21"/>
          <w:highlight w:val="none"/>
          <w14:textFill>
            <w14:solidFill>
              <w14:schemeClr w14:val="tx1"/>
            </w14:solidFill>
          </w14:textFill>
        </w:rPr>
        <w:t>(2017</w:t>
      </w:r>
      <w:r>
        <w:rPr>
          <w:rFonts w:hint="eastAsia" w:ascii="Times New Roman" w:hAnsi="Times New Roman" w:eastAsia="宋体" w:cs="Times New Roman"/>
          <w:color w:val="000000" w:themeColor="text1"/>
          <w:sz w:val="21"/>
          <w:szCs w:val="21"/>
          <w:highlight w:val="none"/>
          <w14:textFill>
            <w14:solidFill>
              <w14:schemeClr w14:val="tx1"/>
            </w14:solidFill>
          </w14:textFill>
        </w:rPr>
        <w:t>版</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中国实用外科杂志</w:t>
      </w:r>
      <w:r>
        <w:rPr>
          <w:rFonts w:ascii="Times New Roman" w:hAnsi="Times New Roman" w:eastAsia="宋体" w:cs="Times New Roman"/>
          <w:color w:val="000000" w:themeColor="text1"/>
          <w:sz w:val="21"/>
          <w:szCs w:val="21"/>
          <w:highlight w:val="none"/>
          <w14:textFill>
            <w14:solidFill>
              <w14:schemeClr w14:val="tx1"/>
            </w14:solidFill>
          </w14:textFill>
        </w:rPr>
        <w:t>,2017,37(11): 1243-1249.</w:t>
      </w:r>
      <w:bookmarkStart w:id="23" w:name="OLE_LINK3"/>
      <w:r>
        <w:rPr>
          <w:rFonts w:hint="eastAsia" w:ascii="Times New Roman" w:hAnsi="Times New Roman" w:eastAsia="宋体" w:cs="Times New Roman"/>
          <w:b/>
          <w:bCs/>
          <w:color w:val="000000" w:themeColor="text1"/>
          <w:sz w:val="21"/>
          <w:szCs w:val="21"/>
          <w:highlight w:val="none"/>
          <w14:textFill>
            <w14:solidFill>
              <w14:schemeClr w14:val="tx1"/>
            </w14:solidFill>
          </w14:textFill>
        </w:rPr>
        <w:t>【请修改作者】</w:t>
      </w:r>
      <w:bookmarkEnd w:id="23"/>
    </w:p>
    <w:p w14:paraId="4B6CDE69">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中国医师协会外科医师分会甲状腺外科医师委员会</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中国研究型医院学会甲状腺疾病专业委员会</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中国医疗保健国际交流促进会临床实用技术分会</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机器人甲状腺及甲状旁腺手术中神经电生理监测临床操作专家共识</w:t>
      </w:r>
      <w:r>
        <w:rPr>
          <w:rFonts w:ascii="Times New Roman" w:hAnsi="Times New Roman" w:eastAsia="宋体" w:cs="Times New Roman"/>
          <w:color w:val="000000" w:themeColor="text1"/>
          <w:sz w:val="21"/>
          <w:szCs w:val="21"/>
          <w:highlight w:val="none"/>
          <w14:textFill>
            <w14:solidFill>
              <w14:schemeClr w14:val="tx1"/>
            </w14:solidFill>
          </w14:textFill>
        </w:rPr>
        <w:t>(2019</w:t>
      </w:r>
      <w:r>
        <w:rPr>
          <w:rFonts w:hint="eastAsia" w:ascii="Times New Roman" w:hAnsi="Times New Roman" w:eastAsia="宋体" w:cs="Times New Roman"/>
          <w:color w:val="000000" w:themeColor="text1"/>
          <w:sz w:val="21"/>
          <w:szCs w:val="21"/>
          <w:highlight w:val="none"/>
          <w14:textFill>
            <w14:solidFill>
              <w14:schemeClr w14:val="tx1"/>
            </w14:solidFill>
          </w14:textFill>
        </w:rPr>
        <w:t>版</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中国实用外科杂志</w:t>
      </w:r>
      <w:r>
        <w:rPr>
          <w:rFonts w:ascii="Times New Roman" w:hAnsi="Times New Roman" w:eastAsia="宋体" w:cs="Times New Roman"/>
          <w:color w:val="000000" w:themeColor="text1"/>
          <w:sz w:val="21"/>
          <w:szCs w:val="21"/>
          <w:highlight w:val="none"/>
          <w14:textFill>
            <w14:solidFill>
              <w14:schemeClr w14:val="tx1"/>
            </w14:solidFill>
          </w14:textFill>
        </w:rPr>
        <w:t>,2019,39(12): 1248-1253.</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【请修改作者】</w:t>
      </w:r>
    </w:p>
    <w:p w14:paraId="5491A18C">
      <w:pPr>
        <w:pStyle w:val="39"/>
        <w:numPr>
          <w:ilvl w:val="0"/>
          <w:numId w:val="8"/>
        </w:numPr>
        <w:shd w:val="clea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Piggott T, Morgan RL, Cuello-Garcia CA,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Grading of Recommendations Assessment, Development, and Evaluations (GRADE) notes: extremely serious, GRADE's terminology for rating down by three levels [J]. </w:t>
      </w:r>
      <w:r>
        <w:rPr>
          <w:rFonts w:ascii="Times New Roman" w:hAnsi="Times New Roman" w:eastAsia="宋体" w:cs="Times New Roman"/>
          <w:color w:val="000000" w:themeColor="text1"/>
          <w:sz w:val="21"/>
          <w:szCs w:val="21"/>
          <w:highlight w:val="none"/>
          <w14:textFill>
            <w14:solidFill>
              <w14:schemeClr w14:val="tx1"/>
            </w14:solidFill>
          </w14:textFill>
        </w:rPr>
        <w:t>J Clin Epidemiol</w:t>
      </w:r>
      <w:r>
        <w:rPr>
          <w:rFonts w:ascii="Times New Roman" w:hAnsi="Times New Roman" w:eastAsia="宋体" w:cs="Times New Roman"/>
          <w:color w:val="000000" w:themeColor="text1"/>
          <w:sz w:val="21"/>
          <w:szCs w:val="21"/>
          <w:highlight w:val="none"/>
          <w14:textFill>
            <w14:solidFill>
              <w14:schemeClr w14:val="tx1"/>
            </w14:solidFill>
          </w14:textFill>
        </w:rPr>
        <w:t>, 2020, 120: 116-120.</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【请使用期刊全称】</w:t>
      </w:r>
    </w:p>
    <w:p w14:paraId="12038182">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赵诣深</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赵紫涵</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孙辉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甲状腺术中神经监测技术的沿革、创新与规范</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临床外科杂志</w:t>
      </w:r>
      <w:r>
        <w:rPr>
          <w:rFonts w:ascii="Times New Roman" w:hAnsi="Times New Roman" w:eastAsia="宋体" w:cs="Times New Roman"/>
          <w:color w:val="000000" w:themeColor="text1"/>
          <w:sz w:val="21"/>
          <w:szCs w:val="21"/>
          <w:highlight w:val="none"/>
          <w14:textFill>
            <w14:solidFill>
              <w14:schemeClr w14:val="tx1"/>
            </w14:solidFill>
          </w14:textFill>
        </w:rPr>
        <w:t>,2020,28(3): 217-220.</w:t>
      </w:r>
    </w:p>
    <w:p w14:paraId="7F969E32">
      <w:pPr>
        <w:pStyle w:val="39"/>
        <w:numPr>
          <w:ilvl w:val="0"/>
          <w:numId w:val="8"/>
        </w:numPr>
        <w:shd w:val="clea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刘晓莉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李长霖</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赵诣深</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甲状腺术中不同肌电阈值下喉返神经损伤后功能恢复的比较</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中华外科杂志</w:t>
      </w:r>
      <w:r>
        <w:rPr>
          <w:rFonts w:ascii="Times New Roman" w:hAnsi="Times New Roman" w:eastAsia="宋体" w:cs="Times New Roman"/>
          <w:color w:val="000000" w:themeColor="text1"/>
          <w:sz w:val="21"/>
          <w:szCs w:val="21"/>
          <w:highlight w:val="none"/>
          <w14:textFill>
            <w14:solidFill>
              <w14:schemeClr w14:val="tx1"/>
            </w14:solidFill>
          </w14:textFill>
        </w:rPr>
        <w:t>,2017,55(11): 853-856.</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【请确认标题准确性】</w:t>
      </w:r>
    </w:p>
    <w:p w14:paraId="506C5F48">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赵诣深</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寇杰栋</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梁楠</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拟行双侧甲状腺手术中单侧神经肌电信号丢失后最佳手术方案研究</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中国实用外科杂志</w:t>
      </w:r>
      <w:r>
        <w:rPr>
          <w:rFonts w:ascii="Times New Roman" w:hAnsi="Times New Roman" w:eastAsia="宋体" w:cs="Times New Roman"/>
          <w:color w:val="000000" w:themeColor="text1"/>
          <w:sz w:val="21"/>
          <w:szCs w:val="21"/>
          <w:highlight w:val="none"/>
          <w14:textFill>
            <w14:solidFill>
              <w14:schemeClr w14:val="tx1"/>
            </w14:solidFill>
          </w14:textFill>
        </w:rPr>
        <w:t>,2022,42(6): 695-699.</w:t>
      </w:r>
    </w:p>
    <w:p w14:paraId="2C40460F">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孙辉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刘晓莉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甲状腺术后窒息原因与处理</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中华普外科手术学杂志</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电子版</w:t>
      </w:r>
      <w:r>
        <w:rPr>
          <w:rFonts w:ascii="Times New Roman" w:hAnsi="Times New Roman" w:eastAsia="宋体" w:cs="Times New Roman"/>
          <w:color w:val="000000" w:themeColor="text1"/>
          <w:sz w:val="21"/>
          <w:szCs w:val="21"/>
          <w:highlight w:val="none"/>
          <w14:textFill>
            <w14:solidFill>
              <w14:schemeClr w14:val="tx1"/>
            </w14:solidFill>
          </w14:textFill>
        </w:rPr>
        <w:t>),2013,7(4): 254-257.</w:t>
      </w:r>
    </w:p>
    <w:p w14:paraId="0CC49A30">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孙辉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刘晓莉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付言涛</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术中神经监测技术在复杂甲状腺手术中的应用</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中国实用外科杂志</w:t>
      </w:r>
      <w:r>
        <w:rPr>
          <w:rFonts w:ascii="Times New Roman" w:hAnsi="Times New Roman" w:eastAsia="宋体" w:cs="Times New Roman"/>
          <w:color w:val="000000" w:themeColor="text1"/>
          <w:sz w:val="21"/>
          <w:szCs w:val="21"/>
          <w:highlight w:val="none"/>
          <w14:textFill>
            <w14:solidFill>
              <w14:schemeClr w14:val="tx1"/>
            </w14:solidFill>
          </w14:textFill>
        </w:rPr>
        <w:t>,2010,30(1): 66-68.</w:t>
      </w:r>
    </w:p>
    <w:p w14:paraId="222ACC0B">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刘晓莉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孙辉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郑泽霖</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甲状腺术中喉返神经监测技术的应用与进展</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中国普通外科杂志</w:t>
      </w:r>
      <w:r>
        <w:rPr>
          <w:rFonts w:ascii="Times New Roman" w:hAnsi="Times New Roman" w:eastAsia="宋体" w:cs="Times New Roman"/>
          <w:color w:val="000000" w:themeColor="text1"/>
          <w:sz w:val="21"/>
          <w:szCs w:val="21"/>
          <w:highlight w:val="none"/>
          <w14:textFill>
            <w14:solidFill>
              <w14:schemeClr w14:val="tx1"/>
            </w14:solidFill>
          </w14:textFill>
        </w:rPr>
        <w:t>,2009,18(11): 1187-1190.</w:t>
      </w:r>
    </w:p>
    <w:p w14:paraId="53F84881">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Sun H, Tian W, Jiang K, et al. Clinical guidelines on intraoperative neuromonitoring during thyroid and parathyroid surgery [J]. Annals of translational medicine, 2015, 3(15): 213-221.</w:t>
      </w:r>
    </w:p>
    <w:p w14:paraId="4584A447">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 xml:space="preserve">Gavilán J, Gavilán C. </w:t>
      </w:r>
      <w:r>
        <w:rPr>
          <w:rFonts w:ascii="Times New Roman" w:hAnsi="Times New Roman" w:eastAsia="宋体" w:cs="Times New Roman"/>
          <w:color w:val="000000" w:themeColor="text1"/>
          <w:sz w:val="21"/>
          <w:szCs w:val="21"/>
          <w:highlight w:val="none"/>
          <w14:textFill>
            <w14:solidFill>
              <w14:schemeClr w14:val="tx1"/>
            </w14:solidFill>
          </w14:textFill>
        </w:rPr>
        <w:t>R</w:t>
      </w:r>
      <w:bookmarkStart w:id="24" w:name="OLE_LINK9"/>
      <w:r>
        <w:rPr>
          <w:rFonts w:ascii="Times New Roman" w:hAnsi="Times New Roman" w:eastAsia="宋体" w:cs="Times New Roman"/>
          <w:color w:val="000000" w:themeColor="text1"/>
          <w:sz w:val="21"/>
          <w:szCs w:val="21"/>
          <w:highlight w:val="none"/>
          <w14:textFill>
            <w14:solidFill>
              <w14:schemeClr w14:val="tx1"/>
            </w14:solidFill>
          </w14:textFill>
        </w:rPr>
        <w:t>ecurrent laryngeal nerve. Identification during thyroid and parathyroid surgery</w:t>
      </w:r>
      <w:bookmarkEnd w:id="24"/>
      <w:r>
        <w:rPr>
          <w:rFonts w:ascii="Times New Roman" w:hAnsi="Times New Roman" w:eastAsia="宋体" w:cs="Times New Roman"/>
          <w:color w:val="000000" w:themeColor="text1"/>
          <w:sz w:val="21"/>
          <w:szCs w:val="21"/>
          <w:highlight w:val="none"/>
          <w14:textFill>
            <w14:solidFill>
              <w14:schemeClr w14:val="tx1"/>
            </w14:solidFill>
          </w14:textFill>
        </w:rPr>
        <w:t xml:space="preserve"> [J]. Arch Otolaryngol Head Neck Surg, 1986, 112(12): 1286-1288.</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w:t>
      </w:r>
    </w:p>
    <w:p w14:paraId="71E8102D">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孙辉</w:t>
      </w:r>
      <w:r>
        <w:rPr>
          <w:rFonts w:ascii="Times New Roman" w:hAnsi="Times New Roman" w:eastAsia="宋体" w:cs="Times New Roman"/>
          <w:color w:val="000000" w:themeColor="text1"/>
          <w:sz w:val="21"/>
          <w:szCs w:val="21"/>
          <w:highlight w:val="none"/>
          <w14:textFill>
            <w14:solidFill>
              <w14:schemeClr w14:val="tx1"/>
            </w14:solidFill>
          </w14:textFill>
        </w:rPr>
        <w:t>,Dionigi G.</w:t>
      </w:r>
      <w:bookmarkStart w:id="25" w:name="OLE_LINK4"/>
      <w:r>
        <w:rPr>
          <w:rFonts w:hint="eastAsia" w:ascii="Times New Roman" w:hAnsi="Times New Roman" w:eastAsia="宋体" w:cs="Times New Roman"/>
          <w:color w:val="000000" w:themeColor="text1"/>
          <w:sz w:val="21"/>
          <w:szCs w:val="21"/>
          <w:highlight w:val="none"/>
          <w14:textFill>
            <w14:solidFill>
              <w14:schemeClr w14:val="tx1"/>
            </w14:solidFill>
          </w14:textFill>
        </w:rPr>
        <w:t>甲状腺术中神经监测技术</w:t>
      </w:r>
      <w:bookmarkEnd w:id="25"/>
      <w:r>
        <w:rPr>
          <w:rFonts w:ascii="Times New Roman" w:hAnsi="Times New Roman" w:eastAsia="宋体" w:cs="Times New Roman"/>
          <w:color w:val="000000" w:themeColor="text1"/>
          <w:sz w:val="21"/>
          <w:szCs w:val="21"/>
          <w:highlight w:val="none"/>
          <w14:textFill>
            <w14:solidFill>
              <w14:schemeClr w14:val="tx1"/>
            </w14:solidFill>
          </w14:textFill>
        </w:rPr>
        <w:t>[M].</w:t>
      </w:r>
      <w:r>
        <w:rPr>
          <w:rFonts w:hint="eastAsia" w:ascii="Times New Roman" w:hAnsi="Times New Roman" w:eastAsia="宋体" w:cs="Times New Roman"/>
          <w:color w:val="000000" w:themeColor="text1"/>
          <w:sz w:val="21"/>
          <w:szCs w:val="21"/>
          <w:highlight w:val="none"/>
          <w14:textFill>
            <w14:solidFill>
              <w14:schemeClr w14:val="tx1"/>
            </w14:solidFill>
          </w14:textFill>
        </w:rPr>
        <w:t>吉林：吉林科学技术出版社</w:t>
      </w:r>
      <w:r>
        <w:rPr>
          <w:rFonts w:ascii="Times New Roman" w:hAnsi="Times New Roman" w:eastAsia="宋体" w:cs="Times New Roman"/>
          <w:color w:val="000000" w:themeColor="text1"/>
          <w:sz w:val="21"/>
          <w:szCs w:val="21"/>
          <w:highlight w:val="none"/>
          <w14:textFill>
            <w14:solidFill>
              <w14:schemeClr w14:val="tx1"/>
            </w14:solidFill>
          </w14:textFill>
        </w:rPr>
        <w:t>,2017</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r>
        <w:rPr>
          <w:rFonts w:ascii="Times New Roman" w:hAnsi="Times New Roman" w:eastAsia="宋体" w:cs="Times New Roman"/>
          <w:color w:val="000000" w:themeColor="text1"/>
          <w:sz w:val="21"/>
          <w:szCs w:val="21"/>
          <w:highlight w:val="none"/>
          <w14:textFill>
            <w14:solidFill>
              <w14:schemeClr w14:val="tx1"/>
            </w14:solidFill>
          </w14:textFill>
        </w:rPr>
        <w:t>28-29,61-82, 86-94.</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【请确认标题准确性，建议作者尽量不出现中英混用情况】</w:t>
      </w:r>
    </w:p>
    <w:p w14:paraId="76032D56">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Zhao Y, Zhao Z, Wang T, et al. </w:t>
      </w:r>
      <w:r>
        <w:rPr>
          <w:rFonts w:ascii="Times New Roman" w:hAnsi="Times New Roman" w:eastAsia="宋体" w:cs="Times New Roman"/>
          <w:color w:val="000000" w:themeColor="text1"/>
          <w:sz w:val="21"/>
          <w:szCs w:val="21"/>
          <w:highlight w:val="none"/>
          <w14:textFill>
            <w14:solidFill>
              <w14:schemeClr w14:val="tx1"/>
            </w14:solidFill>
          </w14:textFill>
        </w:rPr>
        <w:t>The area under the waveform of electromyography for monitoring the external branches of the superior laryngeal nerve during thyroid surgery [J]. Gland Surg, 2021, 10(1): 143-153.</w:t>
      </w:r>
    </w:p>
    <w:p w14:paraId="011F1642">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Wu CW, Dionigi G, Sun H, et al. Intraoperative neuromonitoring for the early detection and prevention of RLN traction injury in thyroid surgery: a porcine model [J]. Surgery, 2014, 155(2): 329-339.</w:t>
      </w:r>
    </w:p>
    <w:p w14:paraId="19779A46">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Wu CW, Liu X, Barczyński M, et al. </w:t>
      </w:r>
      <w:r>
        <w:rPr>
          <w:rFonts w:ascii="Times New Roman" w:hAnsi="Times New Roman" w:eastAsia="宋体" w:cs="Times New Roman"/>
          <w:color w:val="000000" w:themeColor="text1"/>
          <w:sz w:val="21"/>
          <w:szCs w:val="21"/>
          <w:highlight w:val="none"/>
          <w14:textFill>
            <w14:solidFill>
              <w14:schemeClr w14:val="tx1"/>
            </w14:solidFill>
          </w14:textFill>
        </w:rPr>
        <w:t>Optimal stimulation during monitored thyroid surgery: EMG response characteristics in a porcine model [J]. Laryngoscope, 2017, 127(4): 998-1005.</w:t>
      </w:r>
    </w:p>
    <w:p w14:paraId="566AC2B5">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赵群仔</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王超仙</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王勇</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腔镜甲状腺手术专用器械临床应用</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中国实用外科杂志</w:t>
      </w:r>
      <w:r>
        <w:rPr>
          <w:rFonts w:ascii="Times New Roman" w:hAnsi="Times New Roman" w:eastAsia="宋体" w:cs="Times New Roman"/>
          <w:color w:val="000000" w:themeColor="text1"/>
          <w:sz w:val="21"/>
          <w:szCs w:val="21"/>
          <w:highlight w:val="none"/>
          <w14:textFill>
            <w14:solidFill>
              <w14:schemeClr w14:val="tx1"/>
            </w14:solidFill>
          </w14:textFill>
        </w:rPr>
        <w:t>,2018,38(6): 690-693.</w:t>
      </w:r>
    </w:p>
    <w:p w14:paraId="7FBC8219">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王丹</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贺青卿</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朱见</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w:t>
      </w:r>
      <w:r>
        <w:rPr>
          <w:rFonts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Da Vinci</w:t>
      </w:r>
      <w:r>
        <w:rPr>
          <w:rFonts w:hint="eastAsia" w:ascii="Times New Roman" w:hAnsi="Times New Roman" w:eastAsia="宋体" w:cs="Times New Roman"/>
          <w:color w:val="000000" w:themeColor="text1"/>
          <w:sz w:val="21"/>
          <w:szCs w:val="21"/>
          <w:highlight w:val="none"/>
          <w14:textFill>
            <w14:solidFill>
              <w14:schemeClr w14:val="tx1"/>
            </w14:solidFill>
          </w14:textFill>
        </w:rPr>
        <w:t>机器人甲状腺手术喉返神经监测仪使用方法的改进</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国际外科学杂志</w:t>
      </w:r>
      <w:r>
        <w:rPr>
          <w:rFonts w:ascii="Times New Roman" w:hAnsi="Times New Roman" w:eastAsia="宋体" w:cs="Times New Roman"/>
          <w:color w:val="000000" w:themeColor="text1"/>
          <w:sz w:val="21"/>
          <w:szCs w:val="21"/>
          <w:highlight w:val="none"/>
          <w14:textFill>
            <w14:solidFill>
              <w14:schemeClr w14:val="tx1"/>
            </w14:solidFill>
          </w14:textFill>
        </w:rPr>
        <w:t>,2018,45(12): 836-838+866.</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w:t>
      </w:r>
      <w:bookmarkStart w:id="26" w:name="OLE_LINK5"/>
      <w:r>
        <w:rPr>
          <w:rFonts w:hint="eastAsia" w:ascii="Times New Roman" w:hAnsi="Times New Roman" w:eastAsia="宋体" w:cs="Times New Roman"/>
          <w:b/>
          <w:bCs/>
          <w:color w:val="000000" w:themeColor="text1"/>
          <w:sz w:val="21"/>
          <w:szCs w:val="21"/>
          <w:highlight w:val="none"/>
          <w14:textFill>
            <w14:solidFill>
              <w14:schemeClr w14:val="tx1"/>
            </w14:solidFill>
          </w14:textFill>
        </w:rPr>
        <w:t>【请确认标题准确性】</w:t>
      </w:r>
      <w:bookmarkEnd w:id="26"/>
    </w:p>
    <w:p w14:paraId="7598F468">
      <w:pPr>
        <w:pStyle w:val="39"/>
        <w:numPr>
          <w:ilvl w:val="0"/>
          <w:numId w:val="8"/>
        </w:numPr>
        <w:shd w:val="clea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Randolph GW, Dralle H, Abdullah H, et al. </w:t>
      </w:r>
      <w:r>
        <w:rPr>
          <w:rFonts w:ascii="Times New Roman" w:hAnsi="Times New Roman" w:eastAsia="宋体" w:cs="Times New Roman"/>
          <w:color w:val="000000" w:themeColor="text1"/>
          <w:sz w:val="21"/>
          <w:szCs w:val="21"/>
          <w:highlight w:val="none"/>
          <w14:textFill>
            <w14:solidFill>
              <w14:schemeClr w14:val="tx1"/>
            </w14:solidFill>
          </w14:textFill>
        </w:rPr>
        <w:t>Electrophysiologic recurrent laryngeal nerve monitoring during thyroid and parathyroid surgery: international standards guideline statement</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Laryngoscope, 2011, 121 Suppl 1: S1-16.</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w:t>
      </w:r>
    </w:p>
    <w:p w14:paraId="41A2DAA8">
      <w:pPr>
        <w:pStyle w:val="39"/>
        <w:numPr>
          <w:ilvl w:val="0"/>
          <w:numId w:val="8"/>
        </w:numPr>
        <w:shd w:val="clea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Zhao Y, Li C, Zhang D, et al. </w:t>
      </w:r>
      <w:r>
        <w:rPr>
          <w:rFonts w:ascii="Times New Roman" w:hAnsi="Times New Roman" w:eastAsia="宋体" w:cs="Times New Roman"/>
          <w:color w:val="000000" w:themeColor="text1"/>
          <w:sz w:val="21"/>
          <w:szCs w:val="21"/>
          <w:highlight w:val="none"/>
          <w14:textFill>
            <w14:solidFill>
              <w14:schemeClr w14:val="tx1"/>
            </w14:solidFill>
          </w14:textFill>
        </w:rPr>
        <w:t>Experimental study of needle recording electrodes placed on the thyroid cartilage for neuromonitoring during thyroid surgery</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Br J Surg, 2019, 106(3): 245-254.</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w:t>
      </w:r>
    </w:p>
    <w:p w14:paraId="369DEEE1">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Zhao Y, Wang P, Dionigi G, et al. </w:t>
      </w:r>
      <w:r>
        <w:rPr>
          <w:rFonts w:ascii="Times New Roman" w:hAnsi="Times New Roman" w:eastAsia="宋体" w:cs="Times New Roman"/>
          <w:color w:val="000000" w:themeColor="text1"/>
          <w:sz w:val="21"/>
          <w:szCs w:val="21"/>
          <w:highlight w:val="none"/>
          <w14:textFill>
            <w14:solidFill>
              <w14:schemeClr w14:val="tx1"/>
            </w14:solidFill>
          </w14:textFill>
        </w:rPr>
        <w:t>Utilization of recurrent laryngeal nerve monitoring during thyroid surgery in China: a point prevalence survey (2015-2023)</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Int J Surg, 2025, 111(1): 439-449.</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w:t>
      </w:r>
    </w:p>
    <w:p w14:paraId="389515A9">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Kou J, Zhao Y, Han Y,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Noticeable effect of lower baseline amplitude on the predictive accuracy of intraoperative amplitude changes for postoperative vocal cord palsy: a prospective cohort study [J]. </w:t>
      </w:r>
      <w:r>
        <w:rPr>
          <w:rFonts w:ascii="Times New Roman" w:hAnsi="Times New Roman" w:eastAsia="宋体" w:cs="Times New Roman"/>
          <w:color w:val="000000" w:themeColor="text1"/>
          <w:sz w:val="21"/>
          <w:szCs w:val="21"/>
          <w:highlight w:val="none"/>
          <w14:textFill>
            <w14:solidFill>
              <w14:schemeClr w14:val="tx1"/>
            </w14:solidFill>
          </w14:textFill>
        </w:rPr>
        <w:t>Int J Surg</w:t>
      </w:r>
      <w:r>
        <w:rPr>
          <w:rFonts w:ascii="Times New Roman" w:hAnsi="Times New Roman" w:eastAsia="宋体" w:cs="Times New Roman"/>
          <w:color w:val="000000" w:themeColor="text1"/>
          <w:sz w:val="21"/>
          <w:szCs w:val="21"/>
          <w:highlight w:val="none"/>
          <w14:textFill>
            <w14:solidFill>
              <w14:schemeClr w14:val="tx1"/>
            </w14:solidFill>
          </w14:textFill>
        </w:rPr>
        <w:t xml:space="preserve">, 2024, 110(5): 2765-2775. </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【请使用期刊全称】</w:t>
      </w:r>
    </w:p>
    <w:p w14:paraId="18A6DF8D">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Han Y, Zhao Y, Kou J,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The risk factors for postoperative temporary vocal cord paralysis after thyroid cancer surgery: an observational retrospective cohort study[J]. </w:t>
      </w:r>
      <w:r>
        <w:rPr>
          <w:rFonts w:ascii="Times New Roman" w:hAnsi="Times New Roman" w:eastAsia="宋体" w:cs="Times New Roman"/>
          <w:color w:val="000000" w:themeColor="text1"/>
          <w:sz w:val="21"/>
          <w:szCs w:val="21"/>
          <w:highlight w:val="none"/>
          <w14:textFill>
            <w14:solidFill>
              <w14:schemeClr w14:val="tx1"/>
            </w14:solidFill>
          </w14:textFill>
        </w:rPr>
        <w:t>Int J Surg</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r>
        <w:rPr>
          <w:rFonts w:ascii="Times New Roman" w:hAnsi="Times New Roman" w:eastAsia="宋体" w:cs="Times New Roman"/>
          <w:color w:val="000000" w:themeColor="text1"/>
          <w:sz w:val="21"/>
          <w:szCs w:val="21"/>
          <w:highlight w:val="none"/>
          <w14:textFill>
            <w14:solidFill>
              <w14:schemeClr w14:val="tx1"/>
            </w14:solidFill>
          </w14:textFill>
        </w:rPr>
        <w:t xml:space="preserve"> 2024, 110(8): 4821-4829. </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【请使用期刊全称】</w:t>
      </w:r>
    </w:p>
    <w:p w14:paraId="0B24AFD3">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Zhang Y, Zhao Y, Tang H,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Patient satisfaction and operator proficiency in gasless transaxillary endoscopic thyroidectomy under IONM: a retrospective cohort study[J]. </w:t>
      </w:r>
      <w:r>
        <w:rPr>
          <w:rFonts w:ascii="Times New Roman" w:hAnsi="Times New Roman" w:eastAsia="宋体" w:cs="Times New Roman"/>
          <w:color w:val="000000" w:themeColor="text1"/>
          <w:sz w:val="21"/>
          <w:szCs w:val="21"/>
          <w:highlight w:val="none"/>
          <w14:textFill>
            <w14:solidFill>
              <w14:schemeClr w14:val="tx1"/>
            </w14:solidFill>
          </w14:textFill>
        </w:rPr>
        <w:t>Front Endocrinol (Lausanne)</w:t>
      </w:r>
      <w:r>
        <w:rPr>
          <w:rFonts w:hint="eastAsia"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2024,</w:t>
      </w:r>
      <w:r>
        <w:rPr>
          <w:rFonts w:hint="eastAsia"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15: 1457571.</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【请使用期刊全称】</w:t>
      </w:r>
    </w:p>
    <w:p w14:paraId="3B6633E7">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Mu Y, Bian X, Yang J,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Recurrent laryngeal never monitoring versus non-monitoring in parathyroid surgery. </w:t>
      </w:r>
      <w:r>
        <w:rPr>
          <w:rFonts w:ascii="Times New Roman" w:hAnsi="Times New Roman" w:eastAsia="宋体" w:cs="Times New Roman"/>
          <w:color w:val="000000" w:themeColor="text1"/>
          <w:sz w:val="21"/>
          <w:szCs w:val="21"/>
          <w:highlight w:val="none"/>
          <w14:textFill>
            <w14:solidFill>
              <w14:schemeClr w14:val="tx1"/>
            </w14:solidFill>
          </w14:textFill>
        </w:rPr>
        <w:t>Front Endocrinol (Lausanne)</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2023, 14:1299943. </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【请使用期刊全称，修改格式】</w:t>
      </w:r>
    </w:p>
    <w:p w14:paraId="6C27F47F">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Liu XL, Wu CW, Zhao YS,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Exclusive real-time monitoring during recurrent laryngeal nerve dissection in conventional monitored thyroidectomy. </w:t>
      </w:r>
      <w:r>
        <w:rPr>
          <w:rFonts w:ascii="Times New Roman" w:hAnsi="Times New Roman" w:eastAsia="宋体" w:cs="Times New Roman"/>
          <w:color w:val="000000" w:themeColor="text1"/>
          <w:sz w:val="21"/>
          <w:szCs w:val="21"/>
          <w:highlight w:val="none"/>
          <w14:textFill>
            <w14:solidFill>
              <w14:schemeClr w14:val="tx1"/>
            </w14:solidFill>
          </w14:textFill>
        </w:rPr>
        <w:t>Kaohsiung J Med Sci</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2016, 32(3): 135-141. </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【请使用期刊全称，修改格式】</w:t>
      </w:r>
    </w:p>
    <w:p w14:paraId="6FEAF4EC">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Zhao Y, Fu J, Liu Y, et al. </w:t>
      </w:r>
      <w:r>
        <w:rPr>
          <w:rFonts w:ascii="Times New Roman" w:hAnsi="Times New Roman" w:eastAsia="宋体" w:cs="Times New Roman"/>
          <w:color w:val="000000" w:themeColor="text1"/>
          <w:sz w:val="21"/>
          <w:szCs w:val="21"/>
          <w:highlight w:val="none"/>
          <w14:textFill>
            <w14:solidFill>
              <w14:schemeClr w14:val="tx1"/>
            </w14:solidFill>
          </w14:textFill>
        </w:rPr>
        <w:t>Prediction of central lymph node metastasis in patients with papillary thyroid microcarcinoma by gradient-boosting decision tree model based on ultrasound radiomics and clinical features. Gland Surg</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2023, 12(12): 1722-1734.</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w:t>
      </w:r>
    </w:p>
    <w:p w14:paraId="2E0891AF">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Sun H, Tian W; Chinese Thyroid Association, College of Surgeons, Chinese Medical Doctor Association; Chinese Research Hospital Association Thyroid Disease Committee. Chinese guidelines on intraoperative neuromonitoring in thyroid and parathyroid surgery (2023 edition). Gland Surg [J]. 2023, 12(8): 1031-1049.</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修改格式】</w:t>
      </w:r>
    </w:p>
    <w:p w14:paraId="7A66A5A8">
      <w:pPr>
        <w:pStyle w:val="39"/>
        <w:numPr>
          <w:ilvl w:val="0"/>
          <w:numId w:val="8"/>
        </w:numPr>
        <w:shd w:val="clea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Zhao Y, Li C, Zhang D,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Continuous Neural Monitoring in Endoscopic Thyroidectomy: Feasibility Experimental Study for Transcutaneous Vagal Nerve Stimulation. J Laparoendosc Adv Surg Tech A [J]. 2020, 30(10): 1095-1101. </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修改格式】</w:t>
      </w:r>
    </w:p>
    <w:p w14:paraId="4F064AA0">
      <w:pPr>
        <w:pStyle w:val="39"/>
        <w:numPr>
          <w:ilvl w:val="0"/>
          <w:numId w:val="8"/>
        </w:numPr>
        <w:shd w:val="clea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Zhang Y, Zhao Y, Tang H, et al. </w:t>
      </w:r>
      <w:r>
        <w:rPr>
          <w:rFonts w:ascii="Times New Roman" w:hAnsi="Times New Roman" w:eastAsia="宋体" w:cs="Times New Roman"/>
          <w:color w:val="000000" w:themeColor="text1"/>
          <w:sz w:val="21"/>
          <w:szCs w:val="21"/>
          <w:highlight w:val="none"/>
          <w14:textFill>
            <w14:solidFill>
              <w14:schemeClr w14:val="tx1"/>
            </w14:solidFill>
          </w14:textFill>
        </w:rPr>
        <w:t>The predictive role of intraoperative parathyroid hormone measurement on postoperative parathyroid function in patients undergoing total thyroidectomy. Sci Rep [J]. 2024, 14(1): 29310.</w:t>
      </w:r>
      <w:r>
        <w:rPr>
          <w:rFonts w:hint="eastAsia"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修改格式】</w:t>
      </w:r>
    </w:p>
    <w:p w14:paraId="4B7825D6">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Li Y, Zhang C, Zhang Y,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Paradigms of intraoperative neuromonitoring in paediatric thyroid surgery. Front Endocrinol (Lausanne) [J]. 2025, 15: 1455217. </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修改格式】</w:t>
      </w:r>
    </w:p>
    <w:p w14:paraId="3C7CC50A">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孙辉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田文</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中国甲状腺及甲状旁腺手术中神经监测指南（</w:t>
      </w:r>
      <w:r>
        <w:rPr>
          <w:rFonts w:ascii="Times New Roman" w:hAnsi="Times New Roman" w:eastAsia="宋体" w:cs="Times New Roman"/>
          <w:color w:val="000000" w:themeColor="text1"/>
          <w:sz w:val="21"/>
          <w:szCs w:val="21"/>
          <w:highlight w:val="none"/>
          <w14:textFill>
            <w14:solidFill>
              <w14:schemeClr w14:val="tx1"/>
            </w14:solidFill>
          </w14:textFill>
        </w:rPr>
        <w:t>2023</w:t>
      </w:r>
      <w:r>
        <w:rPr>
          <w:rFonts w:hint="eastAsia" w:ascii="Times New Roman" w:hAnsi="Times New Roman" w:eastAsia="宋体" w:cs="Times New Roman"/>
          <w:color w:val="000000" w:themeColor="text1"/>
          <w:sz w:val="21"/>
          <w:szCs w:val="21"/>
          <w:highlight w:val="none"/>
          <w14:textFill>
            <w14:solidFill>
              <w14:schemeClr w14:val="tx1"/>
            </w14:solidFill>
          </w14:textFill>
        </w:rPr>
        <w:t>版）</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中国实用外科杂志</w:t>
      </w:r>
      <w:r>
        <w:rPr>
          <w:rFonts w:ascii="Times New Roman" w:hAnsi="Times New Roman" w:eastAsia="宋体" w:cs="Times New Roman"/>
          <w:color w:val="000000" w:themeColor="text1"/>
          <w:sz w:val="21"/>
          <w:szCs w:val="21"/>
          <w:highlight w:val="none"/>
          <w14:textFill>
            <w14:solidFill>
              <w14:schemeClr w14:val="tx1"/>
            </w14:solidFill>
          </w14:textFill>
        </w:rPr>
        <w:t>,2023,43(01): 23-33.</w:t>
      </w:r>
    </w:p>
    <w:p w14:paraId="62574876">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赵紫涵</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赵诣深</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孙辉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我国甲状腺术中喉返神经损伤与保护现状</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中国实用外科杂志</w:t>
      </w:r>
      <w:r>
        <w:rPr>
          <w:rFonts w:ascii="Times New Roman" w:hAnsi="Times New Roman" w:eastAsia="宋体" w:cs="Times New Roman"/>
          <w:color w:val="000000" w:themeColor="text1"/>
          <w:sz w:val="21"/>
          <w:szCs w:val="21"/>
          <w:highlight w:val="none"/>
          <w14:textFill>
            <w14:solidFill>
              <w14:schemeClr w14:val="tx1"/>
            </w14:solidFill>
          </w14:textFill>
        </w:rPr>
        <w:t>,2019,39(03): 271-274.</w:t>
      </w:r>
    </w:p>
    <w:p w14:paraId="1685BAD1">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韩宇家</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赵诣深</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梁楠</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基于</w:t>
      </w:r>
      <w:r>
        <w:rPr>
          <w:rFonts w:ascii="Times New Roman" w:hAnsi="Times New Roman" w:eastAsia="宋体" w:cs="Times New Roman"/>
          <w:color w:val="000000" w:themeColor="text1"/>
          <w:sz w:val="21"/>
          <w:szCs w:val="21"/>
          <w:highlight w:val="none"/>
          <w14:textFill>
            <w14:solidFill>
              <w14:schemeClr w14:val="tx1"/>
            </w14:solidFill>
          </w14:textFill>
        </w:rPr>
        <w:t>Cite Space</w:t>
      </w:r>
      <w:r>
        <w:rPr>
          <w:rFonts w:hint="eastAsia" w:ascii="Times New Roman" w:hAnsi="Times New Roman" w:eastAsia="宋体" w:cs="Times New Roman"/>
          <w:color w:val="000000" w:themeColor="text1"/>
          <w:sz w:val="21"/>
          <w:szCs w:val="21"/>
          <w:highlight w:val="none"/>
          <w14:textFill>
            <w14:solidFill>
              <w14:schemeClr w14:val="tx1"/>
            </w14:solidFill>
          </w14:textFill>
        </w:rPr>
        <w:t>可视化分析甲状腺术中神经监测技术的研究现状和发展趋势</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中国实验诊断学</w:t>
      </w:r>
      <w:r>
        <w:rPr>
          <w:rFonts w:ascii="Times New Roman" w:hAnsi="Times New Roman" w:eastAsia="宋体" w:cs="Times New Roman"/>
          <w:color w:val="000000" w:themeColor="text1"/>
          <w:sz w:val="21"/>
          <w:szCs w:val="21"/>
          <w:highlight w:val="none"/>
          <w14:textFill>
            <w14:solidFill>
              <w14:schemeClr w14:val="tx1"/>
            </w14:solidFill>
          </w14:textFill>
        </w:rPr>
        <w:t>,2022,26(02): 241-245.</w:t>
      </w:r>
    </w:p>
    <w:p w14:paraId="628AFEC0">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赵诣深</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王培瑶</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王铁</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甲状腺术中神经监测技术的应用现状</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中华外科杂志</w:t>
      </w:r>
      <w:r>
        <w:rPr>
          <w:rFonts w:ascii="Times New Roman" w:hAnsi="Times New Roman" w:eastAsia="宋体" w:cs="Times New Roman"/>
          <w:color w:val="000000" w:themeColor="text1"/>
          <w:sz w:val="21"/>
          <w:szCs w:val="21"/>
          <w:highlight w:val="none"/>
          <w14:textFill>
            <w14:solidFill>
              <w14:schemeClr w14:val="tx1"/>
            </w14:solidFill>
          </w14:textFill>
        </w:rPr>
        <w:t>,2025,63(6): 495-499.</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w:t>
      </w:r>
    </w:p>
    <w:p w14:paraId="2BC225F5">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Zhao Y, Zhang D, Zhou L,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Proprieties of adhesive surface arrays to thyroid cartilage for recurrent laryngeal nerve monitoring [J]. </w:t>
      </w:r>
      <w:r>
        <w:rPr>
          <w:rFonts w:ascii="Times New Roman" w:hAnsi="Times New Roman" w:eastAsia="宋体" w:cs="Times New Roman"/>
          <w:color w:val="000000" w:themeColor="text1"/>
          <w:sz w:val="21"/>
          <w:szCs w:val="21"/>
          <w:highlight w:val="none"/>
          <w14:textFill>
            <w14:solidFill>
              <w14:schemeClr w14:val="tx1"/>
            </w14:solidFill>
          </w14:textFill>
        </w:rPr>
        <w:t>Ann Transl Med</w:t>
      </w:r>
      <w:r>
        <w:rPr>
          <w:rFonts w:ascii="Times New Roman" w:hAnsi="Times New Roman" w:eastAsia="宋体" w:cs="Times New Roman"/>
          <w:color w:val="000000" w:themeColor="text1"/>
          <w:sz w:val="21"/>
          <w:szCs w:val="21"/>
          <w:highlight w:val="none"/>
          <w14:textFill>
            <w14:solidFill>
              <w14:schemeClr w14:val="tx1"/>
            </w14:solidFill>
          </w14:textFill>
        </w:rPr>
        <w:t>, 2021, 9(8): 690-702.</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【请使用期刊全称，修改格式】</w:t>
      </w:r>
    </w:p>
    <w:p w14:paraId="5C0F4291">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赵诣深</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李世杰</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赵紫涵</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甲状软骨单针记录电极在甲状腺术中神经监测中的应用</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中华实验外科杂志</w:t>
      </w:r>
      <w:r>
        <w:rPr>
          <w:rFonts w:ascii="Times New Roman" w:hAnsi="Times New Roman" w:eastAsia="宋体" w:cs="Times New Roman"/>
          <w:color w:val="000000" w:themeColor="text1"/>
          <w:sz w:val="21"/>
          <w:szCs w:val="21"/>
          <w:highlight w:val="none"/>
          <w14:textFill>
            <w14:solidFill>
              <w14:schemeClr w14:val="tx1"/>
            </w14:solidFill>
          </w14:textFill>
        </w:rPr>
        <w:t>,2020,37(12): 2302-2305.</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w:t>
      </w:r>
    </w:p>
    <w:p w14:paraId="576213D6">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陈鹏</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梁枫</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李龙云</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不同浓度梯度罗库溴铵麻醉诱导对甲状腺手术病人术中喉返神经监测的影响</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中国实验诊断学</w:t>
      </w:r>
      <w:r>
        <w:rPr>
          <w:rFonts w:ascii="Times New Roman" w:hAnsi="Times New Roman" w:eastAsia="宋体" w:cs="Times New Roman"/>
          <w:color w:val="000000" w:themeColor="text1"/>
          <w:sz w:val="21"/>
          <w:szCs w:val="21"/>
          <w:highlight w:val="none"/>
          <w14:textFill>
            <w14:solidFill>
              <w14:schemeClr w14:val="tx1"/>
            </w14:solidFill>
          </w14:textFill>
        </w:rPr>
        <w:t>,2014,18(9): 1460-1462.</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w:t>
      </w:r>
    </w:p>
    <w:p w14:paraId="48F1EA13">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刘溪</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孙志荣</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杨舒雯</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舒更葡糖钠在甲状腺癌根治术神经监测中的应用</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中国癌症杂志</w:t>
      </w:r>
      <w:r>
        <w:rPr>
          <w:rFonts w:ascii="Times New Roman" w:hAnsi="Times New Roman" w:eastAsia="宋体" w:cs="Times New Roman"/>
          <w:color w:val="000000" w:themeColor="text1"/>
          <w:sz w:val="21"/>
          <w:szCs w:val="21"/>
          <w:highlight w:val="none"/>
          <w14:textFill>
            <w14:solidFill>
              <w14:schemeClr w14:val="tx1"/>
            </w14:solidFill>
          </w14:textFill>
        </w:rPr>
        <w:t>,2019,29(3): 212-217.</w:t>
      </w:r>
    </w:p>
    <w:p w14:paraId="7309C61F">
      <w:pPr>
        <w:pStyle w:val="39"/>
        <w:numPr>
          <w:ilvl w:val="0"/>
          <w:numId w:val="8"/>
        </w:numPr>
        <w:shd w:val="clea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Nakanishi T, Yoshimura M, Sakamoto S, et al. </w:t>
      </w:r>
      <w:r>
        <w:rPr>
          <w:rFonts w:ascii="Times New Roman" w:hAnsi="Times New Roman" w:eastAsia="宋体" w:cs="Times New Roman"/>
          <w:color w:val="000000" w:themeColor="text1"/>
          <w:sz w:val="21"/>
          <w:szCs w:val="21"/>
          <w:highlight w:val="none"/>
          <w14:textFill>
            <w14:solidFill>
              <w14:schemeClr w14:val="tx1"/>
            </w14:solidFill>
          </w14:textFill>
        </w:rPr>
        <w:t>Postoperative laryngeal morbidity and intubating conditions using the McGRATH™ MAC videolaryngoscope with or without neuromuscular blockade: a randomised, double-blind, non-inferiority trial</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Anaesthesia, 2018, 73(8): 990-996.</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w:t>
      </w:r>
    </w:p>
    <w:p w14:paraId="5EDC2B6A">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Chandrasekhar SS, Randolph GW, Seidman MD,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Clinical practice guideline: improving voice outcomes after thyroid surgery [J]. </w:t>
      </w:r>
      <w:r>
        <w:rPr>
          <w:rFonts w:ascii="Times New Roman" w:hAnsi="Times New Roman" w:eastAsia="宋体" w:cs="Times New Roman"/>
          <w:color w:val="000000" w:themeColor="text1"/>
          <w:sz w:val="21"/>
          <w:szCs w:val="21"/>
          <w:highlight w:val="none"/>
          <w14:textFill>
            <w14:solidFill>
              <w14:schemeClr w14:val="tx1"/>
            </w14:solidFill>
          </w14:textFill>
        </w:rPr>
        <w:t>Otolaryngol Head Neck Surg</w:t>
      </w:r>
      <w:r>
        <w:rPr>
          <w:rFonts w:ascii="Times New Roman" w:hAnsi="Times New Roman" w:eastAsia="宋体" w:cs="Times New Roman"/>
          <w:color w:val="000000" w:themeColor="text1"/>
          <w:sz w:val="21"/>
          <w:szCs w:val="21"/>
          <w:highlight w:val="none"/>
          <w14:textFill>
            <w14:solidFill>
              <w14:schemeClr w14:val="tx1"/>
            </w14:solidFill>
          </w14:textFill>
        </w:rPr>
        <w:t>, 2013, 148(6 Suppl): S1-37.</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【请使用期刊全称】</w:t>
      </w:r>
    </w:p>
    <w:p w14:paraId="70F34D72">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Randolph GW, Kamani D, Wu CW, et al. </w:t>
      </w:r>
      <w:r>
        <w:rPr>
          <w:rFonts w:ascii="Times New Roman" w:hAnsi="Times New Roman" w:eastAsia="宋体" w:cs="Times New Roman"/>
          <w:color w:val="000000" w:themeColor="text1"/>
          <w:sz w:val="21"/>
          <w:szCs w:val="21"/>
          <w:highlight w:val="none"/>
          <w14:textFill>
            <w14:solidFill>
              <w14:schemeClr w14:val="tx1"/>
            </w14:solidFill>
          </w14:textFill>
        </w:rPr>
        <w:t>Surgical Anatomy and Monitoring of the Recurrent Laryngeal Nerve. Surgery of the Thyroid and Parathyroid Glands (Third Edition)</w:t>
      </w:r>
      <w:r>
        <w:rPr>
          <w:rFonts w:ascii="Times New Roman" w:hAnsi="Times New Roman" w:eastAsia="宋体" w:cs="Times New Roman"/>
          <w:color w:val="000000" w:themeColor="text1"/>
          <w:sz w:val="21"/>
          <w:szCs w:val="21"/>
          <w:highlight w:val="none"/>
          <w14:textFill>
            <w14:solidFill>
              <w14:schemeClr w14:val="tx1"/>
            </w14:solidFill>
          </w14:textFill>
        </w:rPr>
        <w:t xml:space="preserve"> [M].</w:t>
      </w:r>
      <w:r>
        <w:rPr>
          <w:rFonts w:ascii="Times New Roman" w:hAnsi="Times New Roman" w:cs="Times New Roman"/>
          <w:color w:val="000000" w:themeColor="text1"/>
          <w:sz w:val="2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Elsevier, 2021:</w:t>
      </w:r>
      <w:r>
        <w:rPr>
          <w:rFonts w:ascii="Times New Roman" w:hAnsi="Times New Roman" w:cs="Times New Roman"/>
          <w:color w:val="000000" w:themeColor="text1"/>
          <w:sz w:val="2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326-359.e10.</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w:t>
      </w:r>
    </w:p>
    <w:p w14:paraId="4032EFA1">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 xml:space="preserve">Dionigi G, Chiang FY, Rausei S, et al. </w:t>
      </w:r>
      <w:r>
        <w:rPr>
          <w:rFonts w:ascii="Times New Roman" w:hAnsi="Times New Roman" w:eastAsia="宋体" w:cs="Times New Roman"/>
          <w:color w:val="000000" w:themeColor="text1"/>
          <w:sz w:val="21"/>
          <w:szCs w:val="21"/>
          <w:highlight w:val="none"/>
          <w14:textFill>
            <w14:solidFill>
              <w14:schemeClr w14:val="tx1"/>
            </w14:solidFill>
          </w14:textFill>
        </w:rPr>
        <w:t>Surgical anatomy and neurophysiology of the vagus nerve (VN) for standardised intraoperative neuromonitoring (IONM) of the inferior laryngeal nerve (ILN) during thyroidectomy</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w:t>
      </w:r>
      <w:r>
        <w:rPr>
          <w:rFonts w:ascii="Times New Roman" w:hAnsi="Times New Roman" w:eastAsia="宋体" w:cs="Times New Roman"/>
          <w:color w:val="000000" w:themeColor="text1"/>
          <w:sz w:val="21"/>
          <w:szCs w:val="21"/>
          <w:highlight w:val="none"/>
          <w14:textFill>
            <w14:solidFill>
              <w14:schemeClr w14:val="tx1"/>
            </w14:solidFill>
          </w14:textFill>
        </w:rPr>
        <w:t>Langenbecks Arch Surg</w:t>
      </w:r>
      <w:r>
        <w:rPr>
          <w:rFonts w:ascii="Times New Roman" w:hAnsi="Times New Roman" w:eastAsia="宋体" w:cs="Times New Roman"/>
          <w:color w:val="000000" w:themeColor="text1"/>
          <w:sz w:val="21"/>
          <w:szCs w:val="21"/>
          <w:highlight w:val="none"/>
          <w14:textFill>
            <w14:solidFill>
              <w14:schemeClr w14:val="tx1"/>
            </w14:solidFill>
          </w14:textFill>
        </w:rPr>
        <w:t>, 2010, 395(7): 893-899.</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【请确认标题准确性，使用期刊全称】</w:t>
      </w:r>
    </w:p>
    <w:p w14:paraId="2FAE69FF">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 xml:space="preserve">Yin C, Song B, Wang X. Anatomical Variations in Recurrent Laryngeal Nerves in Thyroid Surgery [J]. </w:t>
      </w:r>
      <w:r>
        <w:rPr>
          <w:rFonts w:ascii="Times New Roman" w:hAnsi="Times New Roman" w:eastAsia="宋体" w:cs="Times New Roman"/>
          <w:color w:val="000000" w:themeColor="text1"/>
          <w:sz w:val="21"/>
          <w:szCs w:val="21"/>
          <w:highlight w:val="none"/>
          <w14:textFill>
            <w14:solidFill>
              <w14:schemeClr w14:val="tx1"/>
            </w14:solidFill>
          </w14:textFill>
        </w:rPr>
        <w:t>Ear Nose Throat J</w:t>
      </w:r>
      <w:r>
        <w:rPr>
          <w:rFonts w:ascii="Times New Roman" w:hAnsi="Times New Roman" w:eastAsia="宋体" w:cs="Times New Roman"/>
          <w:color w:val="000000" w:themeColor="text1"/>
          <w:sz w:val="21"/>
          <w:szCs w:val="21"/>
          <w:highlight w:val="none"/>
          <w14:textFill>
            <w14:solidFill>
              <w14:schemeClr w14:val="tx1"/>
            </w14:solidFill>
          </w14:textFill>
        </w:rPr>
        <w:t>, 2021, 100(10_suppl): 930s-936s.</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【请使用期刊全称】</w:t>
      </w:r>
    </w:p>
    <w:p w14:paraId="48CCF978">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Wang K, Cai H, Kong D,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The Identification, Preservation and Classification of the External Branch of the Superior Laryngeal Nerve in Thyroidectomy [J]. </w:t>
      </w:r>
      <w:r>
        <w:rPr>
          <w:rFonts w:ascii="Times New Roman" w:hAnsi="Times New Roman" w:eastAsia="宋体" w:cs="Times New Roman"/>
          <w:color w:val="000000" w:themeColor="text1"/>
          <w:sz w:val="21"/>
          <w:szCs w:val="21"/>
          <w:highlight w:val="none"/>
          <w14:textFill>
            <w14:solidFill>
              <w14:schemeClr w14:val="tx1"/>
            </w14:solidFill>
          </w14:textFill>
        </w:rPr>
        <w:t>World J Surg</w:t>
      </w:r>
      <w:r>
        <w:rPr>
          <w:rFonts w:ascii="Times New Roman" w:hAnsi="Times New Roman" w:eastAsia="宋体" w:cs="Times New Roman"/>
          <w:color w:val="000000" w:themeColor="text1"/>
          <w:sz w:val="21"/>
          <w:szCs w:val="21"/>
          <w:highlight w:val="none"/>
          <w14:textFill>
            <w14:solidFill>
              <w14:schemeClr w14:val="tx1"/>
            </w14:solidFill>
          </w14:textFill>
        </w:rPr>
        <w:t>, 2017, 41(10): 2521-2529.</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【请使用期刊全称】</w:t>
      </w:r>
    </w:p>
    <w:p w14:paraId="12B02FCA">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Zhao Y, Zhao Z, Zhang D,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Improving classification of the external branch of the superior laryngeal nerve with neural monitoring: a research appraisal and narrative review [J]. </w:t>
      </w:r>
      <w:r>
        <w:rPr>
          <w:rFonts w:ascii="Times New Roman" w:hAnsi="Times New Roman" w:eastAsia="宋体" w:cs="Times New Roman"/>
          <w:color w:val="000000" w:themeColor="text1"/>
          <w:sz w:val="21"/>
          <w:szCs w:val="21"/>
          <w:highlight w:val="none"/>
          <w14:textFill>
            <w14:solidFill>
              <w14:schemeClr w14:val="tx1"/>
            </w14:solidFill>
          </w14:textFill>
        </w:rPr>
        <w:t>Gland Surg</w:t>
      </w:r>
      <w:r>
        <w:rPr>
          <w:rFonts w:ascii="Times New Roman" w:hAnsi="Times New Roman" w:eastAsia="宋体" w:cs="Times New Roman"/>
          <w:color w:val="000000" w:themeColor="text1"/>
          <w:sz w:val="21"/>
          <w:szCs w:val="21"/>
          <w:highlight w:val="none"/>
          <w14:textFill>
            <w14:solidFill>
              <w14:schemeClr w14:val="tx1"/>
            </w14:solidFill>
          </w14:textFill>
        </w:rPr>
        <w:t>, 2021, 10(9): 2847-2860.</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【请使用期刊全称】</w:t>
      </w:r>
    </w:p>
    <w:p w14:paraId="5C838927">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Zhao Y, Li C, Liu X,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Investigation on EMG Profiles of the Superior Laryngeal Nerve in a In Vivo Porcine Model [J]. </w:t>
      </w:r>
      <w:r>
        <w:rPr>
          <w:rFonts w:ascii="Times New Roman" w:hAnsi="Times New Roman" w:eastAsia="宋体" w:cs="Times New Roman"/>
          <w:color w:val="000000" w:themeColor="text1"/>
          <w:sz w:val="21"/>
          <w:szCs w:val="21"/>
          <w:highlight w:val="none"/>
          <w14:textFill>
            <w14:solidFill>
              <w14:schemeClr w14:val="tx1"/>
            </w14:solidFill>
          </w14:textFill>
        </w:rPr>
        <w:t>J Invest Surg</w:t>
      </w:r>
      <w:r>
        <w:rPr>
          <w:rFonts w:ascii="Times New Roman" w:hAnsi="Times New Roman" w:eastAsia="宋体" w:cs="Times New Roman"/>
          <w:color w:val="000000" w:themeColor="text1"/>
          <w:sz w:val="21"/>
          <w:szCs w:val="21"/>
          <w:highlight w:val="none"/>
          <w14:textFill>
            <w14:solidFill>
              <w14:schemeClr w14:val="tx1"/>
            </w14:solidFill>
          </w14:textFill>
        </w:rPr>
        <w:t>, 2020, 33(7): 596-604.</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【请使用期刊全称】</w:t>
      </w:r>
    </w:p>
    <w:p w14:paraId="33CB7C0D">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Yuan Q, Wu G, Hou J, et al. </w:t>
      </w:r>
      <w:r>
        <w:rPr>
          <w:rFonts w:ascii="Times New Roman" w:hAnsi="Times New Roman" w:eastAsia="宋体" w:cs="Times New Roman"/>
          <w:color w:val="000000" w:themeColor="text1"/>
          <w:sz w:val="21"/>
          <w:szCs w:val="21"/>
          <w:highlight w:val="none"/>
          <w14:textFill>
            <w14:solidFill>
              <w14:schemeClr w14:val="tx1"/>
            </w14:solidFill>
          </w14:textFill>
        </w:rPr>
        <w:t>Correlation Between Electrophysiological Changes and Outcomes of Vocal Cord Function in 1764 Recurrent Laryngeal Nerves with Visual Integrity During Thyroidectomy</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Thyroid, 2020, 30(5): 739-745.</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w:t>
      </w:r>
    </w:p>
    <w:p w14:paraId="2CE4B35C">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赵诣深</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刘晓莉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王铁</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甲状腺手术中喉返神经功能与术后声带运动的相关性研究</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中国普外基础与临床杂志</w:t>
      </w:r>
      <w:r>
        <w:rPr>
          <w:rFonts w:ascii="Times New Roman" w:hAnsi="Times New Roman" w:eastAsia="宋体" w:cs="Times New Roman"/>
          <w:color w:val="000000" w:themeColor="text1"/>
          <w:sz w:val="21"/>
          <w:szCs w:val="21"/>
          <w:highlight w:val="none"/>
          <w14:textFill>
            <w14:solidFill>
              <w14:schemeClr w14:val="tx1"/>
            </w14:solidFill>
          </w14:textFill>
        </w:rPr>
        <w:t>,2015,22(7): 784-787.</w:t>
      </w:r>
    </w:p>
    <w:p w14:paraId="01F95450">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Lu KN, Ding JW, Zhang Y, et al. </w:t>
      </w:r>
      <w:r>
        <w:rPr>
          <w:rFonts w:ascii="Times New Roman" w:hAnsi="Times New Roman" w:eastAsia="宋体" w:cs="Times New Roman"/>
          <w:color w:val="000000" w:themeColor="text1"/>
          <w:sz w:val="21"/>
          <w:szCs w:val="21"/>
          <w:highlight w:val="none"/>
          <w14:textFill>
            <w14:solidFill>
              <w14:schemeClr w14:val="tx1"/>
            </w14:solidFill>
          </w14:textFill>
        </w:rPr>
        <w:t>The Anatomical and Clinical Significance of the Superior Laryngeal Nerve</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w:t>
      </w:r>
      <w:r>
        <w:rPr>
          <w:rFonts w:ascii="Times New Roman" w:hAnsi="Times New Roman" w:eastAsia="宋体" w:cs="Times New Roman"/>
          <w:color w:val="000000" w:themeColor="text1"/>
          <w:sz w:val="21"/>
          <w:szCs w:val="21"/>
          <w:highlight w:val="none"/>
          <w14:textFill>
            <w14:solidFill>
              <w14:schemeClr w14:val="tx1"/>
            </w14:solidFill>
          </w14:textFill>
        </w:rPr>
        <w:t>Otolaryngol Head Neck Surg</w:t>
      </w:r>
      <w:r>
        <w:rPr>
          <w:rFonts w:ascii="Times New Roman" w:hAnsi="Times New Roman" w:eastAsia="宋体" w:cs="Times New Roman"/>
          <w:color w:val="000000" w:themeColor="text1"/>
          <w:sz w:val="21"/>
          <w:szCs w:val="21"/>
          <w:highlight w:val="none"/>
          <w14:textFill>
            <w14:solidFill>
              <w14:schemeClr w14:val="tx1"/>
            </w14:solidFill>
          </w14:textFill>
        </w:rPr>
        <w:t xml:space="preserve">, 2021, 165(5): 690-695. </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【请确认标题准确性，使用期刊全称】</w:t>
      </w:r>
    </w:p>
    <w:p w14:paraId="6036B206">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Barczyński M, Randolph GW, Cernea CR, et al. </w:t>
      </w:r>
      <w:r>
        <w:rPr>
          <w:rFonts w:ascii="Times New Roman" w:hAnsi="Times New Roman" w:eastAsia="宋体" w:cs="Times New Roman"/>
          <w:color w:val="000000" w:themeColor="text1"/>
          <w:sz w:val="21"/>
          <w:szCs w:val="21"/>
          <w:highlight w:val="none"/>
          <w14:textFill>
            <w14:solidFill>
              <w14:schemeClr w14:val="tx1"/>
            </w14:solidFill>
          </w14:textFill>
        </w:rPr>
        <w:t>External branch of the superior laryngeal nerve monitoring during thyroid and parathyroid surgery: International Neural Monitoring Study Group standards guideline statement</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Laryngoscope, 2013, 123 Suppl 4: S1-14.</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w:t>
      </w:r>
    </w:p>
    <w:p w14:paraId="19772D25">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Fu J, Zhao Y, Sun H, et al. </w:t>
      </w:r>
      <w:r>
        <w:rPr>
          <w:rFonts w:ascii="Times New Roman" w:hAnsi="Times New Roman" w:eastAsia="宋体" w:cs="Times New Roman"/>
          <w:color w:val="000000" w:themeColor="text1"/>
          <w:sz w:val="21"/>
          <w:szCs w:val="21"/>
          <w:highlight w:val="none"/>
          <w14:textFill>
            <w14:solidFill>
              <w14:schemeClr w14:val="tx1"/>
            </w14:solidFill>
          </w14:textFill>
        </w:rPr>
        <w:t>The feasibility of laryngeal nerve protection during thyroidectomy using sternocleidomastoid intermuscular approach with intraoperative neuromonitoring: a case series and step-by-step description of surgical procedure</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w:t>
      </w:r>
      <w:r>
        <w:rPr>
          <w:rFonts w:ascii="Times New Roman" w:hAnsi="Times New Roman" w:eastAsia="宋体" w:cs="Times New Roman"/>
          <w:color w:val="000000" w:themeColor="text1"/>
          <w:sz w:val="21"/>
          <w:szCs w:val="21"/>
          <w:highlight w:val="none"/>
          <w14:textFill>
            <w14:solidFill>
              <w14:schemeClr w14:val="tx1"/>
            </w14:solidFill>
          </w14:textFill>
        </w:rPr>
        <w:t>Gland Surg</w:t>
      </w:r>
      <w:r>
        <w:rPr>
          <w:rFonts w:ascii="Times New Roman" w:hAnsi="Times New Roman" w:eastAsia="宋体" w:cs="Times New Roman"/>
          <w:color w:val="000000" w:themeColor="text1"/>
          <w:sz w:val="21"/>
          <w:szCs w:val="21"/>
          <w:highlight w:val="none"/>
          <w14:textFill>
            <w14:solidFill>
              <w14:schemeClr w14:val="tx1"/>
            </w14:solidFill>
          </w14:textFill>
        </w:rPr>
        <w:t>, 2022. 11(10):1665-1672.</w:t>
      </w:r>
      <w:r>
        <w:rPr>
          <w:rFonts w:hint="eastAsia"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【请确认标题准确性，使用期刊全称】</w:t>
      </w:r>
    </w:p>
    <w:p w14:paraId="5C7281EB">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Henry BM, Sanna S, Graves MJ, et al. The Non-Recurrent Laryngeal Nerve: a meta-analysis and clinical considerations [J]. PeerJ, 2017, 5: e3012.</w:t>
      </w:r>
    </w:p>
    <w:p w14:paraId="23396425">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Wang T, Dionigi G, Zhang D,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Diagnosis, anatomy, and electromyography profiles of 73 nonrecurrent laryngeal nerves [J]. </w:t>
      </w:r>
      <w:r>
        <w:rPr>
          <w:rFonts w:ascii="Times New Roman" w:hAnsi="Times New Roman" w:eastAsia="宋体" w:cs="Times New Roman"/>
          <w:color w:val="000000" w:themeColor="text1"/>
          <w:sz w:val="21"/>
          <w:szCs w:val="21"/>
          <w:highlight w:val="none"/>
          <w14:textFill>
            <w14:solidFill>
              <w14:schemeClr w14:val="tx1"/>
            </w14:solidFill>
          </w14:textFill>
        </w:rPr>
        <w:t>Head Neck</w:t>
      </w:r>
      <w:r>
        <w:rPr>
          <w:rFonts w:ascii="Times New Roman" w:hAnsi="Times New Roman" w:eastAsia="宋体" w:cs="Times New Roman"/>
          <w:color w:val="000000" w:themeColor="text1"/>
          <w:sz w:val="21"/>
          <w:szCs w:val="21"/>
          <w:highlight w:val="none"/>
          <w14:textFill>
            <w14:solidFill>
              <w14:schemeClr w14:val="tx1"/>
            </w14:solidFill>
          </w14:textFill>
        </w:rPr>
        <w:t>, 2018, 40(12): 2657-2663.</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【使用期刊全称】</w:t>
      </w:r>
    </w:p>
    <w:p w14:paraId="307278F0">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Wang Y, Ji Q, Li D, et al. </w:t>
      </w:r>
      <w:r>
        <w:rPr>
          <w:rFonts w:ascii="Times New Roman" w:hAnsi="Times New Roman" w:eastAsia="宋体" w:cs="Times New Roman"/>
          <w:color w:val="000000" w:themeColor="text1"/>
          <w:sz w:val="21"/>
          <w:szCs w:val="21"/>
          <w:highlight w:val="none"/>
          <w14:textFill>
            <w14:solidFill>
              <w14:schemeClr w14:val="tx1"/>
            </w14:solidFill>
          </w14:textFill>
        </w:rPr>
        <w:t>Preoperative CT diagnosis of right nonrecurrent inferior laryngeal nerve</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w:t>
      </w:r>
      <w:r>
        <w:rPr>
          <w:rFonts w:ascii="Times New Roman" w:hAnsi="Times New Roman" w:eastAsia="宋体" w:cs="Times New Roman"/>
          <w:color w:val="000000" w:themeColor="text1"/>
          <w:sz w:val="21"/>
          <w:szCs w:val="21"/>
          <w:highlight w:val="none"/>
          <w14:textFill>
            <w14:solidFill>
              <w14:schemeClr w14:val="tx1"/>
            </w14:solidFill>
          </w14:textFill>
        </w:rPr>
        <w:t>Head Neck</w:t>
      </w:r>
      <w:r>
        <w:rPr>
          <w:rFonts w:ascii="Times New Roman" w:hAnsi="Times New Roman" w:eastAsia="宋体" w:cs="Times New Roman"/>
          <w:color w:val="000000" w:themeColor="text1"/>
          <w:sz w:val="21"/>
          <w:szCs w:val="21"/>
          <w:highlight w:val="none"/>
          <w14:textFill>
            <w14:solidFill>
              <w14:schemeClr w14:val="tx1"/>
            </w14:solidFill>
          </w14:textFill>
        </w:rPr>
        <w:t>, 2011, 33(2): 232-238.</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【请确认标题准确性，使用期刊全称】</w:t>
      </w:r>
    </w:p>
    <w:p w14:paraId="6E81652D">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徐震纲</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刘绍严</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分化型甲状腺癌颈侧区淋巴结清扫专家共识</w:t>
      </w:r>
      <w:r>
        <w:rPr>
          <w:rFonts w:ascii="Times New Roman" w:hAnsi="Times New Roman" w:eastAsia="宋体" w:cs="Times New Roman"/>
          <w:color w:val="000000" w:themeColor="text1"/>
          <w:sz w:val="21"/>
          <w:szCs w:val="21"/>
          <w:highlight w:val="none"/>
          <w14:textFill>
            <w14:solidFill>
              <w14:schemeClr w14:val="tx1"/>
            </w14:solidFill>
          </w14:textFill>
        </w:rPr>
        <w:t>(2017</w:t>
      </w:r>
      <w:r>
        <w:rPr>
          <w:rFonts w:hint="eastAsia" w:ascii="Times New Roman" w:hAnsi="Times New Roman" w:eastAsia="宋体" w:cs="Times New Roman"/>
          <w:color w:val="000000" w:themeColor="text1"/>
          <w:sz w:val="21"/>
          <w:szCs w:val="21"/>
          <w:highlight w:val="none"/>
          <w14:textFill>
            <w14:solidFill>
              <w14:schemeClr w14:val="tx1"/>
            </w14:solidFill>
          </w14:textFill>
        </w:rPr>
        <w:t>版</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中国实用外科杂志</w:t>
      </w:r>
      <w:bookmarkStart w:id="27" w:name="_Hlk118278929"/>
      <w:r>
        <w:rPr>
          <w:rFonts w:ascii="Times New Roman" w:hAnsi="Times New Roman" w:eastAsia="宋体" w:cs="Times New Roman"/>
          <w:color w:val="000000" w:themeColor="text1"/>
          <w:sz w:val="21"/>
          <w:szCs w:val="21"/>
          <w:highlight w:val="none"/>
          <w14:textFill>
            <w14:solidFill>
              <w14:schemeClr w14:val="tx1"/>
            </w14:solidFill>
          </w14:textFill>
        </w:rPr>
        <w:t>,</w:t>
      </w:r>
      <w:bookmarkEnd w:id="27"/>
      <w:r>
        <w:rPr>
          <w:rFonts w:ascii="Times New Roman" w:hAnsi="Times New Roman" w:eastAsia="宋体" w:cs="Times New Roman"/>
          <w:color w:val="000000" w:themeColor="text1"/>
          <w:sz w:val="21"/>
          <w:szCs w:val="21"/>
          <w:highlight w:val="none"/>
          <w14:textFill>
            <w14:solidFill>
              <w14:schemeClr w14:val="tx1"/>
            </w14:solidFill>
          </w14:textFill>
        </w:rPr>
        <w:t>2017,37(9): 985-991.</w:t>
      </w:r>
    </w:p>
    <w:p w14:paraId="60FD55EF">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李芳</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周乐</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刘晓莉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神经监测技术在甲状腺及颈部手术中应用及评价</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中国实用外科杂志</w:t>
      </w:r>
      <w:r>
        <w:rPr>
          <w:rFonts w:ascii="Times New Roman" w:hAnsi="Times New Roman" w:eastAsia="宋体" w:cs="Times New Roman"/>
          <w:color w:val="000000" w:themeColor="text1"/>
          <w:sz w:val="21"/>
          <w:szCs w:val="21"/>
          <w:highlight w:val="none"/>
          <w14:textFill>
            <w14:solidFill>
              <w14:schemeClr w14:val="tx1"/>
            </w14:solidFill>
          </w14:textFill>
        </w:rPr>
        <w:t>,2015,35(8): 901-903.</w:t>
      </w:r>
    </w:p>
    <w:p w14:paraId="0B204118">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 xml:space="preserve">Li F, Sun H. </w:t>
      </w:r>
      <w:r>
        <w:rPr>
          <w:rFonts w:ascii="Times New Roman" w:hAnsi="Times New Roman" w:eastAsia="宋体" w:cs="Times New Roman"/>
          <w:color w:val="000000" w:themeColor="text1"/>
          <w:sz w:val="21"/>
          <w:szCs w:val="21"/>
          <w:highlight w:val="none"/>
          <w14:textFill>
            <w14:solidFill>
              <w14:schemeClr w14:val="tx1"/>
            </w14:solidFill>
          </w14:textFill>
        </w:rPr>
        <w:t>The application of intraoperative neuromonitoring in lateral neck dissections for thyroid cancers</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Annals of Thyroid, 2019</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r>
        <w:rPr>
          <w:rFonts w:ascii="Times New Roman" w:hAnsi="Times New Roman" w:eastAsia="宋体" w:cs="Times New Roman"/>
          <w:color w:val="000000" w:themeColor="text1"/>
          <w:sz w:val="21"/>
          <w:szCs w:val="21"/>
          <w:highlight w:val="none"/>
          <w14:textFill>
            <w14:solidFill>
              <w14:schemeClr w14:val="tx1"/>
            </w14:solidFill>
          </w14:textFill>
        </w:rPr>
        <w:t>4:15-22.</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w:t>
      </w:r>
    </w:p>
    <w:p w14:paraId="09C38A8B">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Lanisnik</w:t>
      </w:r>
      <w:bookmarkStart w:id="28" w:name="_Hlk120710706"/>
      <w:r>
        <w:rPr>
          <w:rFonts w:ascii="Times New Roman" w:hAnsi="Times New Roman" w:eastAsia="宋体" w:cs="Times New Roman"/>
          <w:color w:val="000000" w:themeColor="text1"/>
          <w:sz w:val="21"/>
          <w:szCs w:val="21"/>
          <w:highlight w:val="none"/>
          <w14:textFill>
            <w14:solidFill>
              <w14:schemeClr w14:val="tx1"/>
            </w14:solidFill>
          </w14:textFill>
        </w:rPr>
        <w:t xml:space="preserve"> </w:t>
      </w:r>
      <w:bookmarkEnd w:id="28"/>
      <w:r>
        <w:rPr>
          <w:rFonts w:ascii="Times New Roman" w:hAnsi="Times New Roman" w:eastAsia="宋体" w:cs="Times New Roman"/>
          <w:color w:val="000000" w:themeColor="text1"/>
          <w:sz w:val="21"/>
          <w:szCs w:val="21"/>
          <w:highlight w:val="none"/>
          <w14:textFill>
            <w14:solidFill>
              <w14:schemeClr w14:val="tx1"/>
            </w14:solidFill>
          </w14:textFill>
        </w:rPr>
        <w:t xml:space="preserve">B, Zargi M, Rodi Z. </w:t>
      </w:r>
      <w:r>
        <w:rPr>
          <w:rFonts w:ascii="Times New Roman" w:hAnsi="Times New Roman" w:eastAsia="宋体" w:cs="Times New Roman"/>
          <w:color w:val="000000" w:themeColor="text1"/>
          <w:sz w:val="21"/>
          <w:szCs w:val="21"/>
          <w:highlight w:val="none"/>
          <w14:textFill>
            <w14:solidFill>
              <w14:schemeClr w14:val="tx1"/>
            </w14:solidFill>
          </w14:textFill>
        </w:rPr>
        <w:t>Electrophysiologic analysis of injury to cranial nerve XI during neck dissection</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w:t>
      </w:r>
      <w:r>
        <w:rPr>
          <w:rFonts w:ascii="Times New Roman" w:hAnsi="Times New Roman" w:eastAsia="宋体" w:cs="Times New Roman"/>
          <w:color w:val="000000" w:themeColor="text1"/>
          <w:sz w:val="21"/>
          <w:szCs w:val="21"/>
          <w:highlight w:val="none"/>
          <w14:textFill>
            <w14:solidFill>
              <w14:schemeClr w14:val="tx1"/>
            </w14:solidFill>
          </w14:textFill>
        </w:rPr>
        <w:t>Head Neck</w:t>
      </w:r>
      <w:r>
        <w:rPr>
          <w:rFonts w:ascii="Times New Roman" w:hAnsi="Times New Roman" w:eastAsia="宋体" w:cs="Times New Roman"/>
          <w:color w:val="000000" w:themeColor="text1"/>
          <w:sz w:val="21"/>
          <w:szCs w:val="21"/>
          <w:highlight w:val="none"/>
          <w14:textFill>
            <w14:solidFill>
              <w14:schemeClr w14:val="tx1"/>
            </w14:solidFill>
          </w14:textFill>
        </w:rPr>
        <w:t>, 2016, 38 Suppl 1: E372-376.</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【请确认标题准确性，使用期刊全称】</w:t>
      </w:r>
    </w:p>
    <w:p w14:paraId="30FAB998">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Duque CS, Dueñas JP, Marulanda M, et al. </w:t>
      </w:r>
      <w:r>
        <w:rPr>
          <w:rFonts w:ascii="Times New Roman" w:hAnsi="Times New Roman" w:eastAsia="宋体" w:cs="Times New Roman"/>
          <w:color w:val="000000" w:themeColor="text1"/>
          <w:sz w:val="21"/>
          <w:szCs w:val="21"/>
          <w:highlight w:val="none"/>
          <w14:textFill>
            <w14:solidFill>
              <w14:schemeClr w14:val="tx1"/>
            </w14:solidFill>
          </w14:textFill>
        </w:rPr>
        <w:t>Phrenic nerve stimulation during neck dissection for advanced thyroid cancer involving level IV: is it worth doing it?</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w:t>
      </w:r>
      <w:r>
        <w:rPr>
          <w:rFonts w:ascii="Times New Roman" w:hAnsi="Times New Roman" w:eastAsia="宋体" w:cs="Times New Roman"/>
          <w:color w:val="000000" w:themeColor="text1"/>
          <w:sz w:val="21"/>
          <w:szCs w:val="21"/>
          <w:highlight w:val="none"/>
          <w14:textFill>
            <w14:solidFill>
              <w14:schemeClr w14:val="tx1"/>
            </w14:solidFill>
          </w14:textFill>
        </w:rPr>
        <w:t>Updates Surg</w:t>
      </w:r>
      <w:r>
        <w:rPr>
          <w:rFonts w:ascii="Times New Roman" w:hAnsi="Times New Roman" w:eastAsia="宋体" w:cs="Times New Roman"/>
          <w:color w:val="000000" w:themeColor="text1"/>
          <w:sz w:val="21"/>
          <w:szCs w:val="21"/>
          <w:highlight w:val="none"/>
          <w14:textFill>
            <w14:solidFill>
              <w14:schemeClr w14:val="tx1"/>
            </w14:solidFill>
          </w14:textFill>
        </w:rPr>
        <w:t>. 2017, 69(1):83–87.</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【请确认标题准确性，使用期刊全称】</w:t>
      </w:r>
    </w:p>
    <w:p w14:paraId="40564CFE">
      <w:pPr>
        <w:pStyle w:val="63"/>
        <w:numPr>
          <w:ilvl w:val="0"/>
          <w:numId w:val="8"/>
        </w:numPr>
        <w:shd w:val="clear"/>
        <w:ind w:firstLineChars="0"/>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Huang S,</w:t>
      </w:r>
      <w:r>
        <w:rPr>
          <w:rFonts w:ascii="Times New Roman" w:hAnsi="Times New Roman" w:eastAsia="宋体" w:cs="Times New Roman"/>
          <w:color w:val="000000" w:themeColor="text1"/>
          <w:szCs w:val="21"/>
          <w:highlight w:val="none"/>
          <w:lang w:val="fr-FR"/>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lang w:val="fr-FR"/>
          <w14:textFill>
            <w14:solidFill>
              <w14:schemeClr w14:val="tx1"/>
            </w14:solidFill>
          </w14:textFill>
        </w:rPr>
        <w:t>Garstka</w:t>
      </w:r>
      <w:r>
        <w:rPr>
          <w:rFonts w:ascii="Times New Roman" w:hAnsi="Times New Roman" w:eastAsia="宋体" w:cs="Times New Roman"/>
          <w:color w:val="000000" w:themeColor="text1"/>
          <w:szCs w:val="21"/>
          <w:highlight w:val="none"/>
          <w:lang w:val="fr-FR"/>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lang w:val="fr-FR"/>
          <w14:textFill>
            <w14:solidFill>
              <w14:schemeClr w14:val="tx1"/>
            </w14:solidFill>
          </w14:textFill>
        </w:rPr>
        <w:t>ME,</w:t>
      </w:r>
      <w:r>
        <w:rPr>
          <w:rFonts w:ascii="Times New Roman" w:hAnsi="Times New Roman" w:eastAsia="宋体" w:cs="Times New Roman"/>
          <w:color w:val="000000" w:themeColor="text1"/>
          <w:szCs w:val="21"/>
          <w:highlight w:val="none"/>
          <w:lang w:val="fr-FR"/>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lang w:val="fr-FR"/>
          <w14:textFill>
            <w14:solidFill>
              <w14:schemeClr w14:val="tx1"/>
            </w14:solidFill>
          </w14:textFill>
        </w:rPr>
        <w:t>Murcy</w:t>
      </w:r>
      <w:r>
        <w:rPr>
          <w:rFonts w:ascii="Times New Roman" w:hAnsi="Times New Roman" w:eastAsia="宋体" w:cs="Times New Roman"/>
          <w:color w:val="000000" w:themeColor="text1"/>
          <w:szCs w:val="21"/>
          <w:highlight w:val="none"/>
          <w:lang w:val="fr-FR"/>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lang w:val="fr-FR"/>
          <w14:textFill>
            <w14:solidFill>
              <w14:schemeClr w14:val="tx1"/>
            </w14:solidFill>
          </w14:textFill>
        </w:rPr>
        <w:t>MA,</w:t>
      </w:r>
      <w:r>
        <w:rPr>
          <w:rFonts w:ascii="Times New Roman" w:hAnsi="Times New Roman" w:eastAsia="宋体" w:cs="Times New Roman"/>
          <w:color w:val="000000" w:themeColor="text1"/>
          <w:szCs w:val="21"/>
          <w:highlight w:val="none"/>
          <w:lang w:val="fr-FR"/>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lang w:val="fr-FR"/>
          <w14:textFill>
            <w14:solidFill>
              <w14:schemeClr w14:val="tx1"/>
            </w14:solidFill>
          </w14:textFill>
        </w:rPr>
        <w:t>et al.</w:t>
      </w:r>
      <w:r>
        <w:rPr>
          <w:rFonts w:ascii="Times New Roman" w:hAnsi="Times New Roman" w:eastAsia="宋体" w:cs="Times New Roman"/>
          <w:color w:val="000000" w:themeColor="text1"/>
          <w:szCs w:val="21"/>
          <w:highlight w:val="none"/>
          <w:lang w:val="fr-FR"/>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Somatosensory evoked potential: Preventing brachial plexus injury in transaxillary robotic surgery</w:t>
      </w:r>
      <w:r>
        <w:rPr>
          <w:rFonts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Laryngoscope, 2019, 129(11):</w:t>
      </w:r>
      <w:r>
        <w:rPr>
          <w:rFonts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 xml:space="preserve"> 2663-2668. </w:t>
      </w:r>
    </w:p>
    <w:p w14:paraId="6D9759B9">
      <w:pPr>
        <w:pStyle w:val="63"/>
        <w:numPr>
          <w:ilvl w:val="0"/>
          <w:numId w:val="8"/>
        </w:numPr>
        <w:shd w:val="clear"/>
        <w:ind w:firstLineChars="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 xml:space="preserve">Duque CS, Londoño AF, Penagos AM, et al. </w:t>
      </w:r>
      <w:r>
        <w:rPr>
          <w:rFonts w:ascii="Times New Roman" w:hAnsi="Times New Roman" w:eastAsia="宋体" w:cs="Times New Roman"/>
          <w:color w:val="000000" w:themeColor="text1"/>
          <w:szCs w:val="21"/>
          <w:highlight w:val="none"/>
          <w14:textFill>
            <w14:solidFill>
              <w14:schemeClr w14:val="tx1"/>
            </w14:solidFill>
          </w14:textFill>
        </w:rPr>
        <w:t>Hypoglossal nerve monitoring, a potential application of intraoperative nerve monitoring in head and neck surgery</w:t>
      </w:r>
      <w:r>
        <w:rPr>
          <w:rFonts w:ascii="Times New Roman" w:hAnsi="Times New Roman" w:eastAsia="宋体" w:cs="Times New Roman"/>
          <w:color w:val="000000" w:themeColor="text1"/>
          <w:szCs w:val="21"/>
          <w:highlight w:val="none"/>
          <w14:textFill>
            <w14:solidFill>
              <w14:schemeClr w14:val="tx1"/>
            </w14:solidFill>
          </w14:textFill>
        </w:rPr>
        <w:t xml:space="preserve"> [J]. </w:t>
      </w:r>
      <w:r>
        <w:rPr>
          <w:rFonts w:ascii="Times New Roman" w:hAnsi="Times New Roman" w:eastAsia="宋体" w:cs="Times New Roman"/>
          <w:color w:val="000000" w:themeColor="text1"/>
          <w:szCs w:val="21"/>
          <w:highlight w:val="none"/>
          <w14:textFill>
            <w14:solidFill>
              <w14:schemeClr w14:val="tx1"/>
            </w14:solidFill>
          </w14:textFill>
        </w:rPr>
        <w:t>World J Surg Oncol</w:t>
      </w:r>
      <w:r>
        <w:rPr>
          <w:rFonts w:ascii="Times New Roman" w:hAnsi="Times New Roman" w:eastAsia="宋体" w:cs="Times New Roman"/>
          <w:color w:val="000000" w:themeColor="text1"/>
          <w:szCs w:val="21"/>
          <w:highlight w:val="none"/>
          <w14:textFill>
            <w14:solidFill>
              <w14:schemeClr w14:val="tx1"/>
            </w14:solidFill>
          </w14:textFill>
        </w:rPr>
        <w:t>, 2013, 11: 225.</w:t>
      </w:r>
      <w:r>
        <w:rPr>
          <w:rFonts w:hint="eastAsia" w:ascii="Times New Roman" w:hAnsi="Times New Roman" w:eastAsia="宋体" w:cs="Times New Roman"/>
          <w:b/>
          <w:bCs/>
          <w:color w:val="000000" w:themeColor="text1"/>
          <w:szCs w:val="21"/>
          <w:highlight w:val="none"/>
          <w14:textFill>
            <w14:solidFill>
              <w14:schemeClr w14:val="tx1"/>
            </w14:solidFill>
          </w14:textFill>
        </w:rPr>
        <w:t xml:space="preserve"> 【请确认标题准确性，使用期刊全称】</w:t>
      </w:r>
    </w:p>
    <w:p w14:paraId="594AACDD">
      <w:pPr>
        <w:pStyle w:val="63"/>
        <w:numPr>
          <w:ilvl w:val="0"/>
          <w:numId w:val="8"/>
        </w:numPr>
        <w:shd w:val="clear"/>
        <w:ind w:firstLineChars="0"/>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Chiang</w:t>
      </w:r>
      <w:r>
        <w:rPr>
          <w:rFonts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FY,</w:t>
      </w:r>
      <w:r>
        <w:rPr>
          <w:rFonts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Lien</w:t>
      </w:r>
      <w:r>
        <w:rPr>
          <w:rFonts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CF,</w:t>
      </w:r>
      <w:r>
        <w:rPr>
          <w:rFonts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Wang</w:t>
      </w:r>
      <w:r>
        <w:rPr>
          <w:rFonts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CC,</w:t>
      </w:r>
      <w:r>
        <w:rPr>
          <w:rFonts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et</w:t>
      </w:r>
      <w:r>
        <w:rPr>
          <w:rFonts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 xml:space="preserve">al. </w:t>
      </w:r>
      <w:r>
        <w:rPr>
          <w:rFonts w:ascii="Times New Roman" w:hAnsi="Times New Roman" w:eastAsia="宋体" w:cs="Times New Roman"/>
          <w:color w:val="000000" w:themeColor="text1"/>
          <w:sz w:val="21"/>
          <w:szCs w:val="21"/>
          <w:highlight w:val="none"/>
          <w14:textFill>
            <w14:solidFill>
              <w14:schemeClr w14:val="tx1"/>
            </w14:solidFill>
          </w14:textFill>
        </w:rPr>
        <w:t>Proposals for Standardization of Intraoperative Facial Nerve Monitoring during Parotid Surgery</w:t>
      </w:r>
      <w:r>
        <w:rPr>
          <w:rFonts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 xml:space="preserve">[J]. </w:t>
      </w:r>
      <w:r>
        <w:rPr>
          <w:rFonts w:ascii="Times New Roman" w:hAnsi="Times New Roman" w:eastAsia="宋体" w:cs="Times New Roman"/>
          <w:color w:val="000000" w:themeColor="text1"/>
          <w:sz w:val="21"/>
          <w:szCs w:val="21"/>
          <w:highlight w:val="none"/>
          <w14:textFill>
            <w14:solidFill>
              <w14:schemeClr w14:val="tx1"/>
            </w14:solidFill>
          </w14:textFill>
        </w:rPr>
        <w:t>Diagnostics (Basel)</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2022,</w:t>
      </w:r>
      <w:r>
        <w:rPr>
          <w:rFonts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12(10):</w:t>
      </w:r>
      <w:r>
        <w:rPr>
          <w:rFonts w:ascii="Times New Roman" w:hAnsi="Times New Roman" w:eastAsia="宋体" w:cs="Times New Roman"/>
          <w:color w:val="000000" w:themeColor="text1"/>
          <w:szCs w:val="21"/>
          <w:highlight w:val="none"/>
          <w14:textFill>
            <w14:solidFill>
              <w14:schemeClr w14:val="tx1"/>
            </w14:solidFill>
          </w14:textFill>
        </w:rPr>
        <w:t xml:space="preserve"> </w:t>
      </w:r>
      <w:r>
        <w:rPr>
          <w:rFonts w:ascii="Times New Roman" w:hAnsi="Times New Roman" w:eastAsia="宋体" w:cs="Times New Roman"/>
          <w:color w:val="000000" w:themeColor="text1"/>
          <w:sz w:val="21"/>
          <w:szCs w:val="21"/>
          <w:highlight w:val="none"/>
          <w14:textFill>
            <w14:solidFill>
              <w14:schemeClr w14:val="tx1"/>
            </w14:solidFill>
          </w14:textFill>
        </w:rPr>
        <w:t>2387.</w:t>
      </w:r>
      <w:r>
        <w:rPr>
          <w:rFonts w:hint="eastAsia" w:ascii="Times New Roman" w:hAnsi="Times New Roman" w:eastAsia="宋体" w:cs="Times New Roman"/>
          <w:b/>
          <w:bCs/>
          <w:color w:val="000000" w:themeColor="text1"/>
          <w:szCs w:val="21"/>
          <w:highlight w:val="none"/>
          <w14:textFill>
            <w14:solidFill>
              <w14:schemeClr w14:val="tx1"/>
            </w14:solidFill>
          </w14:textFill>
        </w:rPr>
        <w:t xml:space="preserve"> 【请确认标题准确性，使用期刊全称】</w:t>
      </w:r>
    </w:p>
    <w:p w14:paraId="4A31521A">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Zhang D, Li F, Wu CW,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Percutaneous probe stimulation for intraoperative neuromonitoring in total endoscopic thyroidectomy: A preliminary experience [J]. </w:t>
      </w:r>
      <w:r>
        <w:rPr>
          <w:rFonts w:ascii="Times New Roman" w:hAnsi="Times New Roman" w:eastAsia="宋体" w:cs="Times New Roman"/>
          <w:color w:val="000000" w:themeColor="text1"/>
          <w:sz w:val="21"/>
          <w:szCs w:val="21"/>
          <w:highlight w:val="none"/>
          <w14:textFill>
            <w14:solidFill>
              <w14:schemeClr w14:val="tx1"/>
            </w14:solidFill>
          </w14:textFill>
        </w:rPr>
        <w:t>Head Neck</w:t>
      </w:r>
      <w:r>
        <w:rPr>
          <w:rFonts w:ascii="Times New Roman" w:hAnsi="Times New Roman" w:eastAsia="宋体" w:cs="Times New Roman"/>
          <w:color w:val="000000" w:themeColor="text1"/>
          <w:sz w:val="21"/>
          <w:szCs w:val="21"/>
          <w:highlight w:val="none"/>
          <w14:textFill>
            <w14:solidFill>
              <w14:schemeClr w14:val="tx1"/>
            </w14:solidFill>
          </w14:textFill>
        </w:rPr>
        <w:t>, 2017, 39(5): 1001-1007.</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【使用期刊全称】</w:t>
      </w:r>
    </w:p>
    <w:p w14:paraId="3281088C">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Zhang D, Wang C, Wang T,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Clinical Experience of Use of Percutaneous Continuous Nervemonitoring in Robotic Bilateral Axillo-Breast Thyroid Surgery [J]. </w:t>
      </w:r>
      <w:r>
        <w:rPr>
          <w:rFonts w:ascii="Times New Roman" w:hAnsi="Times New Roman" w:eastAsia="宋体" w:cs="Times New Roman"/>
          <w:color w:val="000000" w:themeColor="text1"/>
          <w:sz w:val="21"/>
          <w:szCs w:val="21"/>
          <w:highlight w:val="none"/>
          <w14:textFill>
            <w14:solidFill>
              <w14:schemeClr w14:val="tx1"/>
            </w14:solidFill>
          </w14:textFill>
        </w:rPr>
        <w:t>Front Endocrinol</w:t>
      </w:r>
      <w:r>
        <w:rPr>
          <w:rFonts w:ascii="Times New Roman" w:hAnsi="Times New Roman" w:eastAsia="宋体" w:cs="Times New Roman"/>
          <w:color w:val="000000" w:themeColor="text1"/>
          <w:sz w:val="21"/>
          <w:szCs w:val="21"/>
          <w:highlight w:val="none"/>
          <w14:textFill>
            <w14:solidFill>
              <w14:schemeClr w14:val="tx1"/>
            </w14:solidFill>
          </w14:textFill>
        </w:rPr>
        <w:t>, 2022, 12: 817026.</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【使用期刊全称】</w:t>
      </w:r>
    </w:p>
    <w:p w14:paraId="3103900A">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 xml:space="preserve">Calò PG, Medas F, Conzo G, et al. </w:t>
      </w:r>
      <w:r>
        <w:rPr>
          <w:rFonts w:ascii="Times New Roman" w:hAnsi="Times New Roman" w:eastAsia="宋体" w:cs="Times New Roman"/>
          <w:color w:val="000000" w:themeColor="text1"/>
          <w:sz w:val="21"/>
          <w:szCs w:val="21"/>
          <w:highlight w:val="none"/>
          <w14:textFill>
            <w14:solidFill>
              <w14:schemeClr w14:val="tx1"/>
            </w14:solidFill>
          </w14:textFill>
        </w:rPr>
        <w:t>Intraoperative neuromonitoring in thyroid surgery: Is the two-staged thyroidectomy justified?</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w:t>
      </w:r>
      <w:r>
        <w:rPr>
          <w:rFonts w:ascii="Times New Roman" w:hAnsi="Times New Roman" w:eastAsia="宋体" w:cs="Times New Roman"/>
          <w:color w:val="000000" w:themeColor="text1"/>
          <w:sz w:val="21"/>
          <w:szCs w:val="21"/>
          <w:highlight w:val="none"/>
          <w14:textFill>
            <w14:solidFill>
              <w14:schemeClr w14:val="tx1"/>
            </w14:solidFill>
          </w14:textFill>
        </w:rPr>
        <w:t>Int J Surg</w:t>
      </w:r>
      <w:r>
        <w:rPr>
          <w:rFonts w:ascii="Times New Roman" w:hAnsi="Times New Roman" w:eastAsia="宋体" w:cs="Times New Roman"/>
          <w:color w:val="000000" w:themeColor="text1"/>
          <w:sz w:val="21"/>
          <w:szCs w:val="21"/>
          <w:highlight w:val="none"/>
          <w14:textFill>
            <w14:solidFill>
              <w14:schemeClr w14:val="tx1"/>
            </w14:solidFill>
          </w14:textFill>
        </w:rPr>
        <w:t>, 2017, 41 Suppl 1: S13-S20.</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【请确认标题准确性，使用期刊全称】</w:t>
      </w:r>
    </w:p>
    <w:p w14:paraId="02327C7D">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Lu IC, Tan H, Wu SH,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A comparison between cisatracurium and rocuronium-induced neuromuscular block on laryngeal electromyography recovery after neostigmine reversal in a porcine model [J]. </w:t>
      </w:r>
      <w:r>
        <w:rPr>
          <w:rFonts w:ascii="Times New Roman" w:hAnsi="Times New Roman" w:eastAsia="宋体" w:cs="Times New Roman"/>
          <w:color w:val="000000" w:themeColor="text1"/>
          <w:sz w:val="21"/>
          <w:szCs w:val="21"/>
          <w:highlight w:val="none"/>
          <w14:textFill>
            <w14:solidFill>
              <w14:schemeClr w14:val="tx1"/>
            </w14:solidFill>
          </w14:textFill>
        </w:rPr>
        <w:t>Front Endocrinol</w:t>
      </w:r>
      <w:r>
        <w:rPr>
          <w:rFonts w:ascii="Times New Roman" w:hAnsi="Times New Roman" w:eastAsia="宋体" w:cs="Times New Roman"/>
          <w:color w:val="000000" w:themeColor="text1"/>
          <w:sz w:val="21"/>
          <w:szCs w:val="21"/>
          <w:highlight w:val="none"/>
          <w14:textFill>
            <w14:solidFill>
              <w14:schemeClr w14:val="tx1"/>
            </w14:solidFill>
          </w14:textFill>
        </w:rPr>
        <w:t>, 2022, 13: 875597.</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【使用期刊全称】</w:t>
      </w:r>
    </w:p>
    <w:p w14:paraId="01DD66EB">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臧宇</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田文</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姚京</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甲状腺术中神经监测信号缺失原因分析</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中国实用外科杂志</w:t>
      </w:r>
      <w:r>
        <w:rPr>
          <w:rFonts w:ascii="Times New Roman" w:hAnsi="Times New Roman" w:eastAsia="宋体" w:cs="Times New Roman"/>
          <w:color w:val="000000" w:themeColor="text1"/>
          <w:sz w:val="21"/>
          <w:szCs w:val="21"/>
          <w:highlight w:val="none"/>
          <w14:textFill>
            <w14:solidFill>
              <w14:schemeClr w14:val="tx1"/>
            </w14:solidFill>
          </w14:textFill>
        </w:rPr>
        <w:t>,2017,37(10): 1173-1175.</w:t>
      </w:r>
    </w:p>
    <w:p w14:paraId="3F63CC0D">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val="fr-FR"/>
          <w14:textFill>
            <w14:solidFill>
              <w14:schemeClr w14:val="tx1"/>
            </w14:solidFill>
          </w14:textFill>
        </w:rPr>
        <w:t xml:space="preserve">Kim HY, Tufano RP, Randolph G, et al. </w:t>
      </w:r>
      <w:r>
        <w:rPr>
          <w:rFonts w:ascii="Times New Roman" w:hAnsi="Times New Roman" w:eastAsia="宋体" w:cs="Times New Roman"/>
          <w:color w:val="000000" w:themeColor="text1"/>
          <w:sz w:val="21"/>
          <w:szCs w:val="21"/>
          <w:highlight w:val="none"/>
          <w14:textFill>
            <w14:solidFill>
              <w14:schemeClr w14:val="tx1"/>
            </w14:solidFill>
          </w14:textFill>
        </w:rPr>
        <w:t xml:space="preserve">Impact of positional changes in neural monitoring endotracheal tube on amplitude and latency of electromyographic response in monitored thyroid surgery: Results from the Porcine Experiment [J]. </w:t>
      </w:r>
      <w:r>
        <w:rPr>
          <w:rFonts w:ascii="Times New Roman" w:hAnsi="Times New Roman" w:eastAsia="宋体" w:cs="Times New Roman"/>
          <w:color w:val="000000" w:themeColor="text1"/>
          <w:sz w:val="21"/>
          <w:szCs w:val="21"/>
          <w:highlight w:val="none"/>
          <w14:textFill>
            <w14:solidFill>
              <w14:schemeClr w14:val="tx1"/>
            </w14:solidFill>
          </w14:textFill>
        </w:rPr>
        <w:t>Head Neck</w:t>
      </w:r>
      <w:r>
        <w:rPr>
          <w:rFonts w:ascii="Times New Roman" w:hAnsi="Times New Roman" w:eastAsia="宋体" w:cs="Times New Roman"/>
          <w:color w:val="000000" w:themeColor="text1"/>
          <w:sz w:val="21"/>
          <w:szCs w:val="21"/>
          <w:highlight w:val="none"/>
          <w14:textFill>
            <w14:solidFill>
              <w14:schemeClr w14:val="tx1"/>
            </w14:solidFill>
          </w14:textFill>
        </w:rPr>
        <w:t>, 2016, 38 Suppl 1: E1004-1008.</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【使用期刊全称】</w:t>
      </w:r>
    </w:p>
    <w:p w14:paraId="194F50E6">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 xml:space="preserve">Chiang FY, Lee KW, Chen HC, et al. Standardization of intraoperative neuromonitoring of recurrent laryngeal nerve in thyroid operation [J]. </w:t>
      </w:r>
      <w:r>
        <w:rPr>
          <w:rFonts w:ascii="Times New Roman" w:hAnsi="Times New Roman" w:eastAsia="宋体" w:cs="Times New Roman"/>
          <w:color w:val="000000" w:themeColor="text1"/>
          <w:sz w:val="21"/>
          <w:szCs w:val="21"/>
          <w:highlight w:val="none"/>
          <w14:textFill>
            <w14:solidFill>
              <w14:schemeClr w14:val="tx1"/>
            </w14:solidFill>
          </w14:textFill>
        </w:rPr>
        <w:t>World J Surg</w:t>
      </w:r>
      <w:r>
        <w:rPr>
          <w:rFonts w:ascii="Times New Roman" w:hAnsi="Times New Roman" w:eastAsia="宋体" w:cs="Times New Roman"/>
          <w:color w:val="000000" w:themeColor="text1"/>
          <w:sz w:val="21"/>
          <w:szCs w:val="21"/>
          <w:highlight w:val="none"/>
          <w14:textFill>
            <w14:solidFill>
              <w14:schemeClr w14:val="tx1"/>
            </w14:solidFill>
          </w14:textFill>
        </w:rPr>
        <w:t>, 2010, 34(2): 223-229.</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【使用期刊全称】</w:t>
      </w:r>
    </w:p>
    <w:p w14:paraId="2E24C3A9">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 xml:space="preserve">Schneider R, Randolph GW, Dionigi G, et al. </w:t>
      </w:r>
      <w:r>
        <w:rPr>
          <w:rFonts w:ascii="Times New Roman" w:hAnsi="Times New Roman" w:eastAsia="宋体" w:cs="Times New Roman"/>
          <w:color w:val="000000" w:themeColor="text1"/>
          <w:sz w:val="21"/>
          <w:szCs w:val="21"/>
          <w:highlight w:val="none"/>
          <w14:textFill>
            <w14:solidFill>
              <w14:schemeClr w14:val="tx1"/>
            </w14:solidFill>
          </w14:textFill>
        </w:rPr>
        <w:t>International neural monitoring study group guideline 2018 part I: Staging bilateral thyroid surgery with monitoring loss of signal</w:t>
      </w:r>
      <w:r>
        <w:rPr>
          <w:rFonts w:ascii="Times New Roman" w:hAnsi="Times New Roman" w:eastAsia="宋体" w:cs="Times New Roman"/>
          <w:color w:val="000000" w:themeColor="text1"/>
          <w:sz w:val="21"/>
          <w:szCs w:val="21"/>
          <w:highlight w:val="none"/>
          <w14:textFill>
            <w14:solidFill>
              <w14:schemeClr w14:val="tx1"/>
            </w14:solidFill>
          </w14:textFill>
        </w:rPr>
        <w:t xml:space="preserve"> [J]. Laryngoscope, 2018, 128 Suppl 3: S1-S17.</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w:t>
      </w:r>
    </w:p>
    <w:p w14:paraId="2B28EBCF">
      <w:pPr>
        <w:pStyle w:val="39"/>
        <w:numPr>
          <w:ilvl w:val="0"/>
          <w:numId w:val="8"/>
        </w:numPr>
        <w:shd w:val="clea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1412875</wp:posOffset>
                </wp:positionH>
                <wp:positionV relativeFrom="paragraph">
                  <wp:posOffset>1356995</wp:posOffset>
                </wp:positionV>
                <wp:extent cx="1480185" cy="0"/>
                <wp:effectExtent l="0" t="0" r="0" b="0"/>
                <wp:wrapNone/>
                <wp:docPr id="679637015" name="直接连接符 8"/>
                <wp:cNvGraphicFramePr/>
                <a:graphic xmlns:a="http://schemas.openxmlformats.org/drawingml/2006/main">
                  <a:graphicData uri="http://schemas.microsoft.com/office/word/2010/wordprocessingShape">
                    <wps:wsp>
                      <wps:cNvCnPr/>
                      <wps:spPr>
                        <a:xfrm>
                          <a:off x="0" y="0"/>
                          <a:ext cx="147995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8" o:spid="_x0000_s1026" o:spt="20" style="position:absolute;left:0pt;margin-left:111.25pt;margin-top:106.85pt;height:0pt;width:116.55pt;z-index:251663360;mso-width-relative:page;mso-height-relative:page;" filled="f" stroked="t" coordsize="21600,21600" o:gfxdata="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RaUtdkAAAALAQAADwAAAAAAAAABACAAAAAiAAAAZHJzL2Rvd25yZXYueG1sUEsBAhQAFAAAAAgA&#10;h07iQCzMDgnrAQAAugMAAA4AAAAAAAAAAQAgAAAAKAEAAGRycy9lMm9Eb2MueG1sUEsFBgAAAAAG&#10;AAYAWQEAAIUFAAAAAA==&#10;">
                <v:fill on="f" focussize="0,0"/>
                <v:stroke weight="1pt" color="#000000 [3200]" miterlimit="8" joinstyle="miter"/>
                <v:imagedata o:title=""/>
                <o:lock v:ext="edit" aspectratio="f"/>
              </v:line>
            </w:pict>
          </mc:Fallback>
        </mc:AlternateContent>
      </w:r>
      <w:r>
        <w:rPr>
          <w:rFonts w:hint="eastAsia" w:ascii="Times New Roman" w:hAnsi="Times New Roman" w:eastAsia="宋体" w:cs="Times New Roman"/>
          <w:color w:val="000000" w:themeColor="text1"/>
          <w:sz w:val="21"/>
          <w:szCs w:val="21"/>
          <w:highlight w:val="none"/>
          <w14:textFill>
            <w14:solidFill>
              <w14:schemeClr w14:val="tx1"/>
            </w14:solidFill>
          </w14:textFill>
        </w:rPr>
        <w:t>寇杰栋</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赵诣深</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梁楠</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术中神经监测信号丢失对全切甲状腺手术决策的影响</w:t>
      </w:r>
      <w:r>
        <w:rPr>
          <w:rFonts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中西方观点异同</w:t>
      </w:r>
      <w:r>
        <w:rPr>
          <w:rFonts w:ascii="Times New Roman" w:hAnsi="Times New Roman" w:eastAsia="宋体" w:cs="Times New Roman"/>
          <w:color w:val="000000" w:themeColor="text1"/>
          <w:sz w:val="21"/>
          <w:szCs w:val="21"/>
          <w:highlight w:val="none"/>
          <w14:textFill>
            <w14:solidFill>
              <w14:schemeClr w14:val="tx1"/>
            </w14:solidFill>
          </w14:textFill>
        </w:rPr>
        <w:t>[J].</w:t>
      </w:r>
      <w:r>
        <w:rPr>
          <w:rFonts w:hint="eastAsia" w:ascii="Times New Roman" w:hAnsi="Times New Roman" w:eastAsia="宋体" w:cs="Times New Roman"/>
          <w:color w:val="000000" w:themeColor="text1"/>
          <w:sz w:val="21"/>
          <w:szCs w:val="21"/>
          <w:highlight w:val="none"/>
          <w14:textFill>
            <w14:solidFill>
              <w14:schemeClr w14:val="tx1"/>
            </w14:solidFill>
          </w14:textFill>
        </w:rPr>
        <w:t>中华内分泌外科杂志</w:t>
      </w:r>
      <w:r>
        <w:rPr>
          <w:rFonts w:ascii="Times New Roman" w:hAnsi="Times New Roman" w:eastAsia="宋体" w:cs="Times New Roman"/>
          <w:color w:val="000000" w:themeColor="text1"/>
          <w:sz w:val="21"/>
          <w:szCs w:val="21"/>
          <w:highlight w:val="none"/>
          <w14:textFill>
            <w14:solidFill>
              <w14:schemeClr w14:val="tx1"/>
            </w14:solidFill>
          </w14:textFill>
        </w:rPr>
        <w:t>,2022,16(4): 503-505.</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【请确认标题准确性】</w:t>
      </w:r>
    </w:p>
    <w:p w14:paraId="2C09D7C3">
      <w:pPr>
        <w:bidi w:val="0"/>
      </w:pPr>
    </w:p>
    <w:p w14:paraId="53B6EFE0">
      <w:pPr>
        <w:bidi w:val="0"/>
      </w:pPr>
    </w:p>
    <w:p w14:paraId="4E0E0802">
      <w:pPr>
        <w:bidi w:val="0"/>
      </w:pPr>
    </w:p>
    <w:p w14:paraId="7E2A9690">
      <w:pPr>
        <w:bidi w:val="0"/>
      </w:pPr>
    </w:p>
    <w:p w14:paraId="40437BCC">
      <w:pPr>
        <w:bidi w:val="0"/>
      </w:pPr>
    </w:p>
    <w:p w14:paraId="4BBA357D">
      <w:pPr>
        <w:bidi w:val="0"/>
      </w:pPr>
    </w:p>
    <w:p w14:paraId="1E0E06C3">
      <w:pPr>
        <w:bidi w:val="0"/>
      </w:pPr>
    </w:p>
    <w:p w14:paraId="3C47BF9F">
      <w:pPr>
        <w:bidi w:val="0"/>
      </w:pPr>
    </w:p>
    <w:p w14:paraId="2828AD20">
      <w:pPr>
        <w:bidi w:val="0"/>
      </w:pPr>
    </w:p>
    <w:p w14:paraId="1051B50F">
      <w:pPr>
        <w:bidi w:val="0"/>
        <w:jc w:val="righ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 New Roman Regular">
    <w:altName w:val="Times New Roman"/>
    <w:panose1 w:val="00000000000000000000"/>
    <w:charset w:val="00"/>
    <w:family w:val="auto"/>
    <w:pitch w:val="default"/>
    <w:sig w:usb0="00000000" w:usb1="00000000" w:usb2="00000001" w:usb3="00000000" w:csb0="400001BF" w:csb1="DFF70000"/>
  </w:font>
  <w:font w:name=".pingfang sc">
    <w:altName w:val="Calibri"/>
    <w:panose1 w:val="00000000000000000000"/>
    <w:charset w:val="00"/>
    <w:family w:val="auto"/>
    <w:pitch w:val="default"/>
    <w:sig w:usb0="00000000" w:usb1="00000000" w:usb2="00000001" w:usb3="00000000" w:csb0="400001BF" w:csb1="DFF70000"/>
  </w:font>
  <w:font w:name="Helvetica Neue">
    <w:altName w:val="Times New Roman"/>
    <w:panose1 w:val="00000000000000000000"/>
    <w:charset w:val="00"/>
    <w:family w:val="auto"/>
    <w:pitch w:val="default"/>
    <w:sig w:usb0="00000000" w:usb1="00000000" w:usb2="00000010" w:usb3="00000000" w:csb0="00000001" w:csb1="00000000"/>
  </w:font>
  <w:font w:name="Heiti SC Medium">
    <w:altName w:val="Yu Gothic"/>
    <w:panose1 w:val="00000000000000000000"/>
    <w:charset w:val="80"/>
    <w:family w:val="auto"/>
    <w:pitch w:val="default"/>
    <w:sig w:usb0="00000000" w:usb1="00000000" w:usb2="00000010" w:usb3="00000000" w:csb0="003E0001" w:csb1="00000000"/>
  </w:font>
  <w:font w:name="Yu Gothic">
    <w:panose1 w:val="020B04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42EF0">
    <w:pPr>
      <w:pStyle w:val="13"/>
      <w:jc w:val="right"/>
      <w:rPr>
        <w:rFonts w:hint="eastAsia"/>
      </w:rPr>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41628442"/>
                          </w:sdtPr>
                          <w:sdtContent>
                            <w:p w14:paraId="39A86616">
                              <w:pPr>
                                <w:pStyle w:val="13"/>
                                <w:jc w:val="right"/>
                                <w:rPr>
                                  <w:rFonts w:hint="eastAsia"/>
                                </w:rPr>
                              </w:pPr>
                              <w:r>
                                <w:fldChar w:fldCharType="begin"/>
                              </w:r>
                              <w:r>
                                <w:instrText xml:space="preserve">PAGE   \* MERGEFORMAT</w:instrText>
                              </w:r>
                              <w:r>
                                <w:fldChar w:fldCharType="separate"/>
                              </w:r>
                              <w:r>
                                <w:rPr>
                                  <w:lang w:val="zh-CN"/>
                                </w:rPr>
                                <w:t>15</w:t>
                              </w:r>
                              <w:r>
                                <w:fldChar w:fldCharType="end"/>
                              </w:r>
                            </w:p>
                          </w:sdtContent>
                        </w:sdt>
                        <w:p w14:paraId="29BEAF6C">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741628442"/>
                    </w:sdtPr>
                    <w:sdtContent>
                      <w:p w14:paraId="39A86616">
                        <w:pPr>
                          <w:pStyle w:val="13"/>
                          <w:jc w:val="right"/>
                          <w:rPr>
                            <w:rFonts w:hint="eastAsia"/>
                          </w:rPr>
                        </w:pPr>
                        <w:r>
                          <w:fldChar w:fldCharType="begin"/>
                        </w:r>
                        <w:r>
                          <w:instrText xml:space="preserve">PAGE   \* MERGEFORMAT</w:instrText>
                        </w:r>
                        <w:r>
                          <w:fldChar w:fldCharType="separate"/>
                        </w:r>
                        <w:r>
                          <w:rPr>
                            <w:lang w:val="zh-CN"/>
                          </w:rPr>
                          <w:t>15</w:t>
                        </w:r>
                        <w:r>
                          <w:fldChar w:fldCharType="end"/>
                        </w:r>
                      </w:p>
                    </w:sdtContent>
                  </w:sdt>
                  <w:p w14:paraId="29BEAF6C">
                    <w:pPr>
                      <w:rPr>
                        <w:rFonts w:hint="eastAsia"/>
                      </w:rPr>
                    </w:pPr>
                  </w:p>
                </w:txbxContent>
              </v:textbox>
            </v:shape>
          </w:pict>
        </mc:Fallback>
      </mc:AlternateContent>
    </w:r>
  </w:p>
  <w:p w14:paraId="7FD915A5">
    <w:pPr>
      <w:pStyle w:val="13"/>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C9BE8">
    <w:pPr>
      <w:pStyle w:val="13"/>
      <w:rPr>
        <w:rFonts w:hint="eastAsia"/>
      </w:rP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F96B5B">
                          <w:pPr>
                            <w:pStyle w:val="13"/>
                            <w:rPr>
                              <w:rFonts w:hint="eastAsia"/>
                            </w:rPr>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4F96B5B">
                    <w:pPr>
                      <w:pStyle w:val="13"/>
                      <w:rPr>
                        <w:rFonts w:hint="eastAsia"/>
                      </w:rPr>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EA71E">
    <w:pPr>
      <w:pStyle w:val="13"/>
      <w:rPr>
        <w:rFonts w:hint="eastAsia"/>
      </w:rP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C0911B">
                          <w:pPr>
                            <w:pStyle w:val="13"/>
                            <w:rPr>
                              <w:rFonts w:hint="eastAsia"/>
                            </w:rPr>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EC0911B">
                    <w:pPr>
                      <w:pStyle w:val="13"/>
                      <w:rPr>
                        <w:rFonts w:hint="eastAsia"/>
                      </w:rPr>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182F2">
    <w:pPr>
      <w:pStyle w:val="13"/>
      <w:rPr>
        <w:rFonts w:hint="eastAsia"/>
      </w:rPr>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6B02A0">
                          <w:pPr>
                            <w:pStyle w:val="1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E6B02A0">
                    <w:pPr>
                      <w:pStyle w:val="1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3915C">
    <w:pPr>
      <w:pStyle w:val="13"/>
      <w:jc w:val="right"/>
      <w:rPr>
        <w:rFonts w:hint="eastAsia"/>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BE089">
                          <w:pPr>
                            <w:pStyle w:val="13"/>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I</w:t>
                          </w:r>
                          <w:r>
                            <w:rPr>
                              <w:rFonts w:ascii="Times New Roman" w:hAnsi="Times New Roman" w:eastAsia="宋体"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1BE089">
                    <w:pPr>
                      <w:pStyle w:val="13"/>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I</w:t>
                    </w:r>
                    <w:r>
                      <w:rPr>
                        <w:rFonts w:ascii="Times New Roman" w:hAnsi="Times New Roman" w:eastAsia="宋体" w:cs="Times New Roman"/>
                      </w:rPr>
                      <w:fldChar w:fldCharType="end"/>
                    </w:r>
                  </w:p>
                </w:txbxContent>
              </v:textbox>
            </v:shape>
          </w:pict>
        </mc:Fallback>
      </mc:AlternateContent>
    </w:r>
  </w:p>
  <w:p w14:paraId="6368A86B">
    <w:pPr>
      <w:pStyle w:val="13"/>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F6C46">
    <w:pPr>
      <w:pStyle w:val="13"/>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46330">
    <w:pPr>
      <w:pStyle w:val="13"/>
      <w:jc w:val="right"/>
      <w:rPr>
        <w:rFonts w:hint="eastAsia"/>
      </w:rPr>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16470785" name="文本框 9164707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E3290B">
                          <w:pPr>
                            <w:pStyle w:val="13"/>
                            <w:rPr>
                              <w:rFonts w:hint="eastAsia"/>
                            </w:rPr>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Hh1Cx02AgAAZQQAAA4AAAAAAAAAAQAgAAAAHwEAAGRycy9lMm9Eb2MueG1s&#10;UEsFBgAAAAAGAAYAWQEAAMcFAAAAAA==&#10;">
              <v:fill on="f" focussize="0,0"/>
              <v:stroke on="f" weight="0.5pt"/>
              <v:imagedata o:title=""/>
              <o:lock v:ext="edit" aspectratio="f"/>
              <v:textbox inset="0mm,0mm,0mm,0mm" style="mso-fit-shape-to-text:t;">
                <w:txbxContent>
                  <w:p w14:paraId="7FE3290B">
                    <w:pPr>
                      <w:pStyle w:val="13"/>
                      <w:rPr>
                        <w:rFonts w:hint="eastAsia"/>
                      </w:rPr>
                    </w:pPr>
                    <w:r>
                      <w:fldChar w:fldCharType="begin"/>
                    </w:r>
                    <w:r>
                      <w:instrText xml:space="preserve"> PAGE  \* MERGEFORMAT </w:instrText>
                    </w:r>
                    <w:r>
                      <w:fldChar w:fldCharType="separate"/>
                    </w:r>
                    <w:r>
                      <w:t>III</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inside</wp:align>
              </wp:positionH>
              <wp:positionV relativeFrom="paragraph">
                <wp:posOffset>0</wp:posOffset>
              </wp:positionV>
              <wp:extent cx="1828800" cy="1828800"/>
              <wp:effectExtent l="0" t="0" r="0" b="0"/>
              <wp:wrapNone/>
              <wp:docPr id="186652584" name="文本框 1866525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281ABC">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5wIYszAgAAZQQAAA4AAAAAAAAAAQAgAAAAHwEAAGRycy9lMm9Eb2MueG1sUEsF&#10;BgAAAAAGAAYAWQEAAMQFAAAAAA==&#10;">
              <v:fill on="f" focussize="0,0"/>
              <v:stroke on="f" weight="0.5pt"/>
              <v:imagedata o:title=""/>
              <o:lock v:ext="edit" aspectratio="f"/>
              <v:textbox inset="0mm,0mm,0mm,0mm" style="mso-fit-shape-to-text:t;">
                <w:txbxContent>
                  <w:p w14:paraId="20281ABC">
                    <w:pPr>
                      <w:rPr>
                        <w:rFonts w:hint="eastAsia"/>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F7A15">
    <w:pPr>
      <w:pStyle w:val="14"/>
      <w:pBdr>
        <w:bottom w:val="none" w:color="auto" w:sz="0" w:space="1"/>
      </w:pBdr>
      <w:jc w:val="right"/>
      <w:rPr>
        <w:rFonts w:ascii="Times New Roman" w:hAnsi="Times New Roman" w:eastAsia="宋体" w:cs="Times New Roman"/>
      </w:rPr>
    </w:pPr>
    <w:r>
      <w:rPr>
        <w:rFonts w:hint="eastAsia" w:ascii="Times New Roman" w:hAnsi="Times New Roman" w:eastAsia="宋体" w:cs="Times New Roman"/>
      </w:rPr>
      <w:t>2025001-</w:t>
    </w:r>
    <w:r>
      <w:rPr>
        <w:rFonts w:ascii="Times New Roman" w:hAnsi="Times New Roman" w:eastAsia="宋体" w:cs="Times New Roman"/>
      </w:rPr>
      <w:t>CRHA</w:t>
    </w:r>
    <w:r>
      <w:rPr>
        <w:rFonts w:hint="eastAsia" w:ascii="Times New Roman" w:hAnsi="Times New Roman" w:eastAsia="宋体" w:cs="Times New Roman"/>
      </w:rPr>
      <w:t>-131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34D05">
    <w:pPr>
      <w:pStyle w:val="14"/>
      <w:pBdr>
        <w:bottom w:val="none" w:color="auto" w:sz="0" w:space="1"/>
      </w:pBdr>
      <w:jc w:val="left"/>
      <w:rPr>
        <w:rFonts w:hint="eastAsia"/>
      </w:rPr>
    </w:pPr>
    <w:r>
      <w:rPr>
        <w:rFonts w:hint="eastAsia" w:ascii="Times New Roman" w:hAnsi="Times New Roman" w:eastAsia="宋体" w:cs="Times New Roman"/>
        <w:b/>
        <w:bCs/>
        <w:sz w:val="21"/>
        <w:szCs w:val="21"/>
        <w:lang w:val="en-US" w:eastAsia="zh-CN"/>
      </w:rPr>
      <w:t>T/</w:t>
    </w:r>
    <w:r>
      <w:rPr>
        <w:rFonts w:ascii="Times New Roman" w:hAnsi="Times New Roman" w:eastAsia="宋体" w:cs="Times New Roman"/>
        <w:b/>
        <w:bCs/>
        <w:sz w:val="21"/>
        <w:szCs w:val="21"/>
      </w:rPr>
      <w:t>CRHA</w:t>
    </w:r>
    <w:r>
      <w:rPr>
        <w:rFonts w:hint="eastAsia" w:ascii="Times New Roman" w:hAnsi="Times New Roman" w:eastAsia="宋体" w:cs="Times New Roman"/>
        <w:b/>
        <w:bCs/>
        <w:sz w:val="21"/>
        <w:szCs w:val="21"/>
        <w:lang w:val="en-US" w:eastAsia="zh-CN"/>
      </w:rPr>
      <w:t xml:space="preserve"> </w:t>
    </w:r>
    <w:r>
      <w:rPr>
        <w:rFonts w:hint="eastAsia" w:ascii="Times New Roman" w:hAnsi="Times New Roman" w:eastAsia="宋体" w:cs="Times New Roman"/>
        <w:b/>
        <w:bCs/>
        <w:sz w:val="21"/>
        <w:szCs w:val="21"/>
      </w:rPr>
      <w:t>131</w:t>
    </w:r>
    <w:r>
      <w:rPr>
        <w:rFonts w:hint="eastAsia" w:ascii="Times New Roman" w:hAnsi="Times New Roman" w:eastAsia="宋体" w:cs="Times New Roman"/>
        <w:b/>
        <w:bCs/>
        <w:sz w:val="21"/>
        <w:szCs w:val="21"/>
        <w:lang w:eastAsia="zh-CN"/>
      </w:rPr>
      <w:t>—</w:t>
    </w:r>
    <w:r>
      <w:rPr>
        <w:rFonts w:hint="eastAsia" w:ascii="Times New Roman" w:hAnsi="Times New Roman" w:eastAsia="宋体" w:cs="Times New Roman"/>
        <w:b/>
        <w:bCs/>
        <w:sz w:val="21"/>
        <w:szCs w:val="21"/>
        <w:lang w:val="en-US" w:eastAsia="zh-CN"/>
      </w:rPr>
      <w:t>202X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7FC7A">
    <w:pPr>
      <w:pStyle w:val="14"/>
      <w:pBdr>
        <w:bottom w:val="none" w:color="auto" w:sz="0" w:space="1"/>
      </w:pBdr>
      <w:jc w:val="right"/>
      <w:rPr>
        <w:rFonts w:hint="default" w:ascii="Times New Roman" w:hAnsi="Times New Roman" w:eastAsia="宋体" w:cs="Times New Roman"/>
        <w:lang w:val="en-US" w:eastAsia="zh-CN"/>
      </w:rPr>
    </w:pPr>
    <w:r>
      <w:rPr>
        <w:rFonts w:hint="eastAsia" w:ascii="Times New Roman" w:hAnsi="Times New Roman" w:eastAsia="宋体" w:cs="Times New Roman"/>
        <w:b/>
        <w:bCs/>
        <w:sz w:val="21"/>
        <w:szCs w:val="21"/>
        <w:lang w:val="en-US" w:eastAsia="zh-CN"/>
      </w:rPr>
      <w:t>T/</w:t>
    </w:r>
    <w:r>
      <w:rPr>
        <w:rFonts w:ascii="Times New Roman" w:hAnsi="Times New Roman" w:eastAsia="宋体" w:cs="Times New Roman"/>
        <w:b/>
        <w:bCs/>
        <w:sz w:val="21"/>
        <w:szCs w:val="21"/>
      </w:rPr>
      <w:t>CRHA</w:t>
    </w:r>
    <w:r>
      <w:rPr>
        <w:rFonts w:hint="eastAsia" w:ascii="Times New Roman" w:hAnsi="Times New Roman" w:eastAsia="宋体" w:cs="Times New Roman"/>
        <w:b/>
        <w:bCs/>
        <w:sz w:val="21"/>
        <w:szCs w:val="21"/>
        <w:lang w:val="en-US" w:eastAsia="zh-CN"/>
      </w:rPr>
      <w:t xml:space="preserve"> </w:t>
    </w:r>
    <w:r>
      <w:rPr>
        <w:rFonts w:hint="eastAsia" w:ascii="Times New Roman" w:hAnsi="Times New Roman" w:eastAsia="宋体" w:cs="Times New Roman"/>
        <w:b/>
        <w:bCs/>
        <w:sz w:val="21"/>
        <w:szCs w:val="21"/>
      </w:rPr>
      <w:t>131</w:t>
    </w:r>
    <w:r>
      <w:rPr>
        <w:rFonts w:hint="eastAsia" w:ascii="Times New Roman" w:hAnsi="Times New Roman" w:eastAsia="宋体" w:cs="Times New Roman"/>
        <w:b/>
        <w:bCs/>
        <w:sz w:val="21"/>
        <w:szCs w:val="21"/>
        <w:lang w:eastAsia="zh-CN"/>
      </w:rPr>
      <w:t>—</w:t>
    </w:r>
    <w:r>
      <w:rPr>
        <w:rFonts w:hint="eastAsia" w:ascii="Times New Roman" w:hAnsi="Times New Roman" w:eastAsia="宋体" w:cs="Times New Roman"/>
        <w:b/>
        <w:bCs/>
        <w:sz w:val="21"/>
        <w:szCs w:val="21"/>
        <w:lang w:val="en-US" w:eastAsia="zh-CN"/>
      </w:rPr>
      <w:t>202X</w:t>
    </w:r>
  </w:p>
  <w:p w14:paraId="424A6797">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EBF907"/>
    <w:multiLevelType w:val="multilevel"/>
    <w:tmpl w:val="CBEBF907"/>
    <w:lvl w:ilvl="0" w:tentative="0">
      <w:start w:val="1"/>
      <w:numFmt w:val="lowerLetter"/>
      <w:pStyle w:val="76"/>
      <w:lvlText w:val="%1)"/>
      <w:lvlJc w:val="left"/>
      <w:pPr>
        <w:tabs>
          <w:tab w:val="left" w:pos="851"/>
        </w:tabs>
        <w:ind w:left="851" w:hanging="426"/>
      </w:pPr>
      <w:rPr>
        <w:rFonts w:hint="eastAsia" w:ascii="宋体" w:hAnsi="Times New Roman" w:eastAsia="宋体"/>
        <w:sz w:val="21"/>
      </w:rPr>
    </w:lvl>
    <w:lvl w:ilvl="1" w:tentative="0">
      <w:start w:val="1"/>
      <w:numFmt w:val="lowerLetter"/>
      <w:pStyle w:val="71"/>
      <w:lvlText w:val="%2)"/>
      <w:lvlJc w:val="left"/>
      <w:pPr>
        <w:tabs>
          <w:tab w:val="left" w:pos="1276"/>
        </w:tabs>
        <w:ind w:left="1276" w:hanging="425"/>
      </w:pPr>
      <w:rPr>
        <w:rFonts w:hint="default" w:ascii="宋体" w:hAnsi="宋体" w:eastAsia="宋体" w:cs="宋体"/>
        <w:sz w:val="21"/>
      </w:rPr>
    </w:lvl>
    <w:lvl w:ilvl="2" w:tentative="0">
      <w:start w:val="1"/>
      <w:numFmt w:val="decimal"/>
      <w:pStyle w:val="72"/>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
    <w:nsid w:val="FEFAAF5E"/>
    <w:multiLevelType w:val="multilevel"/>
    <w:tmpl w:val="FEFAAF5E"/>
    <w:lvl w:ilvl="0" w:tentative="0">
      <w:start w:val="1"/>
      <w:numFmt w:val="decimal"/>
      <w:lvlText w:val="%1"/>
      <w:lvlJc w:val="left"/>
      <w:pPr>
        <w:ind w:left="0" w:firstLine="0"/>
      </w:pPr>
      <w:rPr>
        <w:rFonts w:hint="default" w:ascii="黑体" w:hAnsi="黑体" w:eastAsia="黑体" w:cs="Heiti SC Medium"/>
        <w:i w:val="0"/>
        <w:szCs w:val="21"/>
      </w:rPr>
    </w:lvl>
    <w:lvl w:ilvl="1" w:tentative="0">
      <w:start w:val="1"/>
      <w:numFmt w:val="decimal"/>
      <w:lvlText w:val="%1.%2"/>
      <w:lvlJc w:val="left"/>
      <w:pPr>
        <w:ind w:left="0" w:firstLine="0"/>
      </w:pPr>
      <w:rPr>
        <w:rFonts w:hint="default" w:ascii="黑体" w:hAnsi="黑体" w:eastAsia="黑体" w:cs="黑体"/>
        <w:b w:val="0"/>
        <w:bCs w:val="0"/>
        <w:szCs w:val="21"/>
      </w:rPr>
    </w:lvl>
    <w:lvl w:ilvl="2" w:tentative="0">
      <w:start w:val="1"/>
      <w:numFmt w:val="decimal"/>
      <w:lvlText w:val="%1.%2.%3"/>
      <w:lvlJc w:val="left"/>
      <w:pPr>
        <w:ind w:left="0" w:firstLine="0"/>
      </w:pPr>
      <w:rPr>
        <w:rFonts w:hint="default" w:ascii="黑体" w:hAnsi="黑体" w:eastAsia="黑体" w:cs="黑体"/>
        <w:b w:val="0"/>
        <w:bCs w:val="0"/>
      </w:rPr>
    </w:lvl>
    <w:lvl w:ilvl="3" w:tentative="0">
      <w:start w:val="1"/>
      <w:numFmt w:val="decimal"/>
      <w:lvlText w:val="%1.%2.%3.%4"/>
      <w:lvlJc w:val="left"/>
      <w:pPr>
        <w:ind w:left="284" w:hanging="284"/>
      </w:pPr>
      <w:rPr>
        <w:rFonts w:hint="default" w:ascii="黑体" w:hAnsi="黑体" w:eastAsia="黑体" w:cs="黑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284" w:hanging="284"/>
      </w:pPr>
      <w:rPr>
        <w:rFonts w:hint="eastAsia"/>
      </w:rPr>
    </w:lvl>
    <w:lvl w:ilvl="7" w:tentative="0">
      <w:start w:val="1"/>
      <w:numFmt w:val="decimal"/>
      <w:lvlText w:val="%1.%2.%3.%4.%5.%6.%7.%8."/>
      <w:lvlJc w:val="left"/>
      <w:pPr>
        <w:ind w:left="284" w:hanging="284"/>
      </w:pPr>
      <w:rPr>
        <w:rFonts w:hint="eastAsia"/>
      </w:rPr>
    </w:lvl>
    <w:lvl w:ilvl="8" w:tentative="0">
      <w:start w:val="1"/>
      <w:numFmt w:val="decimal"/>
      <w:lvlText w:val="%1.%2.%3.%4.%5.%6.%7.%8.%9."/>
      <w:lvlJc w:val="left"/>
      <w:pPr>
        <w:ind w:left="284" w:hanging="284"/>
      </w:pPr>
      <w:rPr>
        <w:rFonts w:hint="eastAsia"/>
      </w:rPr>
    </w:lvl>
  </w:abstractNum>
  <w:abstractNum w:abstractNumId="2">
    <w:nsid w:val="19D7E6F1"/>
    <w:multiLevelType w:val="multilevel"/>
    <w:tmpl w:val="19D7E6F1"/>
    <w:lvl w:ilvl="0" w:tentative="0">
      <w:start w:val="1"/>
      <w:numFmt w:val="lowerLetter"/>
      <w:lvlText w:val="%1)"/>
      <w:lvlJc w:val="left"/>
      <w:pPr>
        <w:ind w:left="1291" w:hanging="440"/>
      </w:pPr>
      <w:rPr>
        <w:rFonts w:hint="default" w:ascii="宋体" w:hAnsi="宋体" w:eastAsia="宋体" w:cs="宋体"/>
      </w:rPr>
    </w:lvl>
    <w:lvl w:ilvl="1" w:tentative="0">
      <w:start w:val="1"/>
      <w:numFmt w:val="lowerLetter"/>
      <w:lvlText w:val="%2)"/>
      <w:lvlJc w:val="left"/>
      <w:pPr>
        <w:ind w:left="1731" w:hanging="440"/>
      </w:pPr>
    </w:lvl>
    <w:lvl w:ilvl="2" w:tentative="0">
      <w:start w:val="1"/>
      <w:numFmt w:val="lowerRoman"/>
      <w:lvlText w:val="%3."/>
      <w:lvlJc w:val="right"/>
      <w:pPr>
        <w:ind w:left="2171" w:hanging="440"/>
      </w:pPr>
    </w:lvl>
    <w:lvl w:ilvl="3" w:tentative="0">
      <w:start w:val="1"/>
      <w:numFmt w:val="decimal"/>
      <w:lvlText w:val="%4."/>
      <w:lvlJc w:val="left"/>
      <w:pPr>
        <w:ind w:left="2611" w:hanging="440"/>
      </w:pPr>
    </w:lvl>
    <w:lvl w:ilvl="4" w:tentative="0">
      <w:start w:val="1"/>
      <w:numFmt w:val="lowerLetter"/>
      <w:lvlText w:val="%5)"/>
      <w:lvlJc w:val="left"/>
      <w:pPr>
        <w:ind w:left="3051" w:hanging="440"/>
      </w:pPr>
    </w:lvl>
    <w:lvl w:ilvl="5" w:tentative="0">
      <w:start w:val="1"/>
      <w:numFmt w:val="lowerRoman"/>
      <w:lvlText w:val="%6."/>
      <w:lvlJc w:val="right"/>
      <w:pPr>
        <w:ind w:left="3491" w:hanging="440"/>
      </w:pPr>
    </w:lvl>
    <w:lvl w:ilvl="6" w:tentative="0">
      <w:start w:val="1"/>
      <w:numFmt w:val="decimal"/>
      <w:lvlText w:val="%7."/>
      <w:lvlJc w:val="left"/>
      <w:pPr>
        <w:ind w:left="3931" w:hanging="440"/>
      </w:pPr>
    </w:lvl>
    <w:lvl w:ilvl="7" w:tentative="0">
      <w:start w:val="1"/>
      <w:numFmt w:val="lowerLetter"/>
      <w:lvlText w:val="%8)"/>
      <w:lvlJc w:val="left"/>
      <w:pPr>
        <w:ind w:left="4371" w:hanging="440"/>
      </w:pPr>
    </w:lvl>
    <w:lvl w:ilvl="8" w:tentative="0">
      <w:start w:val="1"/>
      <w:numFmt w:val="lowerRoman"/>
      <w:lvlText w:val="%9."/>
      <w:lvlJc w:val="right"/>
      <w:pPr>
        <w:ind w:left="4811" w:hanging="440"/>
      </w:pPr>
    </w:lvl>
  </w:abstractNum>
  <w:abstractNum w:abstractNumId="3">
    <w:nsid w:val="1EC809E5"/>
    <w:multiLevelType w:val="multilevel"/>
    <w:tmpl w:val="1EC809E5"/>
    <w:lvl w:ilvl="0" w:tentative="0">
      <w:start w:val="1"/>
      <w:numFmt w:val="decimal"/>
      <w:lvlText w:val="[%1]"/>
      <w:lvlJc w:val="left"/>
      <w:pPr>
        <w:ind w:left="440" w:hanging="440"/>
      </w:pPr>
      <w:rPr>
        <w:rFonts w:hint="eastAsia"/>
        <w:b w:val="0"/>
        <w:bCs w:val="0"/>
        <w:color w:val="auto"/>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2C5917C3"/>
    <w:multiLevelType w:val="multilevel"/>
    <w:tmpl w:val="2C5917C3"/>
    <w:lvl w:ilvl="0" w:tentative="0">
      <w:start w:val="1"/>
      <w:numFmt w:val="none"/>
      <w:pStyle w:val="73"/>
      <w:lvlText w:val="%1——"/>
      <w:lvlJc w:val="left"/>
      <w:pPr>
        <w:tabs>
          <w:tab w:val="left" w:pos="567"/>
        </w:tabs>
        <w:ind w:left="567" w:hanging="426"/>
      </w:pPr>
      <w:rPr>
        <w:rFonts w:hint="eastAsia" w:ascii="宋体" w:hAnsi="Times New Roman" w:eastAsia="宋体"/>
        <w:b w:val="0"/>
        <w:i w:val="0"/>
        <w:sz w:val="21"/>
        <w:lang w:val="en-US"/>
      </w:rPr>
    </w:lvl>
    <w:lvl w:ilvl="1" w:tentative="0">
      <w:start w:val="1"/>
      <w:numFmt w:val="none"/>
      <w:pStyle w:val="78"/>
      <w:lvlText w:val=""/>
      <w:lvlJc w:val="left"/>
      <w:pPr>
        <w:ind w:left="851" w:hanging="431"/>
      </w:pPr>
      <w:rPr>
        <w:rFonts w:hint="default" w:ascii="Symbol" w:hAnsi="Symbol"/>
        <w:sz w:val="21"/>
      </w:rPr>
    </w:lvl>
    <w:lvl w:ilvl="2" w:tentative="0">
      <w:start w:val="1"/>
      <w:numFmt w:val="bullet"/>
      <w:pStyle w:val="75"/>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5">
    <w:nsid w:val="363BEDD0"/>
    <w:multiLevelType w:val="multilevel"/>
    <w:tmpl w:val="363BEDD0"/>
    <w:lvl w:ilvl="0" w:tentative="0">
      <w:start w:val="1"/>
      <w:numFmt w:val="lowerLetter"/>
      <w:lvlText w:val="%1)"/>
      <w:lvlJc w:val="left"/>
      <w:pPr>
        <w:ind w:left="1291" w:hanging="440"/>
      </w:pPr>
      <w:rPr>
        <w:rFonts w:hint="default" w:ascii="宋体" w:hAnsi="宋体" w:eastAsia="宋体" w:cs="宋体"/>
      </w:rPr>
    </w:lvl>
    <w:lvl w:ilvl="1" w:tentative="0">
      <w:start w:val="1"/>
      <w:numFmt w:val="lowerLetter"/>
      <w:lvlText w:val="%2)"/>
      <w:lvlJc w:val="left"/>
      <w:pPr>
        <w:ind w:left="1731" w:hanging="440"/>
      </w:pPr>
    </w:lvl>
    <w:lvl w:ilvl="2" w:tentative="0">
      <w:start w:val="1"/>
      <w:numFmt w:val="lowerRoman"/>
      <w:pStyle w:val="79"/>
      <w:lvlText w:val="%3."/>
      <w:lvlJc w:val="right"/>
      <w:pPr>
        <w:ind w:left="2171" w:hanging="440"/>
      </w:pPr>
    </w:lvl>
    <w:lvl w:ilvl="3" w:tentative="0">
      <w:start w:val="1"/>
      <w:numFmt w:val="decimal"/>
      <w:lvlText w:val="%4."/>
      <w:lvlJc w:val="left"/>
      <w:pPr>
        <w:ind w:left="2611" w:hanging="440"/>
      </w:pPr>
    </w:lvl>
    <w:lvl w:ilvl="4" w:tentative="0">
      <w:start w:val="1"/>
      <w:numFmt w:val="lowerLetter"/>
      <w:lvlText w:val="%5)"/>
      <w:lvlJc w:val="left"/>
      <w:pPr>
        <w:ind w:left="3051" w:hanging="440"/>
      </w:pPr>
    </w:lvl>
    <w:lvl w:ilvl="5" w:tentative="0">
      <w:start w:val="1"/>
      <w:numFmt w:val="lowerRoman"/>
      <w:lvlText w:val="%6."/>
      <w:lvlJc w:val="right"/>
      <w:pPr>
        <w:ind w:left="3491" w:hanging="440"/>
      </w:pPr>
    </w:lvl>
    <w:lvl w:ilvl="6" w:tentative="0">
      <w:start w:val="1"/>
      <w:numFmt w:val="decimal"/>
      <w:lvlText w:val="%7."/>
      <w:lvlJc w:val="left"/>
      <w:pPr>
        <w:ind w:left="3931" w:hanging="440"/>
      </w:pPr>
    </w:lvl>
    <w:lvl w:ilvl="7" w:tentative="0">
      <w:start w:val="1"/>
      <w:numFmt w:val="lowerLetter"/>
      <w:lvlText w:val="%8)"/>
      <w:lvlJc w:val="left"/>
      <w:pPr>
        <w:ind w:left="4371" w:hanging="440"/>
      </w:pPr>
    </w:lvl>
    <w:lvl w:ilvl="8" w:tentative="0">
      <w:start w:val="1"/>
      <w:numFmt w:val="lowerRoman"/>
      <w:lvlText w:val="%9."/>
      <w:lvlJc w:val="right"/>
      <w:pPr>
        <w:ind w:left="4811" w:hanging="440"/>
      </w:pPr>
    </w:lvl>
  </w:abstractNum>
  <w:abstractNum w:abstractNumId="6">
    <w:nsid w:val="657D3FBC"/>
    <w:multiLevelType w:val="multilevel"/>
    <w:tmpl w:val="657D3FBC"/>
    <w:lvl w:ilvl="0" w:tentative="0">
      <w:start w:val="1"/>
      <w:numFmt w:val="upperLetter"/>
      <w:pStyle w:val="103"/>
      <w:suff w:val="nothing"/>
      <w:lvlText w:val="附录%1"/>
      <w:lvlJc w:val="left"/>
      <w:pPr>
        <w:ind w:left="0" w:firstLine="0"/>
      </w:pPr>
      <w:rPr>
        <w:rFonts w:hint="eastAsia"/>
        <w:spacing w:val="100"/>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eastAsia="黑体"/>
        <w:b w:val="0"/>
        <w:i w:val="0"/>
        <w:sz w:val="21"/>
      </w:rPr>
    </w:lvl>
    <w:lvl w:ilvl="3" w:tentative="0">
      <w:start w:val="1"/>
      <w:numFmt w:val="decimal"/>
      <w:pStyle w:val="106"/>
      <w:suff w:val="nothing"/>
      <w:lvlText w:val="%1.%2.%3.%4　"/>
      <w:lvlJc w:val="left"/>
      <w:pPr>
        <w:ind w:left="0" w:firstLine="0"/>
      </w:pPr>
      <w:rPr>
        <w:rFonts w:hint="eastAsia" w:ascii="黑体" w:eastAsia="黑体"/>
        <w:b w:val="0"/>
        <w:i w:val="0"/>
        <w:sz w:val="21"/>
      </w:rPr>
    </w:lvl>
    <w:lvl w:ilvl="4" w:tentative="0">
      <w:start w:val="1"/>
      <w:numFmt w:val="decimal"/>
      <w:pStyle w:val="107"/>
      <w:suff w:val="nothing"/>
      <w:lvlText w:val="%1.%2.%3.%4.%5　"/>
      <w:lvlJc w:val="left"/>
      <w:pPr>
        <w:ind w:left="0" w:firstLine="0"/>
      </w:pPr>
      <w:rPr>
        <w:rFonts w:hint="eastAsia" w:ascii="黑体" w:eastAsia="黑体"/>
        <w:b w:val="0"/>
        <w:i w:val="0"/>
        <w:sz w:val="21"/>
      </w:rPr>
    </w:lvl>
    <w:lvl w:ilvl="5" w:tentative="0">
      <w:start w:val="1"/>
      <w:numFmt w:val="decimal"/>
      <w:pStyle w:val="108"/>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CEA2025"/>
    <w:multiLevelType w:val="multilevel"/>
    <w:tmpl w:val="6CEA2025"/>
    <w:lvl w:ilvl="0" w:tentative="0">
      <w:start w:val="1"/>
      <w:numFmt w:val="none"/>
      <w:pStyle w:val="74"/>
      <w:suff w:val="nothing"/>
      <w:lvlText w:val="%1"/>
      <w:lvlJc w:val="left"/>
      <w:pPr>
        <w:ind w:left="0" w:firstLine="0"/>
      </w:pPr>
      <w:rPr>
        <w:rFonts w:hint="eastAsia"/>
      </w:rPr>
    </w:lvl>
    <w:lvl w:ilvl="1" w:tentative="0">
      <w:start w:val="1"/>
      <w:numFmt w:val="decimal"/>
      <w:pStyle w:val="69"/>
      <w:suff w:val="nothing"/>
      <w:lvlText w:val="%1%2　"/>
      <w:lvlJc w:val="left"/>
      <w:pPr>
        <w:ind w:left="0" w:firstLine="0"/>
      </w:pPr>
      <w:rPr>
        <w:rFonts w:hint="eastAsia" w:ascii="黑体" w:eastAsia="黑体"/>
        <w:b w:val="0"/>
        <w:i w:val="0"/>
        <w:sz w:val="21"/>
      </w:rPr>
    </w:lvl>
    <w:lvl w:ilvl="2" w:tentative="0">
      <w:start w:val="1"/>
      <w:numFmt w:val="decimal"/>
      <w:pStyle w:val="7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66"/>
      <w:suff w:val="nothing"/>
      <w:lvlText w:val="%1%2.%3.%4.%5　"/>
      <w:lvlJc w:val="left"/>
      <w:pPr>
        <w:ind w:left="0" w:firstLine="0"/>
      </w:pPr>
      <w:rPr>
        <w:rFonts w:hint="eastAsia" w:ascii="黑体" w:eastAsia="黑体"/>
        <w:b w:val="0"/>
        <w:i w:val="0"/>
        <w:sz w:val="21"/>
      </w:rPr>
    </w:lvl>
    <w:lvl w:ilvl="5" w:tentative="0">
      <w:start w:val="1"/>
      <w:numFmt w:val="decimal"/>
      <w:pStyle w:val="67"/>
      <w:suff w:val="nothing"/>
      <w:lvlText w:val="%1%2.%3.%4.%5.%6　"/>
      <w:lvlJc w:val="left"/>
      <w:pPr>
        <w:ind w:left="0" w:firstLine="0"/>
      </w:pPr>
      <w:rPr>
        <w:rFonts w:hint="eastAsia" w:ascii="黑体" w:eastAsia="黑体"/>
        <w:b w:val="0"/>
        <w:i w:val="0"/>
        <w:sz w:val="21"/>
      </w:rPr>
    </w:lvl>
    <w:lvl w:ilvl="6" w:tentative="0">
      <w:start w:val="1"/>
      <w:numFmt w:val="decimal"/>
      <w:pStyle w:val="68"/>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7"/>
  </w:num>
  <w:num w:numId="2">
    <w:abstractNumId w:val="0"/>
  </w:num>
  <w:num w:numId="3">
    <w:abstractNumId w:val="4"/>
  </w:num>
  <w:num w:numId="4">
    <w:abstractNumId w:val="5"/>
  </w:num>
  <w:num w:numId="5">
    <w:abstractNumId w:val="6"/>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5ZDM0NmQwNjA1OTNjYTgxMWU3ZThlM2E4YzM2ZjQifQ=="/>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z55zesf5zzvs0eave8vaf9nvrdsvdwa5zpa&quot;&gt;Lib-2021-CZS&lt;record-ids&gt;&lt;item&gt;365&lt;/item&gt;&lt;item&gt;367&lt;/item&gt;&lt;item&gt;372&lt;/item&gt;&lt;item&gt;379&lt;/item&gt;&lt;item&gt;385&lt;/item&gt;&lt;item&gt;395&lt;/item&gt;&lt;item&gt;410&lt;/item&gt;&lt;item&gt;414&lt;/item&gt;&lt;item&gt;437&lt;/item&gt;&lt;item&gt;439&lt;/item&gt;&lt;item&gt;440&lt;/item&gt;&lt;item&gt;442&lt;/item&gt;&lt;item&gt;444&lt;/item&gt;&lt;item&gt;445&lt;/item&gt;&lt;item&gt;446&lt;/item&gt;&lt;item&gt;447&lt;/item&gt;&lt;item&gt;448&lt;/item&gt;&lt;item&gt;449&lt;/item&gt;&lt;item&gt;450&lt;/item&gt;&lt;item&gt;451&lt;/item&gt;&lt;item&gt;452&lt;/item&gt;&lt;item&gt;453&lt;/item&gt;&lt;item&gt;454&lt;/item&gt;&lt;/record-ids&gt;&lt;/item&gt;&lt;/Libraries&gt;"/>
  </w:docVars>
  <w:rsids>
    <w:rsidRoot w:val="004833E2"/>
    <w:rsid w:val="0000071D"/>
    <w:rsid w:val="000009C6"/>
    <w:rsid w:val="00001185"/>
    <w:rsid w:val="0000194F"/>
    <w:rsid w:val="00003CA0"/>
    <w:rsid w:val="00003D73"/>
    <w:rsid w:val="00004448"/>
    <w:rsid w:val="00004542"/>
    <w:rsid w:val="00004AA2"/>
    <w:rsid w:val="0000530D"/>
    <w:rsid w:val="000056AB"/>
    <w:rsid w:val="00005D15"/>
    <w:rsid w:val="00005DF2"/>
    <w:rsid w:val="00006072"/>
    <w:rsid w:val="00006E4D"/>
    <w:rsid w:val="00010792"/>
    <w:rsid w:val="00011427"/>
    <w:rsid w:val="0001159E"/>
    <w:rsid w:val="000126AC"/>
    <w:rsid w:val="00013176"/>
    <w:rsid w:val="000137C0"/>
    <w:rsid w:val="0001531B"/>
    <w:rsid w:val="00016619"/>
    <w:rsid w:val="00017252"/>
    <w:rsid w:val="0001783C"/>
    <w:rsid w:val="0002046C"/>
    <w:rsid w:val="00021587"/>
    <w:rsid w:val="0002346E"/>
    <w:rsid w:val="00023811"/>
    <w:rsid w:val="000244F6"/>
    <w:rsid w:val="0002453B"/>
    <w:rsid w:val="0002547B"/>
    <w:rsid w:val="0002663B"/>
    <w:rsid w:val="00027589"/>
    <w:rsid w:val="00027EDC"/>
    <w:rsid w:val="000304DE"/>
    <w:rsid w:val="000318D4"/>
    <w:rsid w:val="00032914"/>
    <w:rsid w:val="00033458"/>
    <w:rsid w:val="000347F5"/>
    <w:rsid w:val="00035FF8"/>
    <w:rsid w:val="00036BCC"/>
    <w:rsid w:val="000377DA"/>
    <w:rsid w:val="00041138"/>
    <w:rsid w:val="000417DB"/>
    <w:rsid w:val="00041949"/>
    <w:rsid w:val="00041EDC"/>
    <w:rsid w:val="00042E10"/>
    <w:rsid w:val="00047BB0"/>
    <w:rsid w:val="0005056D"/>
    <w:rsid w:val="00050DAE"/>
    <w:rsid w:val="00051B1C"/>
    <w:rsid w:val="00052AB4"/>
    <w:rsid w:val="00052DE8"/>
    <w:rsid w:val="0005409C"/>
    <w:rsid w:val="000548DC"/>
    <w:rsid w:val="000554B4"/>
    <w:rsid w:val="00056A60"/>
    <w:rsid w:val="0005763E"/>
    <w:rsid w:val="00057B09"/>
    <w:rsid w:val="00057E60"/>
    <w:rsid w:val="0006084F"/>
    <w:rsid w:val="000608F7"/>
    <w:rsid w:val="000612E8"/>
    <w:rsid w:val="00061913"/>
    <w:rsid w:val="0006275C"/>
    <w:rsid w:val="000655BE"/>
    <w:rsid w:val="00066840"/>
    <w:rsid w:val="00066BA2"/>
    <w:rsid w:val="0007166E"/>
    <w:rsid w:val="000722AF"/>
    <w:rsid w:val="00072491"/>
    <w:rsid w:val="00072815"/>
    <w:rsid w:val="00073AC5"/>
    <w:rsid w:val="00075EBD"/>
    <w:rsid w:val="000771FC"/>
    <w:rsid w:val="000772DC"/>
    <w:rsid w:val="0008026C"/>
    <w:rsid w:val="000810A0"/>
    <w:rsid w:val="00081E09"/>
    <w:rsid w:val="000830A8"/>
    <w:rsid w:val="00085DD2"/>
    <w:rsid w:val="0008659B"/>
    <w:rsid w:val="000868AF"/>
    <w:rsid w:val="0008708D"/>
    <w:rsid w:val="000870BE"/>
    <w:rsid w:val="000916F1"/>
    <w:rsid w:val="00092D3D"/>
    <w:rsid w:val="0009442E"/>
    <w:rsid w:val="000945A6"/>
    <w:rsid w:val="00095271"/>
    <w:rsid w:val="00095338"/>
    <w:rsid w:val="00095469"/>
    <w:rsid w:val="00095F9D"/>
    <w:rsid w:val="000A0A10"/>
    <w:rsid w:val="000A10B7"/>
    <w:rsid w:val="000A144A"/>
    <w:rsid w:val="000A17DB"/>
    <w:rsid w:val="000A2D37"/>
    <w:rsid w:val="000A2D69"/>
    <w:rsid w:val="000A3C36"/>
    <w:rsid w:val="000A3E0D"/>
    <w:rsid w:val="000A3FAE"/>
    <w:rsid w:val="000A404D"/>
    <w:rsid w:val="000A73A5"/>
    <w:rsid w:val="000B12BE"/>
    <w:rsid w:val="000B248A"/>
    <w:rsid w:val="000B2502"/>
    <w:rsid w:val="000B2583"/>
    <w:rsid w:val="000B3066"/>
    <w:rsid w:val="000B351D"/>
    <w:rsid w:val="000B42A7"/>
    <w:rsid w:val="000B54AC"/>
    <w:rsid w:val="000B5A07"/>
    <w:rsid w:val="000B5BB9"/>
    <w:rsid w:val="000B6207"/>
    <w:rsid w:val="000B7026"/>
    <w:rsid w:val="000C032C"/>
    <w:rsid w:val="000C26D4"/>
    <w:rsid w:val="000C2B77"/>
    <w:rsid w:val="000C2EC2"/>
    <w:rsid w:val="000C499D"/>
    <w:rsid w:val="000C59E6"/>
    <w:rsid w:val="000C5DAA"/>
    <w:rsid w:val="000C73CA"/>
    <w:rsid w:val="000C7639"/>
    <w:rsid w:val="000D037E"/>
    <w:rsid w:val="000D078A"/>
    <w:rsid w:val="000D091B"/>
    <w:rsid w:val="000D0C09"/>
    <w:rsid w:val="000D20C7"/>
    <w:rsid w:val="000D265E"/>
    <w:rsid w:val="000D27CA"/>
    <w:rsid w:val="000D29D6"/>
    <w:rsid w:val="000D2FCC"/>
    <w:rsid w:val="000D38BE"/>
    <w:rsid w:val="000D3B34"/>
    <w:rsid w:val="000D4494"/>
    <w:rsid w:val="000D4847"/>
    <w:rsid w:val="000D53C0"/>
    <w:rsid w:val="000D62E6"/>
    <w:rsid w:val="000D720F"/>
    <w:rsid w:val="000D74E6"/>
    <w:rsid w:val="000D74F8"/>
    <w:rsid w:val="000D7C64"/>
    <w:rsid w:val="000D7F47"/>
    <w:rsid w:val="000E1B7B"/>
    <w:rsid w:val="000E24EC"/>
    <w:rsid w:val="000E2CC9"/>
    <w:rsid w:val="000E35E4"/>
    <w:rsid w:val="000E3A43"/>
    <w:rsid w:val="000E4609"/>
    <w:rsid w:val="000E506C"/>
    <w:rsid w:val="000E5DF9"/>
    <w:rsid w:val="000E6186"/>
    <w:rsid w:val="000E674A"/>
    <w:rsid w:val="000F01A5"/>
    <w:rsid w:val="000F0451"/>
    <w:rsid w:val="000F0702"/>
    <w:rsid w:val="000F0E3D"/>
    <w:rsid w:val="000F2F90"/>
    <w:rsid w:val="000F31AA"/>
    <w:rsid w:val="000F3430"/>
    <w:rsid w:val="000F480E"/>
    <w:rsid w:val="000F5A6F"/>
    <w:rsid w:val="000F70AB"/>
    <w:rsid w:val="00101EBB"/>
    <w:rsid w:val="001031C6"/>
    <w:rsid w:val="00104AB0"/>
    <w:rsid w:val="00105858"/>
    <w:rsid w:val="0010637B"/>
    <w:rsid w:val="0010684B"/>
    <w:rsid w:val="00107BE1"/>
    <w:rsid w:val="00110358"/>
    <w:rsid w:val="00110C41"/>
    <w:rsid w:val="00110EE1"/>
    <w:rsid w:val="00110F66"/>
    <w:rsid w:val="00111065"/>
    <w:rsid w:val="00111286"/>
    <w:rsid w:val="001112A5"/>
    <w:rsid w:val="00113BFA"/>
    <w:rsid w:val="00114735"/>
    <w:rsid w:val="0011477A"/>
    <w:rsid w:val="00115341"/>
    <w:rsid w:val="00115AAE"/>
    <w:rsid w:val="00115C12"/>
    <w:rsid w:val="00116438"/>
    <w:rsid w:val="0011708B"/>
    <w:rsid w:val="00117300"/>
    <w:rsid w:val="00117540"/>
    <w:rsid w:val="0011792A"/>
    <w:rsid w:val="00120D6F"/>
    <w:rsid w:val="00121EE3"/>
    <w:rsid w:val="001220A0"/>
    <w:rsid w:val="00122CF6"/>
    <w:rsid w:val="001242AC"/>
    <w:rsid w:val="001246CF"/>
    <w:rsid w:val="001248BA"/>
    <w:rsid w:val="00124CB8"/>
    <w:rsid w:val="00125EEF"/>
    <w:rsid w:val="00126DC2"/>
    <w:rsid w:val="001270E5"/>
    <w:rsid w:val="0012776E"/>
    <w:rsid w:val="001302FE"/>
    <w:rsid w:val="0013205C"/>
    <w:rsid w:val="001326FD"/>
    <w:rsid w:val="00132E26"/>
    <w:rsid w:val="0013331B"/>
    <w:rsid w:val="001354DB"/>
    <w:rsid w:val="00135D3F"/>
    <w:rsid w:val="00136823"/>
    <w:rsid w:val="00136B06"/>
    <w:rsid w:val="00140156"/>
    <w:rsid w:val="00141EC3"/>
    <w:rsid w:val="00143B38"/>
    <w:rsid w:val="00144838"/>
    <w:rsid w:val="0014525C"/>
    <w:rsid w:val="001456A7"/>
    <w:rsid w:val="00146149"/>
    <w:rsid w:val="00146231"/>
    <w:rsid w:val="00147DD4"/>
    <w:rsid w:val="0015115A"/>
    <w:rsid w:val="0015225C"/>
    <w:rsid w:val="0015254C"/>
    <w:rsid w:val="00152849"/>
    <w:rsid w:val="001535EC"/>
    <w:rsid w:val="00153874"/>
    <w:rsid w:val="00153C05"/>
    <w:rsid w:val="001545CB"/>
    <w:rsid w:val="001547B2"/>
    <w:rsid w:val="0015595B"/>
    <w:rsid w:val="00156711"/>
    <w:rsid w:val="00160697"/>
    <w:rsid w:val="00161EEE"/>
    <w:rsid w:val="0016282A"/>
    <w:rsid w:val="001641E7"/>
    <w:rsid w:val="001650A7"/>
    <w:rsid w:val="00166EBF"/>
    <w:rsid w:val="00167203"/>
    <w:rsid w:val="00167BC8"/>
    <w:rsid w:val="001707C0"/>
    <w:rsid w:val="00171C0C"/>
    <w:rsid w:val="00172DF1"/>
    <w:rsid w:val="00173FC5"/>
    <w:rsid w:val="00174DDB"/>
    <w:rsid w:val="001760E7"/>
    <w:rsid w:val="00176332"/>
    <w:rsid w:val="00176CA8"/>
    <w:rsid w:val="00177C9E"/>
    <w:rsid w:val="001826DA"/>
    <w:rsid w:val="0018293B"/>
    <w:rsid w:val="00183254"/>
    <w:rsid w:val="00183F63"/>
    <w:rsid w:val="00184713"/>
    <w:rsid w:val="00184800"/>
    <w:rsid w:val="001856F9"/>
    <w:rsid w:val="00185701"/>
    <w:rsid w:val="00185A7A"/>
    <w:rsid w:val="0018623D"/>
    <w:rsid w:val="0019154E"/>
    <w:rsid w:val="00191DFD"/>
    <w:rsid w:val="00192337"/>
    <w:rsid w:val="00192EBC"/>
    <w:rsid w:val="00193CC8"/>
    <w:rsid w:val="00193D37"/>
    <w:rsid w:val="00193DB4"/>
    <w:rsid w:val="00194A58"/>
    <w:rsid w:val="00194DED"/>
    <w:rsid w:val="00194EE4"/>
    <w:rsid w:val="001A00C2"/>
    <w:rsid w:val="001A0393"/>
    <w:rsid w:val="001A22EE"/>
    <w:rsid w:val="001A2894"/>
    <w:rsid w:val="001A3586"/>
    <w:rsid w:val="001A41D4"/>
    <w:rsid w:val="001A5115"/>
    <w:rsid w:val="001A56CB"/>
    <w:rsid w:val="001A6AED"/>
    <w:rsid w:val="001A7742"/>
    <w:rsid w:val="001A7AB8"/>
    <w:rsid w:val="001B1D79"/>
    <w:rsid w:val="001B2C00"/>
    <w:rsid w:val="001B2C09"/>
    <w:rsid w:val="001B3244"/>
    <w:rsid w:val="001B3498"/>
    <w:rsid w:val="001B58E4"/>
    <w:rsid w:val="001B680F"/>
    <w:rsid w:val="001B6FBB"/>
    <w:rsid w:val="001B7550"/>
    <w:rsid w:val="001C10F1"/>
    <w:rsid w:val="001C40F2"/>
    <w:rsid w:val="001C4D03"/>
    <w:rsid w:val="001C6865"/>
    <w:rsid w:val="001D0995"/>
    <w:rsid w:val="001D1EA8"/>
    <w:rsid w:val="001D2B77"/>
    <w:rsid w:val="001D2F10"/>
    <w:rsid w:val="001D5A41"/>
    <w:rsid w:val="001D6329"/>
    <w:rsid w:val="001D7989"/>
    <w:rsid w:val="001E020F"/>
    <w:rsid w:val="001E1794"/>
    <w:rsid w:val="001E186D"/>
    <w:rsid w:val="001E2835"/>
    <w:rsid w:val="001E28BB"/>
    <w:rsid w:val="001E29A1"/>
    <w:rsid w:val="001E5A52"/>
    <w:rsid w:val="001E637A"/>
    <w:rsid w:val="001E64A9"/>
    <w:rsid w:val="001E6E82"/>
    <w:rsid w:val="001E72BE"/>
    <w:rsid w:val="001E74EF"/>
    <w:rsid w:val="001E781A"/>
    <w:rsid w:val="001E7A72"/>
    <w:rsid w:val="001F1698"/>
    <w:rsid w:val="001F2269"/>
    <w:rsid w:val="001F2831"/>
    <w:rsid w:val="001F2DDA"/>
    <w:rsid w:val="001F3A00"/>
    <w:rsid w:val="001F496E"/>
    <w:rsid w:val="001F560A"/>
    <w:rsid w:val="001F575F"/>
    <w:rsid w:val="00201D5E"/>
    <w:rsid w:val="00203C7D"/>
    <w:rsid w:val="00203DE3"/>
    <w:rsid w:val="00203EAC"/>
    <w:rsid w:val="00204A8F"/>
    <w:rsid w:val="00206199"/>
    <w:rsid w:val="002100B3"/>
    <w:rsid w:val="00211CEC"/>
    <w:rsid w:val="002120B7"/>
    <w:rsid w:val="00214163"/>
    <w:rsid w:val="00214910"/>
    <w:rsid w:val="0021602E"/>
    <w:rsid w:val="002167C1"/>
    <w:rsid w:val="00216DB8"/>
    <w:rsid w:val="002176C2"/>
    <w:rsid w:val="00217F4A"/>
    <w:rsid w:val="0022021E"/>
    <w:rsid w:val="0022139D"/>
    <w:rsid w:val="002219F4"/>
    <w:rsid w:val="00222A03"/>
    <w:rsid w:val="00224D8F"/>
    <w:rsid w:val="002252F1"/>
    <w:rsid w:val="002257B9"/>
    <w:rsid w:val="002262E4"/>
    <w:rsid w:val="0022631D"/>
    <w:rsid w:val="002277AF"/>
    <w:rsid w:val="00227AFC"/>
    <w:rsid w:val="002304D6"/>
    <w:rsid w:val="00231250"/>
    <w:rsid w:val="00231B51"/>
    <w:rsid w:val="00231F62"/>
    <w:rsid w:val="0023324F"/>
    <w:rsid w:val="00235FC6"/>
    <w:rsid w:val="00236984"/>
    <w:rsid w:val="0023798C"/>
    <w:rsid w:val="0024007A"/>
    <w:rsid w:val="002410FE"/>
    <w:rsid w:val="00241D47"/>
    <w:rsid w:val="00243155"/>
    <w:rsid w:val="002442DF"/>
    <w:rsid w:val="00244993"/>
    <w:rsid w:val="00244CDC"/>
    <w:rsid w:val="00244ECB"/>
    <w:rsid w:val="00245436"/>
    <w:rsid w:val="002466EE"/>
    <w:rsid w:val="00247092"/>
    <w:rsid w:val="00247C33"/>
    <w:rsid w:val="00247CCF"/>
    <w:rsid w:val="0025110E"/>
    <w:rsid w:val="00251F14"/>
    <w:rsid w:val="00252505"/>
    <w:rsid w:val="00252E2C"/>
    <w:rsid w:val="00252F69"/>
    <w:rsid w:val="00257E6E"/>
    <w:rsid w:val="00260405"/>
    <w:rsid w:val="00260BDA"/>
    <w:rsid w:val="00261BA4"/>
    <w:rsid w:val="00264453"/>
    <w:rsid w:val="002664EC"/>
    <w:rsid w:val="00266A99"/>
    <w:rsid w:val="00270D2D"/>
    <w:rsid w:val="00271B74"/>
    <w:rsid w:val="00272D18"/>
    <w:rsid w:val="00274537"/>
    <w:rsid w:val="002754A5"/>
    <w:rsid w:val="00276937"/>
    <w:rsid w:val="002774C4"/>
    <w:rsid w:val="00281924"/>
    <w:rsid w:val="00281E18"/>
    <w:rsid w:val="0028411E"/>
    <w:rsid w:val="002849D8"/>
    <w:rsid w:val="00284BE6"/>
    <w:rsid w:val="00285401"/>
    <w:rsid w:val="002873AC"/>
    <w:rsid w:val="00287B4E"/>
    <w:rsid w:val="0029058B"/>
    <w:rsid w:val="002921A6"/>
    <w:rsid w:val="00292FE5"/>
    <w:rsid w:val="002939E8"/>
    <w:rsid w:val="002940EF"/>
    <w:rsid w:val="00294657"/>
    <w:rsid w:val="00294BF5"/>
    <w:rsid w:val="00295659"/>
    <w:rsid w:val="002956BA"/>
    <w:rsid w:val="00295703"/>
    <w:rsid w:val="00295858"/>
    <w:rsid w:val="002960EC"/>
    <w:rsid w:val="002964D9"/>
    <w:rsid w:val="002A0B9C"/>
    <w:rsid w:val="002A3762"/>
    <w:rsid w:val="002A4C20"/>
    <w:rsid w:val="002A5F3A"/>
    <w:rsid w:val="002A69F4"/>
    <w:rsid w:val="002A6EDD"/>
    <w:rsid w:val="002A73DE"/>
    <w:rsid w:val="002A747A"/>
    <w:rsid w:val="002A7C18"/>
    <w:rsid w:val="002B179D"/>
    <w:rsid w:val="002B1B2A"/>
    <w:rsid w:val="002B2A24"/>
    <w:rsid w:val="002B2B21"/>
    <w:rsid w:val="002B3A01"/>
    <w:rsid w:val="002B4377"/>
    <w:rsid w:val="002B4433"/>
    <w:rsid w:val="002B489B"/>
    <w:rsid w:val="002B4FD5"/>
    <w:rsid w:val="002B5E54"/>
    <w:rsid w:val="002B6A2A"/>
    <w:rsid w:val="002B799F"/>
    <w:rsid w:val="002B7DDF"/>
    <w:rsid w:val="002C072E"/>
    <w:rsid w:val="002C080D"/>
    <w:rsid w:val="002C1088"/>
    <w:rsid w:val="002C23E9"/>
    <w:rsid w:val="002C43E9"/>
    <w:rsid w:val="002C5170"/>
    <w:rsid w:val="002C6222"/>
    <w:rsid w:val="002C7550"/>
    <w:rsid w:val="002D00FA"/>
    <w:rsid w:val="002D049E"/>
    <w:rsid w:val="002D05FF"/>
    <w:rsid w:val="002D0A18"/>
    <w:rsid w:val="002D197E"/>
    <w:rsid w:val="002D4A2A"/>
    <w:rsid w:val="002D4EE4"/>
    <w:rsid w:val="002D6842"/>
    <w:rsid w:val="002D7DD8"/>
    <w:rsid w:val="002E0CBE"/>
    <w:rsid w:val="002E0D36"/>
    <w:rsid w:val="002E1060"/>
    <w:rsid w:val="002E1298"/>
    <w:rsid w:val="002E182C"/>
    <w:rsid w:val="002E3CA9"/>
    <w:rsid w:val="002E3D25"/>
    <w:rsid w:val="002E442A"/>
    <w:rsid w:val="002E47AE"/>
    <w:rsid w:val="002E64C1"/>
    <w:rsid w:val="002E65A2"/>
    <w:rsid w:val="002E754E"/>
    <w:rsid w:val="002E7AA4"/>
    <w:rsid w:val="002F068E"/>
    <w:rsid w:val="002F07F3"/>
    <w:rsid w:val="002F0973"/>
    <w:rsid w:val="002F2B77"/>
    <w:rsid w:val="002F31D9"/>
    <w:rsid w:val="002F34DA"/>
    <w:rsid w:val="002F60FA"/>
    <w:rsid w:val="002F67C7"/>
    <w:rsid w:val="002F7767"/>
    <w:rsid w:val="003029FB"/>
    <w:rsid w:val="00303AB6"/>
    <w:rsid w:val="003049ED"/>
    <w:rsid w:val="003052D1"/>
    <w:rsid w:val="00307365"/>
    <w:rsid w:val="0030793F"/>
    <w:rsid w:val="00307D6F"/>
    <w:rsid w:val="003108E4"/>
    <w:rsid w:val="00311695"/>
    <w:rsid w:val="0031175E"/>
    <w:rsid w:val="00311E2F"/>
    <w:rsid w:val="0031279C"/>
    <w:rsid w:val="0031473A"/>
    <w:rsid w:val="0031488B"/>
    <w:rsid w:val="00315151"/>
    <w:rsid w:val="003154D5"/>
    <w:rsid w:val="00315AB0"/>
    <w:rsid w:val="00315F43"/>
    <w:rsid w:val="00322E31"/>
    <w:rsid w:val="0032466A"/>
    <w:rsid w:val="0032476E"/>
    <w:rsid w:val="003256F7"/>
    <w:rsid w:val="00326EE0"/>
    <w:rsid w:val="0032721C"/>
    <w:rsid w:val="00327512"/>
    <w:rsid w:val="00327832"/>
    <w:rsid w:val="00327862"/>
    <w:rsid w:val="003311B4"/>
    <w:rsid w:val="00331CC2"/>
    <w:rsid w:val="0033219D"/>
    <w:rsid w:val="00332CC0"/>
    <w:rsid w:val="00333248"/>
    <w:rsid w:val="0033327B"/>
    <w:rsid w:val="00333725"/>
    <w:rsid w:val="0033505F"/>
    <w:rsid w:val="00335782"/>
    <w:rsid w:val="0033587F"/>
    <w:rsid w:val="00336B88"/>
    <w:rsid w:val="003400F5"/>
    <w:rsid w:val="00342D81"/>
    <w:rsid w:val="00343D89"/>
    <w:rsid w:val="003448DB"/>
    <w:rsid w:val="00345620"/>
    <w:rsid w:val="00345EFF"/>
    <w:rsid w:val="00347CB2"/>
    <w:rsid w:val="0035130B"/>
    <w:rsid w:val="00352252"/>
    <w:rsid w:val="003523E1"/>
    <w:rsid w:val="0035267F"/>
    <w:rsid w:val="003527C8"/>
    <w:rsid w:val="00352EA2"/>
    <w:rsid w:val="00353645"/>
    <w:rsid w:val="00353F9D"/>
    <w:rsid w:val="00356C7D"/>
    <w:rsid w:val="003573FF"/>
    <w:rsid w:val="00360423"/>
    <w:rsid w:val="00360D3B"/>
    <w:rsid w:val="00361449"/>
    <w:rsid w:val="00361484"/>
    <w:rsid w:val="00361810"/>
    <w:rsid w:val="003622AB"/>
    <w:rsid w:val="003623B0"/>
    <w:rsid w:val="00362C52"/>
    <w:rsid w:val="0036304D"/>
    <w:rsid w:val="003639D4"/>
    <w:rsid w:val="00363BE5"/>
    <w:rsid w:val="00364369"/>
    <w:rsid w:val="003668B4"/>
    <w:rsid w:val="00370221"/>
    <w:rsid w:val="00370342"/>
    <w:rsid w:val="003703BE"/>
    <w:rsid w:val="003708E2"/>
    <w:rsid w:val="00371F4B"/>
    <w:rsid w:val="00373023"/>
    <w:rsid w:val="00373ED5"/>
    <w:rsid w:val="003742C1"/>
    <w:rsid w:val="003744B5"/>
    <w:rsid w:val="00374AA0"/>
    <w:rsid w:val="0037622B"/>
    <w:rsid w:val="00376AE0"/>
    <w:rsid w:val="00381923"/>
    <w:rsid w:val="00382F50"/>
    <w:rsid w:val="00383105"/>
    <w:rsid w:val="0038406C"/>
    <w:rsid w:val="003840C3"/>
    <w:rsid w:val="00385EE4"/>
    <w:rsid w:val="00387294"/>
    <w:rsid w:val="00387817"/>
    <w:rsid w:val="0038794B"/>
    <w:rsid w:val="00390258"/>
    <w:rsid w:val="003906E6"/>
    <w:rsid w:val="00390962"/>
    <w:rsid w:val="00392044"/>
    <w:rsid w:val="00393573"/>
    <w:rsid w:val="00393AE0"/>
    <w:rsid w:val="00394D35"/>
    <w:rsid w:val="00396FE3"/>
    <w:rsid w:val="003979DD"/>
    <w:rsid w:val="003A00FD"/>
    <w:rsid w:val="003A18D1"/>
    <w:rsid w:val="003A20A3"/>
    <w:rsid w:val="003A2A8E"/>
    <w:rsid w:val="003A3B44"/>
    <w:rsid w:val="003A4197"/>
    <w:rsid w:val="003A44A6"/>
    <w:rsid w:val="003A477A"/>
    <w:rsid w:val="003A4C7C"/>
    <w:rsid w:val="003A4FB7"/>
    <w:rsid w:val="003A5512"/>
    <w:rsid w:val="003A6D57"/>
    <w:rsid w:val="003B055C"/>
    <w:rsid w:val="003B227C"/>
    <w:rsid w:val="003B2725"/>
    <w:rsid w:val="003B2B47"/>
    <w:rsid w:val="003B4806"/>
    <w:rsid w:val="003B5350"/>
    <w:rsid w:val="003B6552"/>
    <w:rsid w:val="003B7750"/>
    <w:rsid w:val="003C036C"/>
    <w:rsid w:val="003C0938"/>
    <w:rsid w:val="003C0CD1"/>
    <w:rsid w:val="003C1072"/>
    <w:rsid w:val="003C1481"/>
    <w:rsid w:val="003C28FC"/>
    <w:rsid w:val="003C2BBE"/>
    <w:rsid w:val="003C323C"/>
    <w:rsid w:val="003C3C9F"/>
    <w:rsid w:val="003C4051"/>
    <w:rsid w:val="003C5829"/>
    <w:rsid w:val="003C5DE5"/>
    <w:rsid w:val="003C5E4C"/>
    <w:rsid w:val="003C76BA"/>
    <w:rsid w:val="003C7AE8"/>
    <w:rsid w:val="003D05AD"/>
    <w:rsid w:val="003D1334"/>
    <w:rsid w:val="003D1611"/>
    <w:rsid w:val="003D214E"/>
    <w:rsid w:val="003D3BDD"/>
    <w:rsid w:val="003D5E83"/>
    <w:rsid w:val="003D5F03"/>
    <w:rsid w:val="003D5F18"/>
    <w:rsid w:val="003D6688"/>
    <w:rsid w:val="003D705C"/>
    <w:rsid w:val="003D7C35"/>
    <w:rsid w:val="003D7F21"/>
    <w:rsid w:val="003E02BC"/>
    <w:rsid w:val="003E097A"/>
    <w:rsid w:val="003E1109"/>
    <w:rsid w:val="003E1652"/>
    <w:rsid w:val="003E23E4"/>
    <w:rsid w:val="003E2489"/>
    <w:rsid w:val="003E37B5"/>
    <w:rsid w:val="003E3ED0"/>
    <w:rsid w:val="003E50D3"/>
    <w:rsid w:val="003E5336"/>
    <w:rsid w:val="003E61AA"/>
    <w:rsid w:val="003E7085"/>
    <w:rsid w:val="003E71CC"/>
    <w:rsid w:val="003F1121"/>
    <w:rsid w:val="003F1381"/>
    <w:rsid w:val="003F1949"/>
    <w:rsid w:val="003F23B7"/>
    <w:rsid w:val="003F2AD8"/>
    <w:rsid w:val="003F2D1F"/>
    <w:rsid w:val="003F5055"/>
    <w:rsid w:val="003F7378"/>
    <w:rsid w:val="0040098E"/>
    <w:rsid w:val="00401CEA"/>
    <w:rsid w:val="004023C9"/>
    <w:rsid w:val="00403A88"/>
    <w:rsid w:val="00404A41"/>
    <w:rsid w:val="00405448"/>
    <w:rsid w:val="00406501"/>
    <w:rsid w:val="004065F6"/>
    <w:rsid w:val="0040710E"/>
    <w:rsid w:val="0041083D"/>
    <w:rsid w:val="00411789"/>
    <w:rsid w:val="004123A6"/>
    <w:rsid w:val="00412996"/>
    <w:rsid w:val="00413030"/>
    <w:rsid w:val="00415AF8"/>
    <w:rsid w:val="00415EFF"/>
    <w:rsid w:val="004165A5"/>
    <w:rsid w:val="00417131"/>
    <w:rsid w:val="0042069E"/>
    <w:rsid w:val="0042090E"/>
    <w:rsid w:val="00421374"/>
    <w:rsid w:val="004218BD"/>
    <w:rsid w:val="00421B08"/>
    <w:rsid w:val="0042276D"/>
    <w:rsid w:val="00422A58"/>
    <w:rsid w:val="00422DA8"/>
    <w:rsid w:val="004235A6"/>
    <w:rsid w:val="00424D19"/>
    <w:rsid w:val="00425509"/>
    <w:rsid w:val="00426556"/>
    <w:rsid w:val="00427AEC"/>
    <w:rsid w:val="00427D27"/>
    <w:rsid w:val="0043034C"/>
    <w:rsid w:val="0043171C"/>
    <w:rsid w:val="00431763"/>
    <w:rsid w:val="00432BE4"/>
    <w:rsid w:val="00432F0A"/>
    <w:rsid w:val="00433002"/>
    <w:rsid w:val="0043446D"/>
    <w:rsid w:val="00434575"/>
    <w:rsid w:val="00435390"/>
    <w:rsid w:val="0043570E"/>
    <w:rsid w:val="00435906"/>
    <w:rsid w:val="00435A3D"/>
    <w:rsid w:val="00436831"/>
    <w:rsid w:val="00437995"/>
    <w:rsid w:val="004406FB"/>
    <w:rsid w:val="004421AC"/>
    <w:rsid w:val="00442C2E"/>
    <w:rsid w:val="0044366C"/>
    <w:rsid w:val="00443FCB"/>
    <w:rsid w:val="004447DF"/>
    <w:rsid w:val="00446444"/>
    <w:rsid w:val="004466A3"/>
    <w:rsid w:val="0044735C"/>
    <w:rsid w:val="004511A9"/>
    <w:rsid w:val="0045238F"/>
    <w:rsid w:val="00453FDA"/>
    <w:rsid w:val="00454B06"/>
    <w:rsid w:val="004552E8"/>
    <w:rsid w:val="0045564E"/>
    <w:rsid w:val="004564E4"/>
    <w:rsid w:val="00461457"/>
    <w:rsid w:val="00462A4C"/>
    <w:rsid w:val="00463C73"/>
    <w:rsid w:val="00463CEE"/>
    <w:rsid w:val="00463E98"/>
    <w:rsid w:val="00463F1C"/>
    <w:rsid w:val="0046442B"/>
    <w:rsid w:val="00465D32"/>
    <w:rsid w:val="0046678C"/>
    <w:rsid w:val="004674FB"/>
    <w:rsid w:val="0046786D"/>
    <w:rsid w:val="004678FD"/>
    <w:rsid w:val="00467E90"/>
    <w:rsid w:val="00467F04"/>
    <w:rsid w:val="004705F6"/>
    <w:rsid w:val="0047073D"/>
    <w:rsid w:val="004707F5"/>
    <w:rsid w:val="00470806"/>
    <w:rsid w:val="00471422"/>
    <w:rsid w:val="00471590"/>
    <w:rsid w:val="00471C51"/>
    <w:rsid w:val="00471FB2"/>
    <w:rsid w:val="00472C4F"/>
    <w:rsid w:val="00474290"/>
    <w:rsid w:val="004747F1"/>
    <w:rsid w:val="00475E70"/>
    <w:rsid w:val="00477919"/>
    <w:rsid w:val="00477C6F"/>
    <w:rsid w:val="0048130D"/>
    <w:rsid w:val="004819E5"/>
    <w:rsid w:val="00481CC3"/>
    <w:rsid w:val="004827C7"/>
    <w:rsid w:val="004833E2"/>
    <w:rsid w:val="004835BB"/>
    <w:rsid w:val="00483EC6"/>
    <w:rsid w:val="00485185"/>
    <w:rsid w:val="00485D94"/>
    <w:rsid w:val="00486859"/>
    <w:rsid w:val="00490F1F"/>
    <w:rsid w:val="0049165F"/>
    <w:rsid w:val="00492493"/>
    <w:rsid w:val="00493599"/>
    <w:rsid w:val="0049412A"/>
    <w:rsid w:val="00494804"/>
    <w:rsid w:val="004A1997"/>
    <w:rsid w:val="004A3039"/>
    <w:rsid w:val="004A336D"/>
    <w:rsid w:val="004A37EB"/>
    <w:rsid w:val="004A48C8"/>
    <w:rsid w:val="004A4E38"/>
    <w:rsid w:val="004A5FED"/>
    <w:rsid w:val="004A6485"/>
    <w:rsid w:val="004A6F6F"/>
    <w:rsid w:val="004A789F"/>
    <w:rsid w:val="004B0EBE"/>
    <w:rsid w:val="004B12DB"/>
    <w:rsid w:val="004B181F"/>
    <w:rsid w:val="004B2182"/>
    <w:rsid w:val="004B2CE1"/>
    <w:rsid w:val="004B2E43"/>
    <w:rsid w:val="004B3892"/>
    <w:rsid w:val="004B567E"/>
    <w:rsid w:val="004B5C1F"/>
    <w:rsid w:val="004C1959"/>
    <w:rsid w:val="004C2572"/>
    <w:rsid w:val="004C266F"/>
    <w:rsid w:val="004C2E1C"/>
    <w:rsid w:val="004C3A28"/>
    <w:rsid w:val="004C52AF"/>
    <w:rsid w:val="004C52D4"/>
    <w:rsid w:val="004C5311"/>
    <w:rsid w:val="004C57D2"/>
    <w:rsid w:val="004C669C"/>
    <w:rsid w:val="004C7695"/>
    <w:rsid w:val="004D0550"/>
    <w:rsid w:val="004D1682"/>
    <w:rsid w:val="004D1A69"/>
    <w:rsid w:val="004D1F8D"/>
    <w:rsid w:val="004D2F15"/>
    <w:rsid w:val="004D3A01"/>
    <w:rsid w:val="004D3B8F"/>
    <w:rsid w:val="004D67F5"/>
    <w:rsid w:val="004D7FEE"/>
    <w:rsid w:val="004E1256"/>
    <w:rsid w:val="004E1A54"/>
    <w:rsid w:val="004E4111"/>
    <w:rsid w:val="004E538E"/>
    <w:rsid w:val="004F1BAD"/>
    <w:rsid w:val="004F2091"/>
    <w:rsid w:val="004F2362"/>
    <w:rsid w:val="004F2752"/>
    <w:rsid w:val="004F3EBE"/>
    <w:rsid w:val="004F4474"/>
    <w:rsid w:val="004F5102"/>
    <w:rsid w:val="004F78EB"/>
    <w:rsid w:val="004F7A0D"/>
    <w:rsid w:val="005002C5"/>
    <w:rsid w:val="0050208E"/>
    <w:rsid w:val="005025AB"/>
    <w:rsid w:val="005038D6"/>
    <w:rsid w:val="00506480"/>
    <w:rsid w:val="0050659A"/>
    <w:rsid w:val="00506993"/>
    <w:rsid w:val="00506E46"/>
    <w:rsid w:val="0051141A"/>
    <w:rsid w:val="00511705"/>
    <w:rsid w:val="00511E97"/>
    <w:rsid w:val="005124BA"/>
    <w:rsid w:val="00512B61"/>
    <w:rsid w:val="00514461"/>
    <w:rsid w:val="005147D1"/>
    <w:rsid w:val="00516920"/>
    <w:rsid w:val="00516D61"/>
    <w:rsid w:val="00516FA2"/>
    <w:rsid w:val="00517125"/>
    <w:rsid w:val="00520F94"/>
    <w:rsid w:val="00521AC3"/>
    <w:rsid w:val="00524D29"/>
    <w:rsid w:val="00525095"/>
    <w:rsid w:val="00525AD4"/>
    <w:rsid w:val="00525D6F"/>
    <w:rsid w:val="00527CF3"/>
    <w:rsid w:val="0053058A"/>
    <w:rsid w:val="00531D3C"/>
    <w:rsid w:val="00531D74"/>
    <w:rsid w:val="00533AC4"/>
    <w:rsid w:val="00534491"/>
    <w:rsid w:val="00536034"/>
    <w:rsid w:val="005360EA"/>
    <w:rsid w:val="00537219"/>
    <w:rsid w:val="00537C4E"/>
    <w:rsid w:val="00537F8E"/>
    <w:rsid w:val="005400EA"/>
    <w:rsid w:val="00540375"/>
    <w:rsid w:val="0054085F"/>
    <w:rsid w:val="0054168A"/>
    <w:rsid w:val="00541955"/>
    <w:rsid w:val="005419C0"/>
    <w:rsid w:val="0054235F"/>
    <w:rsid w:val="00544821"/>
    <w:rsid w:val="00544AB4"/>
    <w:rsid w:val="00546117"/>
    <w:rsid w:val="00546C16"/>
    <w:rsid w:val="00550F13"/>
    <w:rsid w:val="00550F71"/>
    <w:rsid w:val="00551D8B"/>
    <w:rsid w:val="00553403"/>
    <w:rsid w:val="00555A1B"/>
    <w:rsid w:val="00555A91"/>
    <w:rsid w:val="00556783"/>
    <w:rsid w:val="00562781"/>
    <w:rsid w:val="00562ECC"/>
    <w:rsid w:val="005634F7"/>
    <w:rsid w:val="005641B7"/>
    <w:rsid w:val="00567927"/>
    <w:rsid w:val="00567978"/>
    <w:rsid w:val="005702B0"/>
    <w:rsid w:val="005707C3"/>
    <w:rsid w:val="00570DDE"/>
    <w:rsid w:val="0057249C"/>
    <w:rsid w:val="005733CF"/>
    <w:rsid w:val="0057395C"/>
    <w:rsid w:val="00573B86"/>
    <w:rsid w:val="00575A68"/>
    <w:rsid w:val="00581AF3"/>
    <w:rsid w:val="005824EC"/>
    <w:rsid w:val="00582D2A"/>
    <w:rsid w:val="0058363A"/>
    <w:rsid w:val="0058407E"/>
    <w:rsid w:val="00585107"/>
    <w:rsid w:val="00586654"/>
    <w:rsid w:val="0058781A"/>
    <w:rsid w:val="00587AF2"/>
    <w:rsid w:val="0059038B"/>
    <w:rsid w:val="0059091B"/>
    <w:rsid w:val="00591909"/>
    <w:rsid w:val="00591B08"/>
    <w:rsid w:val="00591F8B"/>
    <w:rsid w:val="00592122"/>
    <w:rsid w:val="0059283F"/>
    <w:rsid w:val="00592E71"/>
    <w:rsid w:val="005943A5"/>
    <w:rsid w:val="005949CF"/>
    <w:rsid w:val="00597064"/>
    <w:rsid w:val="00597301"/>
    <w:rsid w:val="00597654"/>
    <w:rsid w:val="005979AB"/>
    <w:rsid w:val="005A38C7"/>
    <w:rsid w:val="005A4A28"/>
    <w:rsid w:val="005A57E0"/>
    <w:rsid w:val="005A62D8"/>
    <w:rsid w:val="005B0F1D"/>
    <w:rsid w:val="005B12AD"/>
    <w:rsid w:val="005B1835"/>
    <w:rsid w:val="005B356B"/>
    <w:rsid w:val="005B47FF"/>
    <w:rsid w:val="005B49DF"/>
    <w:rsid w:val="005B604B"/>
    <w:rsid w:val="005B65C9"/>
    <w:rsid w:val="005B7536"/>
    <w:rsid w:val="005C0011"/>
    <w:rsid w:val="005C04C3"/>
    <w:rsid w:val="005C197C"/>
    <w:rsid w:val="005C32E8"/>
    <w:rsid w:val="005C3966"/>
    <w:rsid w:val="005C4207"/>
    <w:rsid w:val="005C498E"/>
    <w:rsid w:val="005C4D75"/>
    <w:rsid w:val="005C6025"/>
    <w:rsid w:val="005C7387"/>
    <w:rsid w:val="005D0626"/>
    <w:rsid w:val="005D0C28"/>
    <w:rsid w:val="005D1095"/>
    <w:rsid w:val="005D131B"/>
    <w:rsid w:val="005D21A4"/>
    <w:rsid w:val="005D5D45"/>
    <w:rsid w:val="005D63D2"/>
    <w:rsid w:val="005D653B"/>
    <w:rsid w:val="005D7B2D"/>
    <w:rsid w:val="005D7CF6"/>
    <w:rsid w:val="005E2B99"/>
    <w:rsid w:val="005E2EE3"/>
    <w:rsid w:val="005E3C6E"/>
    <w:rsid w:val="005E515E"/>
    <w:rsid w:val="005E5E1C"/>
    <w:rsid w:val="005E5E66"/>
    <w:rsid w:val="005E5F98"/>
    <w:rsid w:val="005E6163"/>
    <w:rsid w:val="005E6FFD"/>
    <w:rsid w:val="005E7843"/>
    <w:rsid w:val="005E7A7B"/>
    <w:rsid w:val="005F0F3A"/>
    <w:rsid w:val="005F3DC5"/>
    <w:rsid w:val="005F43C8"/>
    <w:rsid w:val="005F46DC"/>
    <w:rsid w:val="005F4829"/>
    <w:rsid w:val="005F4A34"/>
    <w:rsid w:val="005F5F5E"/>
    <w:rsid w:val="005F7559"/>
    <w:rsid w:val="0060113C"/>
    <w:rsid w:val="00601A54"/>
    <w:rsid w:val="00603A70"/>
    <w:rsid w:val="00604155"/>
    <w:rsid w:val="006053D7"/>
    <w:rsid w:val="00606253"/>
    <w:rsid w:val="00606781"/>
    <w:rsid w:val="0060744E"/>
    <w:rsid w:val="006119EB"/>
    <w:rsid w:val="00611B86"/>
    <w:rsid w:val="00611C44"/>
    <w:rsid w:val="00612564"/>
    <w:rsid w:val="0061303E"/>
    <w:rsid w:val="006138AC"/>
    <w:rsid w:val="0061482E"/>
    <w:rsid w:val="00615BE6"/>
    <w:rsid w:val="00615DB0"/>
    <w:rsid w:val="0061755B"/>
    <w:rsid w:val="00617B66"/>
    <w:rsid w:val="00617CBE"/>
    <w:rsid w:val="00620574"/>
    <w:rsid w:val="00621AAD"/>
    <w:rsid w:val="0062734D"/>
    <w:rsid w:val="00631D3D"/>
    <w:rsid w:val="00631E1E"/>
    <w:rsid w:val="00632C53"/>
    <w:rsid w:val="006333F0"/>
    <w:rsid w:val="0063357E"/>
    <w:rsid w:val="0063386D"/>
    <w:rsid w:val="00633938"/>
    <w:rsid w:val="00633AF5"/>
    <w:rsid w:val="00633B40"/>
    <w:rsid w:val="0063405C"/>
    <w:rsid w:val="00635399"/>
    <w:rsid w:val="006367B9"/>
    <w:rsid w:val="0063731F"/>
    <w:rsid w:val="006376F3"/>
    <w:rsid w:val="006421D1"/>
    <w:rsid w:val="0064275D"/>
    <w:rsid w:val="00643081"/>
    <w:rsid w:val="0064401B"/>
    <w:rsid w:val="00644D93"/>
    <w:rsid w:val="006459F2"/>
    <w:rsid w:val="00647139"/>
    <w:rsid w:val="00647B91"/>
    <w:rsid w:val="00650235"/>
    <w:rsid w:val="00650AF3"/>
    <w:rsid w:val="00651B9A"/>
    <w:rsid w:val="00652BCD"/>
    <w:rsid w:val="0065301E"/>
    <w:rsid w:val="006566BA"/>
    <w:rsid w:val="00656AE6"/>
    <w:rsid w:val="00657E5E"/>
    <w:rsid w:val="00661EE4"/>
    <w:rsid w:val="006620AD"/>
    <w:rsid w:val="00662B56"/>
    <w:rsid w:val="00664510"/>
    <w:rsid w:val="00664D0C"/>
    <w:rsid w:val="006650E2"/>
    <w:rsid w:val="0066704D"/>
    <w:rsid w:val="00667243"/>
    <w:rsid w:val="00667F54"/>
    <w:rsid w:val="00671068"/>
    <w:rsid w:val="0067115E"/>
    <w:rsid w:val="00671A11"/>
    <w:rsid w:val="00671F44"/>
    <w:rsid w:val="00671FD5"/>
    <w:rsid w:val="006723AE"/>
    <w:rsid w:val="00672F4E"/>
    <w:rsid w:val="00673271"/>
    <w:rsid w:val="00676132"/>
    <w:rsid w:val="0067613B"/>
    <w:rsid w:val="00677299"/>
    <w:rsid w:val="00677760"/>
    <w:rsid w:val="0068055E"/>
    <w:rsid w:val="00680A19"/>
    <w:rsid w:val="00680E3F"/>
    <w:rsid w:val="006816CB"/>
    <w:rsid w:val="00681BC9"/>
    <w:rsid w:val="00682569"/>
    <w:rsid w:val="00682CE5"/>
    <w:rsid w:val="006849DC"/>
    <w:rsid w:val="00684ABD"/>
    <w:rsid w:val="00685A34"/>
    <w:rsid w:val="006862D2"/>
    <w:rsid w:val="00687E06"/>
    <w:rsid w:val="00691370"/>
    <w:rsid w:val="006922C2"/>
    <w:rsid w:val="00692616"/>
    <w:rsid w:val="00692694"/>
    <w:rsid w:val="00693BC4"/>
    <w:rsid w:val="006945F7"/>
    <w:rsid w:val="006947A3"/>
    <w:rsid w:val="00694B7E"/>
    <w:rsid w:val="006963AC"/>
    <w:rsid w:val="006972E5"/>
    <w:rsid w:val="006A101B"/>
    <w:rsid w:val="006A1F0B"/>
    <w:rsid w:val="006A2D26"/>
    <w:rsid w:val="006A4EF0"/>
    <w:rsid w:val="006A6223"/>
    <w:rsid w:val="006A68DF"/>
    <w:rsid w:val="006A6C6C"/>
    <w:rsid w:val="006A7DE5"/>
    <w:rsid w:val="006B03C3"/>
    <w:rsid w:val="006B1439"/>
    <w:rsid w:val="006B1F0E"/>
    <w:rsid w:val="006B21A2"/>
    <w:rsid w:val="006B242F"/>
    <w:rsid w:val="006B2944"/>
    <w:rsid w:val="006B49B3"/>
    <w:rsid w:val="006B515B"/>
    <w:rsid w:val="006B7828"/>
    <w:rsid w:val="006B7B8E"/>
    <w:rsid w:val="006C1353"/>
    <w:rsid w:val="006C15FC"/>
    <w:rsid w:val="006C32E9"/>
    <w:rsid w:val="006C399B"/>
    <w:rsid w:val="006C496E"/>
    <w:rsid w:val="006C5082"/>
    <w:rsid w:val="006C5897"/>
    <w:rsid w:val="006C60F7"/>
    <w:rsid w:val="006C6D22"/>
    <w:rsid w:val="006C6D71"/>
    <w:rsid w:val="006C77DE"/>
    <w:rsid w:val="006C7EDA"/>
    <w:rsid w:val="006D034C"/>
    <w:rsid w:val="006D0E60"/>
    <w:rsid w:val="006D119B"/>
    <w:rsid w:val="006D22F9"/>
    <w:rsid w:val="006D2CEC"/>
    <w:rsid w:val="006D4C16"/>
    <w:rsid w:val="006D6414"/>
    <w:rsid w:val="006D72A2"/>
    <w:rsid w:val="006E02A6"/>
    <w:rsid w:val="006E0380"/>
    <w:rsid w:val="006E1C67"/>
    <w:rsid w:val="006E1CED"/>
    <w:rsid w:val="006E1E62"/>
    <w:rsid w:val="006E40C6"/>
    <w:rsid w:val="006E55CC"/>
    <w:rsid w:val="006E5D56"/>
    <w:rsid w:val="006E6A7A"/>
    <w:rsid w:val="006E7B83"/>
    <w:rsid w:val="006E7CFD"/>
    <w:rsid w:val="006F06D2"/>
    <w:rsid w:val="006F147D"/>
    <w:rsid w:val="006F27C8"/>
    <w:rsid w:val="006F3188"/>
    <w:rsid w:val="006F41C4"/>
    <w:rsid w:val="006F5931"/>
    <w:rsid w:val="006F6546"/>
    <w:rsid w:val="006F6C5D"/>
    <w:rsid w:val="00700546"/>
    <w:rsid w:val="0070163A"/>
    <w:rsid w:val="007046CC"/>
    <w:rsid w:val="007065A3"/>
    <w:rsid w:val="00706CA1"/>
    <w:rsid w:val="007070BE"/>
    <w:rsid w:val="007071CF"/>
    <w:rsid w:val="007101F7"/>
    <w:rsid w:val="00711FCA"/>
    <w:rsid w:val="0071225A"/>
    <w:rsid w:val="007124C9"/>
    <w:rsid w:val="00713EEF"/>
    <w:rsid w:val="00714A2A"/>
    <w:rsid w:val="0071536F"/>
    <w:rsid w:val="007156FA"/>
    <w:rsid w:val="007157CF"/>
    <w:rsid w:val="00716080"/>
    <w:rsid w:val="007176F3"/>
    <w:rsid w:val="007202ED"/>
    <w:rsid w:val="007214CD"/>
    <w:rsid w:val="0072225D"/>
    <w:rsid w:val="0072244C"/>
    <w:rsid w:val="00722F5F"/>
    <w:rsid w:val="00723447"/>
    <w:rsid w:val="007244AC"/>
    <w:rsid w:val="0072455F"/>
    <w:rsid w:val="00725D22"/>
    <w:rsid w:val="00727B9A"/>
    <w:rsid w:val="00730055"/>
    <w:rsid w:val="00730907"/>
    <w:rsid w:val="00730AE2"/>
    <w:rsid w:val="00730FDB"/>
    <w:rsid w:val="00731871"/>
    <w:rsid w:val="007319BE"/>
    <w:rsid w:val="00732AEA"/>
    <w:rsid w:val="00732DE4"/>
    <w:rsid w:val="0073579A"/>
    <w:rsid w:val="00737DB0"/>
    <w:rsid w:val="007405C6"/>
    <w:rsid w:val="0074073A"/>
    <w:rsid w:val="007425DD"/>
    <w:rsid w:val="00742B1E"/>
    <w:rsid w:val="00743323"/>
    <w:rsid w:val="00745BA9"/>
    <w:rsid w:val="00746858"/>
    <w:rsid w:val="00746E96"/>
    <w:rsid w:val="007479CF"/>
    <w:rsid w:val="0075073E"/>
    <w:rsid w:val="007510CF"/>
    <w:rsid w:val="0075158D"/>
    <w:rsid w:val="007535CD"/>
    <w:rsid w:val="00753AD4"/>
    <w:rsid w:val="007547C7"/>
    <w:rsid w:val="00754B4F"/>
    <w:rsid w:val="00754C92"/>
    <w:rsid w:val="00755176"/>
    <w:rsid w:val="0075609C"/>
    <w:rsid w:val="00756885"/>
    <w:rsid w:val="00760557"/>
    <w:rsid w:val="00762F24"/>
    <w:rsid w:val="007643B0"/>
    <w:rsid w:val="0076787C"/>
    <w:rsid w:val="00767B1E"/>
    <w:rsid w:val="00770073"/>
    <w:rsid w:val="0077133C"/>
    <w:rsid w:val="00771810"/>
    <w:rsid w:val="00771AC1"/>
    <w:rsid w:val="00773291"/>
    <w:rsid w:val="007748BE"/>
    <w:rsid w:val="00774E1D"/>
    <w:rsid w:val="00775AC7"/>
    <w:rsid w:val="007764D1"/>
    <w:rsid w:val="0078087E"/>
    <w:rsid w:val="0078090B"/>
    <w:rsid w:val="00781E60"/>
    <w:rsid w:val="00784B87"/>
    <w:rsid w:val="00785058"/>
    <w:rsid w:val="00785D35"/>
    <w:rsid w:val="00786659"/>
    <w:rsid w:val="00786B16"/>
    <w:rsid w:val="00786BDC"/>
    <w:rsid w:val="00787609"/>
    <w:rsid w:val="0079058E"/>
    <w:rsid w:val="00792A02"/>
    <w:rsid w:val="00792A6B"/>
    <w:rsid w:val="00793197"/>
    <w:rsid w:val="007937E4"/>
    <w:rsid w:val="007963AA"/>
    <w:rsid w:val="007964BB"/>
    <w:rsid w:val="00796D3C"/>
    <w:rsid w:val="00797BF9"/>
    <w:rsid w:val="00797F4D"/>
    <w:rsid w:val="007A162E"/>
    <w:rsid w:val="007A1B58"/>
    <w:rsid w:val="007A1DFF"/>
    <w:rsid w:val="007A3F52"/>
    <w:rsid w:val="007A4113"/>
    <w:rsid w:val="007A511F"/>
    <w:rsid w:val="007A6239"/>
    <w:rsid w:val="007A7289"/>
    <w:rsid w:val="007A79CC"/>
    <w:rsid w:val="007B0D61"/>
    <w:rsid w:val="007B236A"/>
    <w:rsid w:val="007B238D"/>
    <w:rsid w:val="007B30ED"/>
    <w:rsid w:val="007B46DA"/>
    <w:rsid w:val="007B582A"/>
    <w:rsid w:val="007B6E3B"/>
    <w:rsid w:val="007B751F"/>
    <w:rsid w:val="007C112A"/>
    <w:rsid w:val="007C1712"/>
    <w:rsid w:val="007C29C5"/>
    <w:rsid w:val="007C2B21"/>
    <w:rsid w:val="007C2EA9"/>
    <w:rsid w:val="007C35E3"/>
    <w:rsid w:val="007D0338"/>
    <w:rsid w:val="007D05B7"/>
    <w:rsid w:val="007D0F89"/>
    <w:rsid w:val="007D3BC5"/>
    <w:rsid w:val="007D4F08"/>
    <w:rsid w:val="007D58BF"/>
    <w:rsid w:val="007D6FD6"/>
    <w:rsid w:val="007D73C8"/>
    <w:rsid w:val="007D792F"/>
    <w:rsid w:val="007D7D68"/>
    <w:rsid w:val="007E064C"/>
    <w:rsid w:val="007E0FB8"/>
    <w:rsid w:val="007E1090"/>
    <w:rsid w:val="007E3072"/>
    <w:rsid w:val="007E3C12"/>
    <w:rsid w:val="007E3E71"/>
    <w:rsid w:val="007E483C"/>
    <w:rsid w:val="007E6BEF"/>
    <w:rsid w:val="007E7B84"/>
    <w:rsid w:val="007E7EE7"/>
    <w:rsid w:val="007F0D60"/>
    <w:rsid w:val="007F1089"/>
    <w:rsid w:val="007F3255"/>
    <w:rsid w:val="007F342B"/>
    <w:rsid w:val="007F3647"/>
    <w:rsid w:val="007F3878"/>
    <w:rsid w:val="007F3891"/>
    <w:rsid w:val="007F401F"/>
    <w:rsid w:val="007F443D"/>
    <w:rsid w:val="007F4A3E"/>
    <w:rsid w:val="007F6D27"/>
    <w:rsid w:val="007F769E"/>
    <w:rsid w:val="00801891"/>
    <w:rsid w:val="00802683"/>
    <w:rsid w:val="00805B23"/>
    <w:rsid w:val="00805F9A"/>
    <w:rsid w:val="0080621A"/>
    <w:rsid w:val="008065C2"/>
    <w:rsid w:val="00806EF0"/>
    <w:rsid w:val="0080715F"/>
    <w:rsid w:val="008103D2"/>
    <w:rsid w:val="008127F3"/>
    <w:rsid w:val="00812B84"/>
    <w:rsid w:val="00813A2D"/>
    <w:rsid w:val="00813B00"/>
    <w:rsid w:val="00813CCB"/>
    <w:rsid w:val="00814862"/>
    <w:rsid w:val="00814A6B"/>
    <w:rsid w:val="00814E62"/>
    <w:rsid w:val="008152AE"/>
    <w:rsid w:val="008168A2"/>
    <w:rsid w:val="008177AE"/>
    <w:rsid w:val="00820B03"/>
    <w:rsid w:val="008219FA"/>
    <w:rsid w:val="00821AFB"/>
    <w:rsid w:val="00822479"/>
    <w:rsid w:val="00822B1E"/>
    <w:rsid w:val="00822FBC"/>
    <w:rsid w:val="008232A0"/>
    <w:rsid w:val="00823BBB"/>
    <w:rsid w:val="0082597C"/>
    <w:rsid w:val="00825E6F"/>
    <w:rsid w:val="00826D04"/>
    <w:rsid w:val="0082758F"/>
    <w:rsid w:val="0082797D"/>
    <w:rsid w:val="008305D4"/>
    <w:rsid w:val="00830D2A"/>
    <w:rsid w:val="008311A4"/>
    <w:rsid w:val="00832AF6"/>
    <w:rsid w:val="008353FC"/>
    <w:rsid w:val="00836652"/>
    <w:rsid w:val="0083672E"/>
    <w:rsid w:val="008369FF"/>
    <w:rsid w:val="00836ECF"/>
    <w:rsid w:val="00840380"/>
    <w:rsid w:val="008420AD"/>
    <w:rsid w:val="00843C7A"/>
    <w:rsid w:val="008446FA"/>
    <w:rsid w:val="008449E3"/>
    <w:rsid w:val="00845B2F"/>
    <w:rsid w:val="00845D76"/>
    <w:rsid w:val="0084793F"/>
    <w:rsid w:val="008501F2"/>
    <w:rsid w:val="0085030D"/>
    <w:rsid w:val="00854222"/>
    <w:rsid w:val="0085489F"/>
    <w:rsid w:val="008553AE"/>
    <w:rsid w:val="008560D4"/>
    <w:rsid w:val="00857D9E"/>
    <w:rsid w:val="0086056F"/>
    <w:rsid w:val="00860685"/>
    <w:rsid w:val="00860AA3"/>
    <w:rsid w:val="00860C2B"/>
    <w:rsid w:val="00860ED4"/>
    <w:rsid w:val="00861AAA"/>
    <w:rsid w:val="00862AFB"/>
    <w:rsid w:val="00863F75"/>
    <w:rsid w:val="00863FCC"/>
    <w:rsid w:val="00864A21"/>
    <w:rsid w:val="00865292"/>
    <w:rsid w:val="0086531B"/>
    <w:rsid w:val="008664B3"/>
    <w:rsid w:val="008666DA"/>
    <w:rsid w:val="00866924"/>
    <w:rsid w:val="008673AC"/>
    <w:rsid w:val="008703A7"/>
    <w:rsid w:val="00870D7D"/>
    <w:rsid w:val="0087162B"/>
    <w:rsid w:val="00871670"/>
    <w:rsid w:val="008736D9"/>
    <w:rsid w:val="00875756"/>
    <w:rsid w:val="00875EFE"/>
    <w:rsid w:val="008762A1"/>
    <w:rsid w:val="0088052F"/>
    <w:rsid w:val="008807BB"/>
    <w:rsid w:val="00881919"/>
    <w:rsid w:val="00881D53"/>
    <w:rsid w:val="00882E24"/>
    <w:rsid w:val="00882EC1"/>
    <w:rsid w:val="008866EA"/>
    <w:rsid w:val="00887AA4"/>
    <w:rsid w:val="00887DBF"/>
    <w:rsid w:val="0089042A"/>
    <w:rsid w:val="00890645"/>
    <w:rsid w:val="00890AD7"/>
    <w:rsid w:val="00891494"/>
    <w:rsid w:val="00891CB1"/>
    <w:rsid w:val="008920B2"/>
    <w:rsid w:val="00892DCA"/>
    <w:rsid w:val="00895010"/>
    <w:rsid w:val="00896950"/>
    <w:rsid w:val="008A07AC"/>
    <w:rsid w:val="008A0A97"/>
    <w:rsid w:val="008A11DC"/>
    <w:rsid w:val="008A335A"/>
    <w:rsid w:val="008A361F"/>
    <w:rsid w:val="008A44D8"/>
    <w:rsid w:val="008A470E"/>
    <w:rsid w:val="008A49B1"/>
    <w:rsid w:val="008A4A57"/>
    <w:rsid w:val="008A4DC1"/>
    <w:rsid w:val="008A4E70"/>
    <w:rsid w:val="008A5C55"/>
    <w:rsid w:val="008A5DB2"/>
    <w:rsid w:val="008A60BC"/>
    <w:rsid w:val="008A614E"/>
    <w:rsid w:val="008B0383"/>
    <w:rsid w:val="008B04DF"/>
    <w:rsid w:val="008B1D9C"/>
    <w:rsid w:val="008B304F"/>
    <w:rsid w:val="008B4528"/>
    <w:rsid w:val="008B4C71"/>
    <w:rsid w:val="008B58AE"/>
    <w:rsid w:val="008B5A83"/>
    <w:rsid w:val="008B65D1"/>
    <w:rsid w:val="008B65FF"/>
    <w:rsid w:val="008B7BD5"/>
    <w:rsid w:val="008B7E38"/>
    <w:rsid w:val="008C044E"/>
    <w:rsid w:val="008C095A"/>
    <w:rsid w:val="008C0A0A"/>
    <w:rsid w:val="008C1152"/>
    <w:rsid w:val="008C14D0"/>
    <w:rsid w:val="008C2822"/>
    <w:rsid w:val="008C2867"/>
    <w:rsid w:val="008C30C8"/>
    <w:rsid w:val="008C4884"/>
    <w:rsid w:val="008C4994"/>
    <w:rsid w:val="008C5663"/>
    <w:rsid w:val="008C57A8"/>
    <w:rsid w:val="008C5F0B"/>
    <w:rsid w:val="008C7770"/>
    <w:rsid w:val="008C7B4E"/>
    <w:rsid w:val="008D08A5"/>
    <w:rsid w:val="008D2276"/>
    <w:rsid w:val="008D4F49"/>
    <w:rsid w:val="008D5D7D"/>
    <w:rsid w:val="008D7EB9"/>
    <w:rsid w:val="008E012E"/>
    <w:rsid w:val="008E1017"/>
    <w:rsid w:val="008E2516"/>
    <w:rsid w:val="008E4440"/>
    <w:rsid w:val="008E46AA"/>
    <w:rsid w:val="008E4892"/>
    <w:rsid w:val="008E5ED9"/>
    <w:rsid w:val="008E6346"/>
    <w:rsid w:val="008E68EF"/>
    <w:rsid w:val="008F004E"/>
    <w:rsid w:val="008F0243"/>
    <w:rsid w:val="008F02E4"/>
    <w:rsid w:val="008F12B9"/>
    <w:rsid w:val="008F23CC"/>
    <w:rsid w:val="008F2DC0"/>
    <w:rsid w:val="008F44BC"/>
    <w:rsid w:val="008F54B8"/>
    <w:rsid w:val="008F5578"/>
    <w:rsid w:val="008F71CB"/>
    <w:rsid w:val="008F7E0F"/>
    <w:rsid w:val="00901400"/>
    <w:rsid w:val="00901922"/>
    <w:rsid w:val="00901DBC"/>
    <w:rsid w:val="00902A9C"/>
    <w:rsid w:val="0090357F"/>
    <w:rsid w:val="00903751"/>
    <w:rsid w:val="00903BF6"/>
    <w:rsid w:val="00903ECC"/>
    <w:rsid w:val="009040D1"/>
    <w:rsid w:val="009043B0"/>
    <w:rsid w:val="009047DF"/>
    <w:rsid w:val="00905026"/>
    <w:rsid w:val="0090541E"/>
    <w:rsid w:val="00905491"/>
    <w:rsid w:val="00911BEF"/>
    <w:rsid w:val="00913030"/>
    <w:rsid w:val="009131B7"/>
    <w:rsid w:val="00913C5D"/>
    <w:rsid w:val="00914112"/>
    <w:rsid w:val="00914710"/>
    <w:rsid w:val="00914A77"/>
    <w:rsid w:val="00914F97"/>
    <w:rsid w:val="00916780"/>
    <w:rsid w:val="00916B4A"/>
    <w:rsid w:val="009176D3"/>
    <w:rsid w:val="00920C23"/>
    <w:rsid w:val="00920E8B"/>
    <w:rsid w:val="009215C4"/>
    <w:rsid w:val="0092301E"/>
    <w:rsid w:val="009238A7"/>
    <w:rsid w:val="0092491F"/>
    <w:rsid w:val="00925F87"/>
    <w:rsid w:val="009266AB"/>
    <w:rsid w:val="00930CE5"/>
    <w:rsid w:val="009319AF"/>
    <w:rsid w:val="0093217E"/>
    <w:rsid w:val="009349DD"/>
    <w:rsid w:val="0093620A"/>
    <w:rsid w:val="00936B6E"/>
    <w:rsid w:val="009405D8"/>
    <w:rsid w:val="0094081A"/>
    <w:rsid w:val="009417FB"/>
    <w:rsid w:val="00941E08"/>
    <w:rsid w:val="0094317E"/>
    <w:rsid w:val="009434DB"/>
    <w:rsid w:val="00943508"/>
    <w:rsid w:val="00944C9C"/>
    <w:rsid w:val="00944CAE"/>
    <w:rsid w:val="00947646"/>
    <w:rsid w:val="00952AD8"/>
    <w:rsid w:val="00953BEB"/>
    <w:rsid w:val="00954681"/>
    <w:rsid w:val="0095569B"/>
    <w:rsid w:val="009559BA"/>
    <w:rsid w:val="0095667F"/>
    <w:rsid w:val="00956AF5"/>
    <w:rsid w:val="00956B17"/>
    <w:rsid w:val="00957755"/>
    <w:rsid w:val="009611EC"/>
    <w:rsid w:val="0096348D"/>
    <w:rsid w:val="00963793"/>
    <w:rsid w:val="00963BD7"/>
    <w:rsid w:val="00965971"/>
    <w:rsid w:val="00966453"/>
    <w:rsid w:val="00966DB4"/>
    <w:rsid w:val="00966FDA"/>
    <w:rsid w:val="00972AF9"/>
    <w:rsid w:val="00973A47"/>
    <w:rsid w:val="00974E52"/>
    <w:rsid w:val="00975A76"/>
    <w:rsid w:val="00976F60"/>
    <w:rsid w:val="00980A27"/>
    <w:rsid w:val="0098458C"/>
    <w:rsid w:val="00985168"/>
    <w:rsid w:val="00985A6C"/>
    <w:rsid w:val="0098620D"/>
    <w:rsid w:val="00986BAD"/>
    <w:rsid w:val="009879CE"/>
    <w:rsid w:val="009879DA"/>
    <w:rsid w:val="00991878"/>
    <w:rsid w:val="00991CB6"/>
    <w:rsid w:val="0099233B"/>
    <w:rsid w:val="009930B5"/>
    <w:rsid w:val="00993146"/>
    <w:rsid w:val="009933F6"/>
    <w:rsid w:val="00994BB5"/>
    <w:rsid w:val="00994CE7"/>
    <w:rsid w:val="00996E5C"/>
    <w:rsid w:val="009977E5"/>
    <w:rsid w:val="00997BBE"/>
    <w:rsid w:val="009A13E1"/>
    <w:rsid w:val="009A3A4B"/>
    <w:rsid w:val="009A48D9"/>
    <w:rsid w:val="009A4D49"/>
    <w:rsid w:val="009A502B"/>
    <w:rsid w:val="009A50CF"/>
    <w:rsid w:val="009A6B8D"/>
    <w:rsid w:val="009A71C3"/>
    <w:rsid w:val="009A76E3"/>
    <w:rsid w:val="009B1A5D"/>
    <w:rsid w:val="009B1C49"/>
    <w:rsid w:val="009B2EDA"/>
    <w:rsid w:val="009B316A"/>
    <w:rsid w:val="009B34F9"/>
    <w:rsid w:val="009B44E4"/>
    <w:rsid w:val="009B4CE5"/>
    <w:rsid w:val="009B5AE9"/>
    <w:rsid w:val="009B6CFF"/>
    <w:rsid w:val="009B7ED1"/>
    <w:rsid w:val="009C07B9"/>
    <w:rsid w:val="009C0A1C"/>
    <w:rsid w:val="009C0CA1"/>
    <w:rsid w:val="009C1B2F"/>
    <w:rsid w:val="009C4D87"/>
    <w:rsid w:val="009C544B"/>
    <w:rsid w:val="009C56CF"/>
    <w:rsid w:val="009C6404"/>
    <w:rsid w:val="009C6810"/>
    <w:rsid w:val="009D02FA"/>
    <w:rsid w:val="009D159C"/>
    <w:rsid w:val="009D39B7"/>
    <w:rsid w:val="009D56A9"/>
    <w:rsid w:val="009D56DE"/>
    <w:rsid w:val="009D616B"/>
    <w:rsid w:val="009E16B9"/>
    <w:rsid w:val="009E2F00"/>
    <w:rsid w:val="009E40F6"/>
    <w:rsid w:val="009E57FD"/>
    <w:rsid w:val="009E6710"/>
    <w:rsid w:val="009E792A"/>
    <w:rsid w:val="009E7E3D"/>
    <w:rsid w:val="009F05EF"/>
    <w:rsid w:val="009F1BB4"/>
    <w:rsid w:val="009F3A5F"/>
    <w:rsid w:val="009F5BA1"/>
    <w:rsid w:val="009F7114"/>
    <w:rsid w:val="009F7628"/>
    <w:rsid w:val="00A010D0"/>
    <w:rsid w:val="00A02758"/>
    <w:rsid w:val="00A03977"/>
    <w:rsid w:val="00A04954"/>
    <w:rsid w:val="00A07E16"/>
    <w:rsid w:val="00A1116F"/>
    <w:rsid w:val="00A113AC"/>
    <w:rsid w:val="00A1166C"/>
    <w:rsid w:val="00A12084"/>
    <w:rsid w:val="00A13ED1"/>
    <w:rsid w:val="00A142CC"/>
    <w:rsid w:val="00A145EB"/>
    <w:rsid w:val="00A15B1A"/>
    <w:rsid w:val="00A15E82"/>
    <w:rsid w:val="00A16437"/>
    <w:rsid w:val="00A16649"/>
    <w:rsid w:val="00A16E1B"/>
    <w:rsid w:val="00A176FA"/>
    <w:rsid w:val="00A17A48"/>
    <w:rsid w:val="00A21B9C"/>
    <w:rsid w:val="00A22467"/>
    <w:rsid w:val="00A2339A"/>
    <w:rsid w:val="00A23B56"/>
    <w:rsid w:val="00A23DB1"/>
    <w:rsid w:val="00A24727"/>
    <w:rsid w:val="00A25821"/>
    <w:rsid w:val="00A31A04"/>
    <w:rsid w:val="00A32509"/>
    <w:rsid w:val="00A328D6"/>
    <w:rsid w:val="00A337D0"/>
    <w:rsid w:val="00A349C8"/>
    <w:rsid w:val="00A34A31"/>
    <w:rsid w:val="00A35183"/>
    <w:rsid w:val="00A369D4"/>
    <w:rsid w:val="00A41BFF"/>
    <w:rsid w:val="00A423F2"/>
    <w:rsid w:val="00A427EE"/>
    <w:rsid w:val="00A4287E"/>
    <w:rsid w:val="00A43861"/>
    <w:rsid w:val="00A43A86"/>
    <w:rsid w:val="00A44BCE"/>
    <w:rsid w:val="00A45393"/>
    <w:rsid w:val="00A45B08"/>
    <w:rsid w:val="00A46F0C"/>
    <w:rsid w:val="00A47318"/>
    <w:rsid w:val="00A47886"/>
    <w:rsid w:val="00A513AC"/>
    <w:rsid w:val="00A519D3"/>
    <w:rsid w:val="00A533EE"/>
    <w:rsid w:val="00A534AE"/>
    <w:rsid w:val="00A5515E"/>
    <w:rsid w:val="00A55409"/>
    <w:rsid w:val="00A562AD"/>
    <w:rsid w:val="00A5638E"/>
    <w:rsid w:val="00A568F6"/>
    <w:rsid w:val="00A57663"/>
    <w:rsid w:val="00A57DB8"/>
    <w:rsid w:val="00A60897"/>
    <w:rsid w:val="00A60C29"/>
    <w:rsid w:val="00A60E62"/>
    <w:rsid w:val="00A63B7D"/>
    <w:rsid w:val="00A649CD"/>
    <w:rsid w:val="00A67DE3"/>
    <w:rsid w:val="00A7062A"/>
    <w:rsid w:val="00A70B55"/>
    <w:rsid w:val="00A716C6"/>
    <w:rsid w:val="00A7172F"/>
    <w:rsid w:val="00A7249B"/>
    <w:rsid w:val="00A73985"/>
    <w:rsid w:val="00A74C0B"/>
    <w:rsid w:val="00A758C1"/>
    <w:rsid w:val="00A7654C"/>
    <w:rsid w:val="00A772A7"/>
    <w:rsid w:val="00A77560"/>
    <w:rsid w:val="00A77A1C"/>
    <w:rsid w:val="00A77E71"/>
    <w:rsid w:val="00A77ECE"/>
    <w:rsid w:val="00A812CF"/>
    <w:rsid w:val="00A82F9A"/>
    <w:rsid w:val="00A83285"/>
    <w:rsid w:val="00A8356B"/>
    <w:rsid w:val="00A84243"/>
    <w:rsid w:val="00A8449E"/>
    <w:rsid w:val="00A855FC"/>
    <w:rsid w:val="00A85C55"/>
    <w:rsid w:val="00A85ED4"/>
    <w:rsid w:val="00A87632"/>
    <w:rsid w:val="00A90D6F"/>
    <w:rsid w:val="00A9101F"/>
    <w:rsid w:val="00A91C1B"/>
    <w:rsid w:val="00A93C6F"/>
    <w:rsid w:val="00A944E8"/>
    <w:rsid w:val="00A96831"/>
    <w:rsid w:val="00A969AB"/>
    <w:rsid w:val="00A96ACA"/>
    <w:rsid w:val="00A96EF0"/>
    <w:rsid w:val="00AA0743"/>
    <w:rsid w:val="00AA3108"/>
    <w:rsid w:val="00AA383A"/>
    <w:rsid w:val="00AA4039"/>
    <w:rsid w:val="00AA40D9"/>
    <w:rsid w:val="00AA4682"/>
    <w:rsid w:val="00AA4805"/>
    <w:rsid w:val="00AA4D88"/>
    <w:rsid w:val="00AA4FE3"/>
    <w:rsid w:val="00AA5412"/>
    <w:rsid w:val="00AA7737"/>
    <w:rsid w:val="00AB2254"/>
    <w:rsid w:val="00AB2D93"/>
    <w:rsid w:val="00AB34D1"/>
    <w:rsid w:val="00AB638B"/>
    <w:rsid w:val="00AB6B47"/>
    <w:rsid w:val="00AB7294"/>
    <w:rsid w:val="00AB7E42"/>
    <w:rsid w:val="00AC17DC"/>
    <w:rsid w:val="00AC2F03"/>
    <w:rsid w:val="00AC3869"/>
    <w:rsid w:val="00AC3A85"/>
    <w:rsid w:val="00AC4F13"/>
    <w:rsid w:val="00AC60F0"/>
    <w:rsid w:val="00AC658E"/>
    <w:rsid w:val="00AC6A90"/>
    <w:rsid w:val="00AD0063"/>
    <w:rsid w:val="00AD160F"/>
    <w:rsid w:val="00AD3C4F"/>
    <w:rsid w:val="00AD4C55"/>
    <w:rsid w:val="00AD58AA"/>
    <w:rsid w:val="00AD5BA6"/>
    <w:rsid w:val="00AD68D1"/>
    <w:rsid w:val="00AD6B66"/>
    <w:rsid w:val="00AD78C2"/>
    <w:rsid w:val="00AD7C59"/>
    <w:rsid w:val="00AE1A22"/>
    <w:rsid w:val="00AE2575"/>
    <w:rsid w:val="00AE2715"/>
    <w:rsid w:val="00AE362F"/>
    <w:rsid w:val="00AE483A"/>
    <w:rsid w:val="00AE5A09"/>
    <w:rsid w:val="00AE5EEA"/>
    <w:rsid w:val="00AE6AD8"/>
    <w:rsid w:val="00AE728D"/>
    <w:rsid w:val="00AF06BC"/>
    <w:rsid w:val="00AF1549"/>
    <w:rsid w:val="00AF1AF8"/>
    <w:rsid w:val="00AF1E34"/>
    <w:rsid w:val="00AF3627"/>
    <w:rsid w:val="00AF3D34"/>
    <w:rsid w:val="00AF3E6C"/>
    <w:rsid w:val="00AF54C0"/>
    <w:rsid w:val="00AF5BAB"/>
    <w:rsid w:val="00AF7B9B"/>
    <w:rsid w:val="00AF7F83"/>
    <w:rsid w:val="00B019CF"/>
    <w:rsid w:val="00B01B00"/>
    <w:rsid w:val="00B02FE8"/>
    <w:rsid w:val="00B03358"/>
    <w:rsid w:val="00B03A29"/>
    <w:rsid w:val="00B04673"/>
    <w:rsid w:val="00B047C4"/>
    <w:rsid w:val="00B056B0"/>
    <w:rsid w:val="00B065C4"/>
    <w:rsid w:val="00B06795"/>
    <w:rsid w:val="00B068CF"/>
    <w:rsid w:val="00B1046E"/>
    <w:rsid w:val="00B110A2"/>
    <w:rsid w:val="00B120F4"/>
    <w:rsid w:val="00B12278"/>
    <w:rsid w:val="00B124A7"/>
    <w:rsid w:val="00B12D23"/>
    <w:rsid w:val="00B1355C"/>
    <w:rsid w:val="00B1359C"/>
    <w:rsid w:val="00B135BE"/>
    <w:rsid w:val="00B13794"/>
    <w:rsid w:val="00B15A9C"/>
    <w:rsid w:val="00B1649A"/>
    <w:rsid w:val="00B20511"/>
    <w:rsid w:val="00B2156E"/>
    <w:rsid w:val="00B22991"/>
    <w:rsid w:val="00B22A55"/>
    <w:rsid w:val="00B23DEB"/>
    <w:rsid w:val="00B23FBF"/>
    <w:rsid w:val="00B24068"/>
    <w:rsid w:val="00B24FFA"/>
    <w:rsid w:val="00B25F96"/>
    <w:rsid w:val="00B25FF9"/>
    <w:rsid w:val="00B2632D"/>
    <w:rsid w:val="00B27463"/>
    <w:rsid w:val="00B30241"/>
    <w:rsid w:val="00B302E8"/>
    <w:rsid w:val="00B30AE7"/>
    <w:rsid w:val="00B30BE8"/>
    <w:rsid w:val="00B314D6"/>
    <w:rsid w:val="00B31777"/>
    <w:rsid w:val="00B32413"/>
    <w:rsid w:val="00B32582"/>
    <w:rsid w:val="00B35A32"/>
    <w:rsid w:val="00B40F30"/>
    <w:rsid w:val="00B410C7"/>
    <w:rsid w:val="00B41B0F"/>
    <w:rsid w:val="00B430D8"/>
    <w:rsid w:val="00B43F6E"/>
    <w:rsid w:val="00B440A9"/>
    <w:rsid w:val="00B443CB"/>
    <w:rsid w:val="00B44DE0"/>
    <w:rsid w:val="00B44FF5"/>
    <w:rsid w:val="00B45773"/>
    <w:rsid w:val="00B467F0"/>
    <w:rsid w:val="00B47036"/>
    <w:rsid w:val="00B4734E"/>
    <w:rsid w:val="00B477D4"/>
    <w:rsid w:val="00B50047"/>
    <w:rsid w:val="00B50813"/>
    <w:rsid w:val="00B54304"/>
    <w:rsid w:val="00B57529"/>
    <w:rsid w:val="00B577A8"/>
    <w:rsid w:val="00B60EF4"/>
    <w:rsid w:val="00B61B7A"/>
    <w:rsid w:val="00B62591"/>
    <w:rsid w:val="00B627B8"/>
    <w:rsid w:val="00B62C00"/>
    <w:rsid w:val="00B63D21"/>
    <w:rsid w:val="00B64D06"/>
    <w:rsid w:val="00B66343"/>
    <w:rsid w:val="00B67C87"/>
    <w:rsid w:val="00B70746"/>
    <w:rsid w:val="00B70CD1"/>
    <w:rsid w:val="00B71CEF"/>
    <w:rsid w:val="00B724A9"/>
    <w:rsid w:val="00B736D0"/>
    <w:rsid w:val="00B7421C"/>
    <w:rsid w:val="00B75D90"/>
    <w:rsid w:val="00B7612D"/>
    <w:rsid w:val="00B766F0"/>
    <w:rsid w:val="00B80205"/>
    <w:rsid w:val="00B81899"/>
    <w:rsid w:val="00B82E58"/>
    <w:rsid w:val="00B8480B"/>
    <w:rsid w:val="00B85BB1"/>
    <w:rsid w:val="00B85F1A"/>
    <w:rsid w:val="00B8720D"/>
    <w:rsid w:val="00B872B5"/>
    <w:rsid w:val="00B8785F"/>
    <w:rsid w:val="00B91590"/>
    <w:rsid w:val="00B9201B"/>
    <w:rsid w:val="00B931BE"/>
    <w:rsid w:val="00B93507"/>
    <w:rsid w:val="00B93F5D"/>
    <w:rsid w:val="00B94483"/>
    <w:rsid w:val="00B9570C"/>
    <w:rsid w:val="00B961C6"/>
    <w:rsid w:val="00B9676D"/>
    <w:rsid w:val="00B96E4E"/>
    <w:rsid w:val="00B96F07"/>
    <w:rsid w:val="00B9752F"/>
    <w:rsid w:val="00B97B02"/>
    <w:rsid w:val="00B97F4D"/>
    <w:rsid w:val="00BA0AA4"/>
    <w:rsid w:val="00BA4191"/>
    <w:rsid w:val="00BA4F61"/>
    <w:rsid w:val="00BA52A3"/>
    <w:rsid w:val="00BA5535"/>
    <w:rsid w:val="00BA5F1D"/>
    <w:rsid w:val="00BA6FCA"/>
    <w:rsid w:val="00BA7DB6"/>
    <w:rsid w:val="00BB0777"/>
    <w:rsid w:val="00BB0847"/>
    <w:rsid w:val="00BB14F6"/>
    <w:rsid w:val="00BB28F0"/>
    <w:rsid w:val="00BB3A9D"/>
    <w:rsid w:val="00BB3EFA"/>
    <w:rsid w:val="00BB483C"/>
    <w:rsid w:val="00BB56D7"/>
    <w:rsid w:val="00BB57EB"/>
    <w:rsid w:val="00BB5A69"/>
    <w:rsid w:val="00BB6327"/>
    <w:rsid w:val="00BB63D3"/>
    <w:rsid w:val="00BB74CE"/>
    <w:rsid w:val="00BB7723"/>
    <w:rsid w:val="00BB7A0B"/>
    <w:rsid w:val="00BC09DF"/>
    <w:rsid w:val="00BC0AD4"/>
    <w:rsid w:val="00BC0E99"/>
    <w:rsid w:val="00BC0FB6"/>
    <w:rsid w:val="00BC256D"/>
    <w:rsid w:val="00BC2570"/>
    <w:rsid w:val="00BC3266"/>
    <w:rsid w:val="00BC4DD5"/>
    <w:rsid w:val="00BC5FDD"/>
    <w:rsid w:val="00BC70BD"/>
    <w:rsid w:val="00BC7AE8"/>
    <w:rsid w:val="00BC7BE5"/>
    <w:rsid w:val="00BD121D"/>
    <w:rsid w:val="00BD1E22"/>
    <w:rsid w:val="00BD2124"/>
    <w:rsid w:val="00BD2127"/>
    <w:rsid w:val="00BD21E8"/>
    <w:rsid w:val="00BD25F8"/>
    <w:rsid w:val="00BD28F9"/>
    <w:rsid w:val="00BD2B0D"/>
    <w:rsid w:val="00BD379D"/>
    <w:rsid w:val="00BD4056"/>
    <w:rsid w:val="00BD4E99"/>
    <w:rsid w:val="00BD5C15"/>
    <w:rsid w:val="00BD630E"/>
    <w:rsid w:val="00BD6AF6"/>
    <w:rsid w:val="00BD76A1"/>
    <w:rsid w:val="00BE059A"/>
    <w:rsid w:val="00BE4012"/>
    <w:rsid w:val="00BE6460"/>
    <w:rsid w:val="00BE7459"/>
    <w:rsid w:val="00BE7804"/>
    <w:rsid w:val="00BF0384"/>
    <w:rsid w:val="00BF0F85"/>
    <w:rsid w:val="00BF1174"/>
    <w:rsid w:val="00BF1635"/>
    <w:rsid w:val="00BF1A84"/>
    <w:rsid w:val="00BF1C4E"/>
    <w:rsid w:val="00BF1E7C"/>
    <w:rsid w:val="00BF1FD0"/>
    <w:rsid w:val="00BF45A5"/>
    <w:rsid w:val="00BF4617"/>
    <w:rsid w:val="00BF4D2D"/>
    <w:rsid w:val="00BF5080"/>
    <w:rsid w:val="00BF51F8"/>
    <w:rsid w:val="00BF5330"/>
    <w:rsid w:val="00BF5996"/>
    <w:rsid w:val="00BF5D82"/>
    <w:rsid w:val="00BF6E72"/>
    <w:rsid w:val="00C008CE"/>
    <w:rsid w:val="00C0122A"/>
    <w:rsid w:val="00C01ACF"/>
    <w:rsid w:val="00C02BEE"/>
    <w:rsid w:val="00C034AE"/>
    <w:rsid w:val="00C042BD"/>
    <w:rsid w:val="00C05D56"/>
    <w:rsid w:val="00C10AD3"/>
    <w:rsid w:val="00C10BF0"/>
    <w:rsid w:val="00C11053"/>
    <w:rsid w:val="00C125CC"/>
    <w:rsid w:val="00C12B54"/>
    <w:rsid w:val="00C13869"/>
    <w:rsid w:val="00C1446B"/>
    <w:rsid w:val="00C145DC"/>
    <w:rsid w:val="00C20F22"/>
    <w:rsid w:val="00C213D1"/>
    <w:rsid w:val="00C2258B"/>
    <w:rsid w:val="00C23B1F"/>
    <w:rsid w:val="00C23CA1"/>
    <w:rsid w:val="00C25524"/>
    <w:rsid w:val="00C25641"/>
    <w:rsid w:val="00C27F5A"/>
    <w:rsid w:val="00C300C8"/>
    <w:rsid w:val="00C305CE"/>
    <w:rsid w:val="00C31681"/>
    <w:rsid w:val="00C33380"/>
    <w:rsid w:val="00C35772"/>
    <w:rsid w:val="00C358A3"/>
    <w:rsid w:val="00C361DA"/>
    <w:rsid w:val="00C40CA4"/>
    <w:rsid w:val="00C41AF5"/>
    <w:rsid w:val="00C41C4F"/>
    <w:rsid w:val="00C42980"/>
    <w:rsid w:val="00C432B8"/>
    <w:rsid w:val="00C4487D"/>
    <w:rsid w:val="00C44BE6"/>
    <w:rsid w:val="00C4534C"/>
    <w:rsid w:val="00C4716F"/>
    <w:rsid w:val="00C50C6F"/>
    <w:rsid w:val="00C511E6"/>
    <w:rsid w:val="00C513E4"/>
    <w:rsid w:val="00C51410"/>
    <w:rsid w:val="00C52D9C"/>
    <w:rsid w:val="00C52FF9"/>
    <w:rsid w:val="00C53FC4"/>
    <w:rsid w:val="00C545AA"/>
    <w:rsid w:val="00C547A8"/>
    <w:rsid w:val="00C54D92"/>
    <w:rsid w:val="00C5550F"/>
    <w:rsid w:val="00C55A5E"/>
    <w:rsid w:val="00C569D3"/>
    <w:rsid w:val="00C56AE1"/>
    <w:rsid w:val="00C57481"/>
    <w:rsid w:val="00C57D9D"/>
    <w:rsid w:val="00C60287"/>
    <w:rsid w:val="00C6146C"/>
    <w:rsid w:val="00C61A70"/>
    <w:rsid w:val="00C61D66"/>
    <w:rsid w:val="00C6309A"/>
    <w:rsid w:val="00C63EB2"/>
    <w:rsid w:val="00C64AC4"/>
    <w:rsid w:val="00C669A6"/>
    <w:rsid w:val="00C67A63"/>
    <w:rsid w:val="00C71F4E"/>
    <w:rsid w:val="00C74316"/>
    <w:rsid w:val="00C74FAD"/>
    <w:rsid w:val="00C7627D"/>
    <w:rsid w:val="00C766EE"/>
    <w:rsid w:val="00C8003B"/>
    <w:rsid w:val="00C80209"/>
    <w:rsid w:val="00C80E7A"/>
    <w:rsid w:val="00C81392"/>
    <w:rsid w:val="00C82EA3"/>
    <w:rsid w:val="00C8377A"/>
    <w:rsid w:val="00C84565"/>
    <w:rsid w:val="00C84819"/>
    <w:rsid w:val="00C85312"/>
    <w:rsid w:val="00C85B9E"/>
    <w:rsid w:val="00C8639E"/>
    <w:rsid w:val="00C91631"/>
    <w:rsid w:val="00C91C7D"/>
    <w:rsid w:val="00C92720"/>
    <w:rsid w:val="00C933C9"/>
    <w:rsid w:val="00C94331"/>
    <w:rsid w:val="00C96D61"/>
    <w:rsid w:val="00CA0A0F"/>
    <w:rsid w:val="00CA10A3"/>
    <w:rsid w:val="00CA2AB5"/>
    <w:rsid w:val="00CA35B1"/>
    <w:rsid w:val="00CA3CAB"/>
    <w:rsid w:val="00CA5000"/>
    <w:rsid w:val="00CA5129"/>
    <w:rsid w:val="00CA5C04"/>
    <w:rsid w:val="00CA70EE"/>
    <w:rsid w:val="00CB0471"/>
    <w:rsid w:val="00CB0C5A"/>
    <w:rsid w:val="00CB114A"/>
    <w:rsid w:val="00CB195E"/>
    <w:rsid w:val="00CB1EA4"/>
    <w:rsid w:val="00CB2581"/>
    <w:rsid w:val="00CB264A"/>
    <w:rsid w:val="00CB396B"/>
    <w:rsid w:val="00CB4040"/>
    <w:rsid w:val="00CB40A9"/>
    <w:rsid w:val="00CB4A39"/>
    <w:rsid w:val="00CB4E71"/>
    <w:rsid w:val="00CB4F35"/>
    <w:rsid w:val="00CC01A8"/>
    <w:rsid w:val="00CC1B11"/>
    <w:rsid w:val="00CC1C44"/>
    <w:rsid w:val="00CC1FAE"/>
    <w:rsid w:val="00CC1FD6"/>
    <w:rsid w:val="00CC27BA"/>
    <w:rsid w:val="00CC2C3B"/>
    <w:rsid w:val="00CC4D64"/>
    <w:rsid w:val="00CC54A6"/>
    <w:rsid w:val="00CC77BA"/>
    <w:rsid w:val="00CC7853"/>
    <w:rsid w:val="00CD09DE"/>
    <w:rsid w:val="00CD0BD3"/>
    <w:rsid w:val="00CD0CF9"/>
    <w:rsid w:val="00CD14E7"/>
    <w:rsid w:val="00CD1D1A"/>
    <w:rsid w:val="00CD2CBF"/>
    <w:rsid w:val="00CD30C9"/>
    <w:rsid w:val="00CD36E0"/>
    <w:rsid w:val="00CD413E"/>
    <w:rsid w:val="00CD42FA"/>
    <w:rsid w:val="00CD4FE7"/>
    <w:rsid w:val="00CD7B86"/>
    <w:rsid w:val="00CD7F71"/>
    <w:rsid w:val="00CE20D1"/>
    <w:rsid w:val="00CE2F96"/>
    <w:rsid w:val="00CE3D4C"/>
    <w:rsid w:val="00CE5D33"/>
    <w:rsid w:val="00CE60F2"/>
    <w:rsid w:val="00CE613D"/>
    <w:rsid w:val="00CE7A28"/>
    <w:rsid w:val="00CF0035"/>
    <w:rsid w:val="00CF0E0B"/>
    <w:rsid w:val="00CF0E27"/>
    <w:rsid w:val="00CF1140"/>
    <w:rsid w:val="00CF16D7"/>
    <w:rsid w:val="00CF1794"/>
    <w:rsid w:val="00CF37E1"/>
    <w:rsid w:val="00CF3DD7"/>
    <w:rsid w:val="00CF47A1"/>
    <w:rsid w:val="00CF4968"/>
    <w:rsid w:val="00CF4D30"/>
    <w:rsid w:val="00CF5064"/>
    <w:rsid w:val="00CF574B"/>
    <w:rsid w:val="00CF60E1"/>
    <w:rsid w:val="00CF7384"/>
    <w:rsid w:val="00CF7D5C"/>
    <w:rsid w:val="00D003E4"/>
    <w:rsid w:val="00D00587"/>
    <w:rsid w:val="00D009B7"/>
    <w:rsid w:val="00D0231B"/>
    <w:rsid w:val="00D02D09"/>
    <w:rsid w:val="00D031C9"/>
    <w:rsid w:val="00D035B0"/>
    <w:rsid w:val="00D0466F"/>
    <w:rsid w:val="00D04A28"/>
    <w:rsid w:val="00D05167"/>
    <w:rsid w:val="00D05722"/>
    <w:rsid w:val="00D058BD"/>
    <w:rsid w:val="00D0653F"/>
    <w:rsid w:val="00D068A5"/>
    <w:rsid w:val="00D06AE6"/>
    <w:rsid w:val="00D1190E"/>
    <w:rsid w:val="00D13625"/>
    <w:rsid w:val="00D138F3"/>
    <w:rsid w:val="00D13E2A"/>
    <w:rsid w:val="00D147ED"/>
    <w:rsid w:val="00D151E2"/>
    <w:rsid w:val="00D1550B"/>
    <w:rsid w:val="00D15FCC"/>
    <w:rsid w:val="00D167E5"/>
    <w:rsid w:val="00D16B81"/>
    <w:rsid w:val="00D16F3D"/>
    <w:rsid w:val="00D210AF"/>
    <w:rsid w:val="00D2227E"/>
    <w:rsid w:val="00D224CE"/>
    <w:rsid w:val="00D22738"/>
    <w:rsid w:val="00D23475"/>
    <w:rsid w:val="00D24B71"/>
    <w:rsid w:val="00D25A1A"/>
    <w:rsid w:val="00D25A71"/>
    <w:rsid w:val="00D25D56"/>
    <w:rsid w:val="00D26334"/>
    <w:rsid w:val="00D263B6"/>
    <w:rsid w:val="00D26642"/>
    <w:rsid w:val="00D2664B"/>
    <w:rsid w:val="00D26F4B"/>
    <w:rsid w:val="00D30C94"/>
    <w:rsid w:val="00D30D27"/>
    <w:rsid w:val="00D31623"/>
    <w:rsid w:val="00D33CC0"/>
    <w:rsid w:val="00D34670"/>
    <w:rsid w:val="00D426BC"/>
    <w:rsid w:val="00D4443C"/>
    <w:rsid w:val="00D447C3"/>
    <w:rsid w:val="00D44C91"/>
    <w:rsid w:val="00D44DC7"/>
    <w:rsid w:val="00D45DC3"/>
    <w:rsid w:val="00D46A7F"/>
    <w:rsid w:val="00D50271"/>
    <w:rsid w:val="00D505BA"/>
    <w:rsid w:val="00D507C6"/>
    <w:rsid w:val="00D50D97"/>
    <w:rsid w:val="00D51CF4"/>
    <w:rsid w:val="00D51E17"/>
    <w:rsid w:val="00D5336C"/>
    <w:rsid w:val="00D53864"/>
    <w:rsid w:val="00D54A9E"/>
    <w:rsid w:val="00D55895"/>
    <w:rsid w:val="00D56BC6"/>
    <w:rsid w:val="00D56EDE"/>
    <w:rsid w:val="00D618B4"/>
    <w:rsid w:val="00D6204A"/>
    <w:rsid w:val="00D620A4"/>
    <w:rsid w:val="00D62350"/>
    <w:rsid w:val="00D6247E"/>
    <w:rsid w:val="00D62B4E"/>
    <w:rsid w:val="00D62BA9"/>
    <w:rsid w:val="00D649C1"/>
    <w:rsid w:val="00D64CB0"/>
    <w:rsid w:val="00D65940"/>
    <w:rsid w:val="00D66406"/>
    <w:rsid w:val="00D66573"/>
    <w:rsid w:val="00D66941"/>
    <w:rsid w:val="00D67B74"/>
    <w:rsid w:val="00D70E26"/>
    <w:rsid w:val="00D71676"/>
    <w:rsid w:val="00D71C09"/>
    <w:rsid w:val="00D72A10"/>
    <w:rsid w:val="00D73F4B"/>
    <w:rsid w:val="00D73F92"/>
    <w:rsid w:val="00D74072"/>
    <w:rsid w:val="00D75825"/>
    <w:rsid w:val="00D75878"/>
    <w:rsid w:val="00D80DFD"/>
    <w:rsid w:val="00D81903"/>
    <w:rsid w:val="00D81C75"/>
    <w:rsid w:val="00D81F20"/>
    <w:rsid w:val="00D8211C"/>
    <w:rsid w:val="00D83260"/>
    <w:rsid w:val="00D838CB"/>
    <w:rsid w:val="00D86C5A"/>
    <w:rsid w:val="00D8725C"/>
    <w:rsid w:val="00D87570"/>
    <w:rsid w:val="00D87ADD"/>
    <w:rsid w:val="00D87B72"/>
    <w:rsid w:val="00D924FF"/>
    <w:rsid w:val="00D931AF"/>
    <w:rsid w:val="00D94F5F"/>
    <w:rsid w:val="00D9503F"/>
    <w:rsid w:val="00D95652"/>
    <w:rsid w:val="00D9567E"/>
    <w:rsid w:val="00D961C5"/>
    <w:rsid w:val="00D967DC"/>
    <w:rsid w:val="00D96D32"/>
    <w:rsid w:val="00DA141F"/>
    <w:rsid w:val="00DA3652"/>
    <w:rsid w:val="00DA3E26"/>
    <w:rsid w:val="00DA3ED7"/>
    <w:rsid w:val="00DA4065"/>
    <w:rsid w:val="00DA4BA6"/>
    <w:rsid w:val="00DA5A96"/>
    <w:rsid w:val="00DA7D7A"/>
    <w:rsid w:val="00DB214F"/>
    <w:rsid w:val="00DB3596"/>
    <w:rsid w:val="00DB458F"/>
    <w:rsid w:val="00DB72AE"/>
    <w:rsid w:val="00DB7F17"/>
    <w:rsid w:val="00DC0E13"/>
    <w:rsid w:val="00DC1398"/>
    <w:rsid w:val="00DC1BFC"/>
    <w:rsid w:val="00DC37E5"/>
    <w:rsid w:val="00DC43B6"/>
    <w:rsid w:val="00DC444E"/>
    <w:rsid w:val="00DC51BD"/>
    <w:rsid w:val="00DC6177"/>
    <w:rsid w:val="00DC719C"/>
    <w:rsid w:val="00DC7849"/>
    <w:rsid w:val="00DC7A56"/>
    <w:rsid w:val="00DC7B85"/>
    <w:rsid w:val="00DC7BB2"/>
    <w:rsid w:val="00DC7E6D"/>
    <w:rsid w:val="00DD0C95"/>
    <w:rsid w:val="00DD0DE6"/>
    <w:rsid w:val="00DD0E08"/>
    <w:rsid w:val="00DD15CF"/>
    <w:rsid w:val="00DD17C6"/>
    <w:rsid w:val="00DD2000"/>
    <w:rsid w:val="00DD227F"/>
    <w:rsid w:val="00DD55DD"/>
    <w:rsid w:val="00DD5F49"/>
    <w:rsid w:val="00DD62C6"/>
    <w:rsid w:val="00DD62EF"/>
    <w:rsid w:val="00DD6879"/>
    <w:rsid w:val="00DE0EB6"/>
    <w:rsid w:val="00DE299F"/>
    <w:rsid w:val="00DE31CD"/>
    <w:rsid w:val="00DE4F7E"/>
    <w:rsid w:val="00DE7911"/>
    <w:rsid w:val="00DF015E"/>
    <w:rsid w:val="00DF12CE"/>
    <w:rsid w:val="00DF17CF"/>
    <w:rsid w:val="00DF1F16"/>
    <w:rsid w:val="00DF32B5"/>
    <w:rsid w:val="00DF4B30"/>
    <w:rsid w:val="00DF57F8"/>
    <w:rsid w:val="00DF663D"/>
    <w:rsid w:val="00E0046C"/>
    <w:rsid w:val="00E00BFE"/>
    <w:rsid w:val="00E011BA"/>
    <w:rsid w:val="00E01280"/>
    <w:rsid w:val="00E01DD3"/>
    <w:rsid w:val="00E0339B"/>
    <w:rsid w:val="00E04564"/>
    <w:rsid w:val="00E049B2"/>
    <w:rsid w:val="00E04D39"/>
    <w:rsid w:val="00E05DAD"/>
    <w:rsid w:val="00E0660B"/>
    <w:rsid w:val="00E0797F"/>
    <w:rsid w:val="00E07C8E"/>
    <w:rsid w:val="00E07CEA"/>
    <w:rsid w:val="00E07E45"/>
    <w:rsid w:val="00E10D63"/>
    <w:rsid w:val="00E141F7"/>
    <w:rsid w:val="00E14276"/>
    <w:rsid w:val="00E1571D"/>
    <w:rsid w:val="00E1642E"/>
    <w:rsid w:val="00E20E0C"/>
    <w:rsid w:val="00E21167"/>
    <w:rsid w:val="00E222C0"/>
    <w:rsid w:val="00E22395"/>
    <w:rsid w:val="00E22B4B"/>
    <w:rsid w:val="00E22BBC"/>
    <w:rsid w:val="00E267F4"/>
    <w:rsid w:val="00E32B2B"/>
    <w:rsid w:val="00E32E0E"/>
    <w:rsid w:val="00E3335C"/>
    <w:rsid w:val="00E338BB"/>
    <w:rsid w:val="00E33AD8"/>
    <w:rsid w:val="00E3444A"/>
    <w:rsid w:val="00E350BE"/>
    <w:rsid w:val="00E35415"/>
    <w:rsid w:val="00E35731"/>
    <w:rsid w:val="00E35937"/>
    <w:rsid w:val="00E35CC7"/>
    <w:rsid w:val="00E35F7D"/>
    <w:rsid w:val="00E36FF4"/>
    <w:rsid w:val="00E403F0"/>
    <w:rsid w:val="00E405BC"/>
    <w:rsid w:val="00E40A0F"/>
    <w:rsid w:val="00E40C70"/>
    <w:rsid w:val="00E40E78"/>
    <w:rsid w:val="00E4121E"/>
    <w:rsid w:val="00E414B9"/>
    <w:rsid w:val="00E422F1"/>
    <w:rsid w:val="00E43B5E"/>
    <w:rsid w:val="00E43BB0"/>
    <w:rsid w:val="00E43C59"/>
    <w:rsid w:val="00E43F04"/>
    <w:rsid w:val="00E44751"/>
    <w:rsid w:val="00E4485B"/>
    <w:rsid w:val="00E47BC7"/>
    <w:rsid w:val="00E50EE5"/>
    <w:rsid w:val="00E52592"/>
    <w:rsid w:val="00E52B24"/>
    <w:rsid w:val="00E53C35"/>
    <w:rsid w:val="00E53D49"/>
    <w:rsid w:val="00E5407B"/>
    <w:rsid w:val="00E54088"/>
    <w:rsid w:val="00E553D4"/>
    <w:rsid w:val="00E5547E"/>
    <w:rsid w:val="00E56D1F"/>
    <w:rsid w:val="00E57EF3"/>
    <w:rsid w:val="00E614A3"/>
    <w:rsid w:val="00E61F46"/>
    <w:rsid w:val="00E6231F"/>
    <w:rsid w:val="00E623F0"/>
    <w:rsid w:val="00E62CE8"/>
    <w:rsid w:val="00E63684"/>
    <w:rsid w:val="00E6392C"/>
    <w:rsid w:val="00E6509B"/>
    <w:rsid w:val="00E65ACA"/>
    <w:rsid w:val="00E6724D"/>
    <w:rsid w:val="00E6755E"/>
    <w:rsid w:val="00E7060C"/>
    <w:rsid w:val="00E70914"/>
    <w:rsid w:val="00E70BD7"/>
    <w:rsid w:val="00E721B0"/>
    <w:rsid w:val="00E73456"/>
    <w:rsid w:val="00E73E49"/>
    <w:rsid w:val="00E75111"/>
    <w:rsid w:val="00E7603C"/>
    <w:rsid w:val="00E7672B"/>
    <w:rsid w:val="00E767A2"/>
    <w:rsid w:val="00E770EE"/>
    <w:rsid w:val="00E77497"/>
    <w:rsid w:val="00E7799F"/>
    <w:rsid w:val="00E81158"/>
    <w:rsid w:val="00E817A4"/>
    <w:rsid w:val="00E821F9"/>
    <w:rsid w:val="00E832F0"/>
    <w:rsid w:val="00E84F4F"/>
    <w:rsid w:val="00E85297"/>
    <w:rsid w:val="00E85332"/>
    <w:rsid w:val="00E86844"/>
    <w:rsid w:val="00E86F37"/>
    <w:rsid w:val="00E87234"/>
    <w:rsid w:val="00E875AB"/>
    <w:rsid w:val="00E90397"/>
    <w:rsid w:val="00E90824"/>
    <w:rsid w:val="00E90FE8"/>
    <w:rsid w:val="00E9106C"/>
    <w:rsid w:val="00E91330"/>
    <w:rsid w:val="00E934E4"/>
    <w:rsid w:val="00E95ED8"/>
    <w:rsid w:val="00E96A42"/>
    <w:rsid w:val="00EA010D"/>
    <w:rsid w:val="00EA0126"/>
    <w:rsid w:val="00EA08A9"/>
    <w:rsid w:val="00EA09C3"/>
    <w:rsid w:val="00EA132E"/>
    <w:rsid w:val="00EA1CA6"/>
    <w:rsid w:val="00EA2010"/>
    <w:rsid w:val="00EA229C"/>
    <w:rsid w:val="00EA488D"/>
    <w:rsid w:val="00EA49D1"/>
    <w:rsid w:val="00EA4FC0"/>
    <w:rsid w:val="00EA6472"/>
    <w:rsid w:val="00EA6744"/>
    <w:rsid w:val="00EA6BF9"/>
    <w:rsid w:val="00EA6D69"/>
    <w:rsid w:val="00EA6D75"/>
    <w:rsid w:val="00EA7F82"/>
    <w:rsid w:val="00EB0BEA"/>
    <w:rsid w:val="00EB26DC"/>
    <w:rsid w:val="00EB2D16"/>
    <w:rsid w:val="00EB2D98"/>
    <w:rsid w:val="00EB313A"/>
    <w:rsid w:val="00EB3901"/>
    <w:rsid w:val="00EB5EA1"/>
    <w:rsid w:val="00EB6CD2"/>
    <w:rsid w:val="00EB72DC"/>
    <w:rsid w:val="00EB7599"/>
    <w:rsid w:val="00EB78C2"/>
    <w:rsid w:val="00EB7CF6"/>
    <w:rsid w:val="00EC033F"/>
    <w:rsid w:val="00EC183C"/>
    <w:rsid w:val="00EC1EDA"/>
    <w:rsid w:val="00EC32D6"/>
    <w:rsid w:val="00EC493B"/>
    <w:rsid w:val="00EC4E98"/>
    <w:rsid w:val="00EC4FC8"/>
    <w:rsid w:val="00EC50B1"/>
    <w:rsid w:val="00EC5C1D"/>
    <w:rsid w:val="00EC6463"/>
    <w:rsid w:val="00EC695D"/>
    <w:rsid w:val="00EC7F72"/>
    <w:rsid w:val="00ED129E"/>
    <w:rsid w:val="00ED1C90"/>
    <w:rsid w:val="00ED3C9D"/>
    <w:rsid w:val="00ED621F"/>
    <w:rsid w:val="00EE106B"/>
    <w:rsid w:val="00EE2622"/>
    <w:rsid w:val="00EE271D"/>
    <w:rsid w:val="00EE2ECE"/>
    <w:rsid w:val="00EE40A8"/>
    <w:rsid w:val="00EE43FC"/>
    <w:rsid w:val="00EE5689"/>
    <w:rsid w:val="00EE583B"/>
    <w:rsid w:val="00EE722F"/>
    <w:rsid w:val="00EF028A"/>
    <w:rsid w:val="00EF25A7"/>
    <w:rsid w:val="00EF26E3"/>
    <w:rsid w:val="00EF2814"/>
    <w:rsid w:val="00EF2A4E"/>
    <w:rsid w:val="00EF2A69"/>
    <w:rsid w:val="00EF3806"/>
    <w:rsid w:val="00EF47F9"/>
    <w:rsid w:val="00EF4C17"/>
    <w:rsid w:val="00EF57E3"/>
    <w:rsid w:val="00EF5BBF"/>
    <w:rsid w:val="00EF680F"/>
    <w:rsid w:val="00EF6959"/>
    <w:rsid w:val="00EF69AA"/>
    <w:rsid w:val="00EF6D3B"/>
    <w:rsid w:val="00EF7688"/>
    <w:rsid w:val="00F00316"/>
    <w:rsid w:val="00F0034D"/>
    <w:rsid w:val="00F008B3"/>
    <w:rsid w:val="00F01FE7"/>
    <w:rsid w:val="00F042DF"/>
    <w:rsid w:val="00F055D3"/>
    <w:rsid w:val="00F05BF1"/>
    <w:rsid w:val="00F06FE3"/>
    <w:rsid w:val="00F11871"/>
    <w:rsid w:val="00F14984"/>
    <w:rsid w:val="00F16DDC"/>
    <w:rsid w:val="00F21AA4"/>
    <w:rsid w:val="00F22547"/>
    <w:rsid w:val="00F22E0E"/>
    <w:rsid w:val="00F235EB"/>
    <w:rsid w:val="00F23836"/>
    <w:rsid w:val="00F240C7"/>
    <w:rsid w:val="00F24572"/>
    <w:rsid w:val="00F24E91"/>
    <w:rsid w:val="00F259CE"/>
    <w:rsid w:val="00F26683"/>
    <w:rsid w:val="00F2751F"/>
    <w:rsid w:val="00F31C2A"/>
    <w:rsid w:val="00F32888"/>
    <w:rsid w:val="00F34BCC"/>
    <w:rsid w:val="00F358F1"/>
    <w:rsid w:val="00F37817"/>
    <w:rsid w:val="00F3799D"/>
    <w:rsid w:val="00F4052E"/>
    <w:rsid w:val="00F40722"/>
    <w:rsid w:val="00F413A1"/>
    <w:rsid w:val="00F41668"/>
    <w:rsid w:val="00F4220A"/>
    <w:rsid w:val="00F427D8"/>
    <w:rsid w:val="00F42E1B"/>
    <w:rsid w:val="00F43524"/>
    <w:rsid w:val="00F443F9"/>
    <w:rsid w:val="00F4561F"/>
    <w:rsid w:val="00F47508"/>
    <w:rsid w:val="00F50186"/>
    <w:rsid w:val="00F508B0"/>
    <w:rsid w:val="00F50D06"/>
    <w:rsid w:val="00F52620"/>
    <w:rsid w:val="00F52BCE"/>
    <w:rsid w:val="00F52D32"/>
    <w:rsid w:val="00F52D7B"/>
    <w:rsid w:val="00F52ECB"/>
    <w:rsid w:val="00F532B2"/>
    <w:rsid w:val="00F540A9"/>
    <w:rsid w:val="00F55CC6"/>
    <w:rsid w:val="00F5733E"/>
    <w:rsid w:val="00F57776"/>
    <w:rsid w:val="00F60BA7"/>
    <w:rsid w:val="00F62FFD"/>
    <w:rsid w:val="00F63116"/>
    <w:rsid w:val="00F6416A"/>
    <w:rsid w:val="00F716AE"/>
    <w:rsid w:val="00F71AFD"/>
    <w:rsid w:val="00F723C8"/>
    <w:rsid w:val="00F761B1"/>
    <w:rsid w:val="00F83532"/>
    <w:rsid w:val="00F84545"/>
    <w:rsid w:val="00F860A5"/>
    <w:rsid w:val="00F86ABE"/>
    <w:rsid w:val="00F90C52"/>
    <w:rsid w:val="00F924A4"/>
    <w:rsid w:val="00F93198"/>
    <w:rsid w:val="00F939B4"/>
    <w:rsid w:val="00F942D0"/>
    <w:rsid w:val="00F94C16"/>
    <w:rsid w:val="00F94E8C"/>
    <w:rsid w:val="00F9666B"/>
    <w:rsid w:val="00F97310"/>
    <w:rsid w:val="00F97C8B"/>
    <w:rsid w:val="00FA0B28"/>
    <w:rsid w:val="00FA0DE8"/>
    <w:rsid w:val="00FA23F5"/>
    <w:rsid w:val="00FA3145"/>
    <w:rsid w:val="00FA4A60"/>
    <w:rsid w:val="00FA5475"/>
    <w:rsid w:val="00FA5E49"/>
    <w:rsid w:val="00FA6C60"/>
    <w:rsid w:val="00FA6EE4"/>
    <w:rsid w:val="00FA70E5"/>
    <w:rsid w:val="00FA7A70"/>
    <w:rsid w:val="00FB1461"/>
    <w:rsid w:val="00FB16B8"/>
    <w:rsid w:val="00FB24C7"/>
    <w:rsid w:val="00FB3CBC"/>
    <w:rsid w:val="00FB4572"/>
    <w:rsid w:val="00FB4B20"/>
    <w:rsid w:val="00FB518B"/>
    <w:rsid w:val="00FB58ED"/>
    <w:rsid w:val="00FB65C8"/>
    <w:rsid w:val="00FC143E"/>
    <w:rsid w:val="00FC1648"/>
    <w:rsid w:val="00FC2D05"/>
    <w:rsid w:val="00FC3737"/>
    <w:rsid w:val="00FC3CB9"/>
    <w:rsid w:val="00FC420A"/>
    <w:rsid w:val="00FC51AE"/>
    <w:rsid w:val="00FC5F74"/>
    <w:rsid w:val="00FC71F3"/>
    <w:rsid w:val="00FD072F"/>
    <w:rsid w:val="00FD23A8"/>
    <w:rsid w:val="00FD25F8"/>
    <w:rsid w:val="00FD3136"/>
    <w:rsid w:val="00FD3142"/>
    <w:rsid w:val="00FD34CC"/>
    <w:rsid w:val="00FD3541"/>
    <w:rsid w:val="00FD7438"/>
    <w:rsid w:val="00FD794C"/>
    <w:rsid w:val="00FE12BD"/>
    <w:rsid w:val="00FE2EA7"/>
    <w:rsid w:val="00FE34E0"/>
    <w:rsid w:val="00FE39F2"/>
    <w:rsid w:val="00FE4D1E"/>
    <w:rsid w:val="00FE5073"/>
    <w:rsid w:val="00FE6107"/>
    <w:rsid w:val="00FE6472"/>
    <w:rsid w:val="00FE6B1E"/>
    <w:rsid w:val="00FE784D"/>
    <w:rsid w:val="00FF111C"/>
    <w:rsid w:val="00FF1E6D"/>
    <w:rsid w:val="00FF30BA"/>
    <w:rsid w:val="00FF46F9"/>
    <w:rsid w:val="00FF5368"/>
    <w:rsid w:val="00FF7904"/>
    <w:rsid w:val="00FF79EA"/>
    <w:rsid w:val="00FF7D90"/>
    <w:rsid w:val="01041951"/>
    <w:rsid w:val="05E40C54"/>
    <w:rsid w:val="06A42377"/>
    <w:rsid w:val="07587E1D"/>
    <w:rsid w:val="093A0DE5"/>
    <w:rsid w:val="0AF9CB7F"/>
    <w:rsid w:val="0F877EC3"/>
    <w:rsid w:val="10C03DB8"/>
    <w:rsid w:val="117D361B"/>
    <w:rsid w:val="13836007"/>
    <w:rsid w:val="13A14AC4"/>
    <w:rsid w:val="150C03F7"/>
    <w:rsid w:val="1CE61304"/>
    <w:rsid w:val="1D5E7B70"/>
    <w:rsid w:val="1EEB7D15"/>
    <w:rsid w:val="206E0FC8"/>
    <w:rsid w:val="23B02BC5"/>
    <w:rsid w:val="25FE5651"/>
    <w:rsid w:val="26472A30"/>
    <w:rsid w:val="274779FD"/>
    <w:rsid w:val="292D7A91"/>
    <w:rsid w:val="2ACB3B4E"/>
    <w:rsid w:val="2D5D6C5F"/>
    <w:rsid w:val="2E47409D"/>
    <w:rsid w:val="34191C89"/>
    <w:rsid w:val="34803EC8"/>
    <w:rsid w:val="34B9379B"/>
    <w:rsid w:val="35E772E4"/>
    <w:rsid w:val="3EAE7781"/>
    <w:rsid w:val="3F779754"/>
    <w:rsid w:val="3FA78228"/>
    <w:rsid w:val="413A3D72"/>
    <w:rsid w:val="43B12F69"/>
    <w:rsid w:val="4687467B"/>
    <w:rsid w:val="46AC31BB"/>
    <w:rsid w:val="49A2495C"/>
    <w:rsid w:val="4A603B63"/>
    <w:rsid w:val="4A6C513B"/>
    <w:rsid w:val="4BC13157"/>
    <w:rsid w:val="4C303B79"/>
    <w:rsid w:val="5439223A"/>
    <w:rsid w:val="553F0BCB"/>
    <w:rsid w:val="5C696B87"/>
    <w:rsid w:val="5D002955"/>
    <w:rsid w:val="5DAB167E"/>
    <w:rsid w:val="60732830"/>
    <w:rsid w:val="61452CD9"/>
    <w:rsid w:val="63DE1DF7"/>
    <w:rsid w:val="650F518F"/>
    <w:rsid w:val="678D25CA"/>
    <w:rsid w:val="681E3D56"/>
    <w:rsid w:val="68964C95"/>
    <w:rsid w:val="68C87AF9"/>
    <w:rsid w:val="6C2142DB"/>
    <w:rsid w:val="6D6C01D4"/>
    <w:rsid w:val="6EBBEF1C"/>
    <w:rsid w:val="70120D53"/>
    <w:rsid w:val="701E08C7"/>
    <w:rsid w:val="70932323"/>
    <w:rsid w:val="71DA77C9"/>
    <w:rsid w:val="74322378"/>
    <w:rsid w:val="754049A5"/>
    <w:rsid w:val="76FF0615"/>
    <w:rsid w:val="77AFCE9C"/>
    <w:rsid w:val="7ACC7DC7"/>
    <w:rsid w:val="7C7951F7"/>
    <w:rsid w:val="BD737697"/>
    <w:rsid w:val="BEF9AD9B"/>
    <w:rsid w:val="F63D405D"/>
    <w:rsid w:val="F769E095"/>
    <w:rsid w:val="FEFF4084"/>
    <w:rsid w:val="FF3E3E40"/>
    <w:rsid w:val="FFFF99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1"/>
    <w:qFormat/>
    <w:uiPriority w:val="9"/>
    <w:pPr>
      <w:keepNext/>
      <w:keepLines/>
      <w:spacing w:before="340" w:after="330" w:line="578" w:lineRule="auto"/>
      <w:outlineLvl w:val="0"/>
    </w:pPr>
    <w:rPr>
      <w:rFonts w:eastAsia="黑体"/>
      <w:b/>
      <w:bCs/>
      <w:kern w:val="44"/>
      <w:szCs w:val="44"/>
    </w:rPr>
  </w:style>
  <w:style w:type="paragraph" w:styleId="3">
    <w:name w:val="heading 2"/>
    <w:basedOn w:val="1"/>
    <w:next w:val="1"/>
    <w:link w:val="102"/>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01"/>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00"/>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eastAsiaTheme="minorHAnsi"/>
      <w:sz w:val="18"/>
      <w:szCs w:val="18"/>
    </w:rPr>
  </w:style>
  <w:style w:type="paragraph" w:styleId="7">
    <w:name w:val="annotation text"/>
    <w:basedOn w:val="1"/>
    <w:link w:val="42"/>
    <w:unhideWhenUsed/>
    <w:qFormat/>
    <w:uiPriority w:val="99"/>
    <w:pPr>
      <w:jc w:val="left"/>
    </w:pPr>
  </w:style>
  <w:style w:type="paragraph" w:styleId="8">
    <w:name w:val="Body Text"/>
    <w:basedOn w:val="1"/>
    <w:qFormat/>
    <w:uiPriority w:val="1"/>
    <w:pPr>
      <w:spacing w:before="37"/>
      <w:ind w:left="540"/>
    </w:pPr>
    <w:rPr>
      <w:rFonts w:ascii="宋体" w:hAnsi="宋体" w:eastAsia="宋体"/>
      <w:szCs w:val="21"/>
    </w:rPr>
  </w:style>
  <w:style w:type="paragraph" w:styleId="9">
    <w:name w:val="toc 5"/>
    <w:basedOn w:val="1"/>
    <w:next w:val="1"/>
    <w:unhideWhenUsed/>
    <w:qFormat/>
    <w:uiPriority w:val="39"/>
    <w:pPr>
      <w:ind w:left="840"/>
      <w:jc w:val="left"/>
    </w:pPr>
    <w:rPr>
      <w:rFonts w:eastAsiaTheme="minorHAnsi"/>
      <w:sz w:val="18"/>
      <w:szCs w:val="18"/>
    </w:rPr>
  </w:style>
  <w:style w:type="paragraph" w:styleId="10">
    <w:name w:val="toc 3"/>
    <w:basedOn w:val="1"/>
    <w:next w:val="1"/>
    <w:unhideWhenUsed/>
    <w:qFormat/>
    <w:uiPriority w:val="39"/>
    <w:pPr>
      <w:ind w:left="420"/>
      <w:jc w:val="left"/>
    </w:pPr>
    <w:rPr>
      <w:rFonts w:eastAsiaTheme="minorHAnsi"/>
      <w:i/>
      <w:iCs/>
      <w:sz w:val="20"/>
      <w:szCs w:val="20"/>
    </w:rPr>
  </w:style>
  <w:style w:type="paragraph" w:styleId="11">
    <w:name w:val="toc 8"/>
    <w:basedOn w:val="1"/>
    <w:next w:val="1"/>
    <w:unhideWhenUsed/>
    <w:qFormat/>
    <w:uiPriority w:val="39"/>
    <w:pPr>
      <w:ind w:left="1470"/>
      <w:jc w:val="left"/>
    </w:pPr>
    <w:rPr>
      <w:rFonts w:eastAsiaTheme="minorHAnsi"/>
      <w:sz w:val="18"/>
      <w:szCs w:val="18"/>
    </w:rPr>
  </w:style>
  <w:style w:type="paragraph" w:styleId="12">
    <w:name w:val="Balloon Text"/>
    <w:basedOn w:val="1"/>
    <w:link w:val="44"/>
    <w:unhideWhenUsed/>
    <w:qFormat/>
    <w:uiPriority w:val="99"/>
    <w:rPr>
      <w:sz w:val="18"/>
      <w:szCs w:val="18"/>
    </w:rPr>
  </w:style>
  <w:style w:type="paragraph" w:styleId="13">
    <w:name w:val="footer"/>
    <w:basedOn w:val="1"/>
    <w:link w:val="35"/>
    <w:unhideWhenUsed/>
    <w:qFormat/>
    <w:uiPriority w:val="99"/>
    <w:pPr>
      <w:tabs>
        <w:tab w:val="center" w:pos="4153"/>
        <w:tab w:val="right" w:pos="8306"/>
      </w:tabs>
      <w:snapToGrid w:val="0"/>
      <w:jc w:val="left"/>
    </w:pPr>
    <w:rPr>
      <w:sz w:val="18"/>
      <w:szCs w:val="18"/>
    </w:rPr>
  </w:style>
  <w:style w:type="paragraph" w:styleId="14">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before="120" w:after="120"/>
      <w:jc w:val="left"/>
    </w:pPr>
    <w:rPr>
      <w:rFonts w:eastAsiaTheme="minorHAnsi"/>
      <w:b/>
      <w:bCs/>
      <w:caps/>
      <w:sz w:val="20"/>
      <w:szCs w:val="20"/>
    </w:rPr>
  </w:style>
  <w:style w:type="paragraph" w:styleId="16">
    <w:name w:val="toc 4"/>
    <w:basedOn w:val="1"/>
    <w:next w:val="1"/>
    <w:unhideWhenUsed/>
    <w:qFormat/>
    <w:uiPriority w:val="39"/>
    <w:pPr>
      <w:ind w:left="630"/>
      <w:jc w:val="left"/>
    </w:pPr>
    <w:rPr>
      <w:rFonts w:eastAsiaTheme="minorHAnsi"/>
      <w:sz w:val="18"/>
      <w:szCs w:val="18"/>
    </w:rPr>
  </w:style>
  <w:style w:type="paragraph" w:styleId="17">
    <w:name w:val="toc 6"/>
    <w:basedOn w:val="1"/>
    <w:next w:val="1"/>
    <w:unhideWhenUsed/>
    <w:qFormat/>
    <w:uiPriority w:val="39"/>
    <w:pPr>
      <w:ind w:left="1050"/>
      <w:jc w:val="left"/>
    </w:pPr>
    <w:rPr>
      <w:rFonts w:eastAsiaTheme="minorHAnsi"/>
      <w:sz w:val="18"/>
      <w:szCs w:val="18"/>
    </w:rPr>
  </w:style>
  <w:style w:type="paragraph" w:styleId="18">
    <w:name w:val="table of figures"/>
    <w:next w:val="19"/>
    <w:link w:val="84"/>
    <w:unhideWhenUsed/>
    <w:qFormat/>
    <w:uiPriority w:val="99"/>
    <w:pPr>
      <w:pBdr>
        <w:top w:val="single" w:color="auto" w:sz="4" w:space="1"/>
        <w:bottom w:val="single" w:color="auto" w:sz="4" w:space="1"/>
      </w:pBdr>
      <w:tabs>
        <w:tab w:val="right" w:leader="dot" w:pos="8296"/>
      </w:tabs>
      <w:ind w:left="540" w:hanging="540" w:hangingChars="300"/>
    </w:pPr>
    <w:rPr>
      <w:rFonts w:eastAsia="宋体" w:asciiTheme="minorHAnsi" w:hAnsiTheme="minorHAnsi" w:cstheme="minorBidi"/>
      <w:kern w:val="2"/>
      <w:sz w:val="18"/>
      <w:szCs w:val="22"/>
      <w:lang w:val="en-US" w:eastAsia="zh-CN" w:bidi="ar-SA"/>
    </w:rPr>
  </w:style>
  <w:style w:type="paragraph" w:customStyle="1" w:styleId="19">
    <w:name w:val="推荐意见"/>
    <w:basedOn w:val="1"/>
    <w:link w:val="83"/>
    <w:qFormat/>
    <w:uiPriority w:val="0"/>
    <w:pPr>
      <w:spacing w:line="360" w:lineRule="auto"/>
      <w:ind w:firstLine="422" w:firstLineChars="200"/>
    </w:pPr>
    <w:rPr>
      <w:rFonts w:ascii="宋体" w:hAnsi="宋体" w:eastAsia="宋体"/>
      <w:bCs/>
      <w:color w:val="000000"/>
      <w:szCs w:val="21"/>
    </w:rPr>
  </w:style>
  <w:style w:type="paragraph" w:styleId="20">
    <w:name w:val="toc 2"/>
    <w:basedOn w:val="1"/>
    <w:next w:val="1"/>
    <w:unhideWhenUsed/>
    <w:qFormat/>
    <w:uiPriority w:val="39"/>
    <w:pPr>
      <w:ind w:left="210"/>
      <w:jc w:val="left"/>
    </w:pPr>
    <w:rPr>
      <w:rFonts w:eastAsiaTheme="minorHAnsi"/>
      <w:smallCaps/>
      <w:sz w:val="20"/>
      <w:szCs w:val="20"/>
    </w:rPr>
  </w:style>
  <w:style w:type="paragraph" w:styleId="21">
    <w:name w:val="toc 9"/>
    <w:basedOn w:val="1"/>
    <w:next w:val="1"/>
    <w:unhideWhenUsed/>
    <w:qFormat/>
    <w:uiPriority w:val="39"/>
    <w:pPr>
      <w:ind w:left="1680"/>
      <w:jc w:val="left"/>
    </w:pPr>
    <w:rPr>
      <w:rFonts w:eastAsiaTheme="minorHAnsi"/>
      <w:sz w:val="18"/>
      <w:szCs w:val="18"/>
    </w:rPr>
  </w:style>
  <w:style w:type="paragraph" w:styleId="22">
    <w:name w:val="HTML Preformatted"/>
    <w:basedOn w:val="1"/>
    <w:link w:val="4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4">
    <w:name w:val="annotation subject"/>
    <w:basedOn w:val="7"/>
    <w:next w:val="7"/>
    <w:link w:val="43"/>
    <w:unhideWhenUsed/>
    <w:qFormat/>
    <w:uiPriority w:val="99"/>
    <w:rPr>
      <w:b/>
      <w:bCs/>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FollowedHyperlink"/>
    <w:basedOn w:val="27"/>
    <w:unhideWhenUsed/>
    <w:qFormat/>
    <w:uiPriority w:val="99"/>
    <w:rPr>
      <w:color w:val="954F72" w:themeColor="followedHyperlink"/>
      <w:u w:val="single"/>
      <w14:textFill>
        <w14:solidFill>
          <w14:schemeClr w14:val="folHlink"/>
        </w14:solidFill>
      </w14:textFill>
    </w:rPr>
  </w:style>
  <w:style w:type="character" w:styleId="30">
    <w:name w:val="Emphasis"/>
    <w:basedOn w:val="27"/>
    <w:qFormat/>
    <w:uiPriority w:val="20"/>
    <w:rPr>
      <w:i/>
      <w:iCs/>
    </w:rPr>
  </w:style>
  <w:style w:type="character" w:styleId="31">
    <w:name w:val="Hyperlink"/>
    <w:basedOn w:val="27"/>
    <w:unhideWhenUsed/>
    <w:qFormat/>
    <w:uiPriority w:val="99"/>
    <w:rPr>
      <w:color w:val="0563C1" w:themeColor="hyperlink"/>
      <w:u w:val="single"/>
      <w14:textFill>
        <w14:solidFill>
          <w14:schemeClr w14:val="hlink"/>
        </w14:solidFill>
      </w14:textFill>
    </w:rPr>
  </w:style>
  <w:style w:type="character" w:styleId="32">
    <w:name w:val="annotation reference"/>
    <w:basedOn w:val="27"/>
    <w:unhideWhenUsed/>
    <w:qFormat/>
    <w:uiPriority w:val="99"/>
    <w:rPr>
      <w:sz w:val="21"/>
      <w:szCs w:val="21"/>
    </w:rPr>
  </w:style>
  <w:style w:type="paragraph" w:customStyle="1" w:styleId="33">
    <w:name w:val="列出段落1"/>
    <w:basedOn w:val="1"/>
    <w:link w:val="37"/>
    <w:qFormat/>
    <w:uiPriority w:val="34"/>
    <w:pPr>
      <w:ind w:firstLine="420" w:firstLineChars="200"/>
    </w:pPr>
  </w:style>
  <w:style w:type="character" w:customStyle="1" w:styleId="34">
    <w:name w:val="页眉 字符"/>
    <w:basedOn w:val="27"/>
    <w:link w:val="14"/>
    <w:qFormat/>
    <w:uiPriority w:val="99"/>
    <w:rPr>
      <w:sz w:val="18"/>
      <w:szCs w:val="18"/>
    </w:rPr>
  </w:style>
  <w:style w:type="character" w:customStyle="1" w:styleId="35">
    <w:name w:val="页脚 字符"/>
    <w:basedOn w:val="27"/>
    <w:link w:val="13"/>
    <w:qFormat/>
    <w:uiPriority w:val="99"/>
    <w:rPr>
      <w:sz w:val="18"/>
      <w:szCs w:val="18"/>
    </w:rPr>
  </w:style>
  <w:style w:type="paragraph" w:customStyle="1" w:styleId="36">
    <w:name w:val="EndNote Bibliography Title"/>
    <w:basedOn w:val="1"/>
    <w:link w:val="38"/>
    <w:qFormat/>
    <w:uiPriority w:val="0"/>
    <w:pPr>
      <w:jc w:val="center"/>
    </w:pPr>
    <w:rPr>
      <w:rFonts w:ascii="等线" w:hAnsi="等线" w:eastAsia="等线"/>
      <w:sz w:val="20"/>
    </w:rPr>
  </w:style>
  <w:style w:type="character" w:customStyle="1" w:styleId="37">
    <w:name w:val="列出段落 Char"/>
    <w:basedOn w:val="27"/>
    <w:link w:val="33"/>
    <w:qFormat/>
    <w:uiPriority w:val="34"/>
  </w:style>
  <w:style w:type="character" w:customStyle="1" w:styleId="38">
    <w:name w:val="EndNote Bibliography Title 字符"/>
    <w:basedOn w:val="37"/>
    <w:link w:val="36"/>
    <w:qFormat/>
    <w:uiPriority w:val="0"/>
    <w:rPr>
      <w:rFonts w:ascii="等线" w:hAnsi="等线" w:eastAsia="等线"/>
      <w:sz w:val="20"/>
    </w:rPr>
  </w:style>
  <w:style w:type="paragraph" w:customStyle="1" w:styleId="39">
    <w:name w:val="EndNote Bibliography"/>
    <w:basedOn w:val="1"/>
    <w:link w:val="40"/>
    <w:qFormat/>
    <w:uiPriority w:val="0"/>
    <w:rPr>
      <w:rFonts w:ascii="等线" w:hAnsi="等线" w:eastAsia="等线"/>
      <w:sz w:val="20"/>
    </w:rPr>
  </w:style>
  <w:style w:type="character" w:customStyle="1" w:styleId="40">
    <w:name w:val="EndNote Bibliography 字符"/>
    <w:basedOn w:val="37"/>
    <w:link w:val="39"/>
    <w:qFormat/>
    <w:uiPriority w:val="0"/>
    <w:rPr>
      <w:rFonts w:ascii="等线" w:hAnsi="等线" w:eastAsia="等线"/>
      <w:sz w:val="20"/>
    </w:rPr>
  </w:style>
  <w:style w:type="character" w:customStyle="1" w:styleId="41">
    <w:name w:val="未处理的提及1"/>
    <w:basedOn w:val="27"/>
    <w:unhideWhenUsed/>
    <w:qFormat/>
    <w:uiPriority w:val="99"/>
    <w:rPr>
      <w:color w:val="605E5C"/>
      <w:shd w:val="clear" w:color="auto" w:fill="E1DFDD"/>
    </w:rPr>
  </w:style>
  <w:style w:type="character" w:customStyle="1" w:styleId="42">
    <w:name w:val="批注文字 字符"/>
    <w:basedOn w:val="27"/>
    <w:link w:val="7"/>
    <w:qFormat/>
    <w:uiPriority w:val="99"/>
  </w:style>
  <w:style w:type="character" w:customStyle="1" w:styleId="43">
    <w:name w:val="批注主题 字符"/>
    <w:basedOn w:val="42"/>
    <w:link w:val="24"/>
    <w:qFormat/>
    <w:uiPriority w:val="99"/>
    <w:rPr>
      <w:b/>
      <w:bCs/>
    </w:rPr>
  </w:style>
  <w:style w:type="character" w:customStyle="1" w:styleId="44">
    <w:name w:val="批注框文本 字符"/>
    <w:basedOn w:val="27"/>
    <w:link w:val="12"/>
    <w:qFormat/>
    <w:uiPriority w:val="99"/>
    <w:rPr>
      <w:sz w:val="18"/>
      <w:szCs w:val="18"/>
    </w:rPr>
  </w:style>
  <w:style w:type="paragraph" w:customStyle="1" w:styleId="45">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6">
    <w:name w:val="HTML 预设格式 字符"/>
    <w:basedOn w:val="27"/>
    <w:link w:val="22"/>
    <w:semiHidden/>
    <w:qFormat/>
    <w:uiPriority w:val="99"/>
    <w:rPr>
      <w:rFonts w:ascii="宋体" w:hAnsi="宋体" w:eastAsia="宋体" w:cs="宋体"/>
      <w:kern w:val="0"/>
      <w:sz w:val="24"/>
      <w:szCs w:val="24"/>
    </w:rPr>
  </w:style>
  <w:style w:type="character" w:customStyle="1" w:styleId="47">
    <w:name w:val="y2iqfc"/>
    <w:basedOn w:val="27"/>
    <w:qFormat/>
    <w:uiPriority w:val="0"/>
  </w:style>
  <w:style w:type="character" w:customStyle="1" w:styleId="48">
    <w:name w:val="inner-text-paragraph-org"/>
    <w:basedOn w:val="27"/>
    <w:qFormat/>
    <w:uiPriority w:val="0"/>
  </w:style>
  <w:style w:type="character" w:customStyle="1" w:styleId="49">
    <w:name w:val="未处理的提及2"/>
    <w:basedOn w:val="27"/>
    <w:unhideWhenUsed/>
    <w:qFormat/>
    <w:uiPriority w:val="99"/>
    <w:rPr>
      <w:color w:val="605E5C"/>
      <w:shd w:val="clear" w:color="auto" w:fill="E1DFDD"/>
    </w:rPr>
  </w:style>
  <w:style w:type="character" w:customStyle="1" w:styleId="50">
    <w:name w:val="列表段落 字符1"/>
    <w:basedOn w:val="27"/>
    <w:qFormat/>
    <w:uiPriority w:val="34"/>
  </w:style>
  <w:style w:type="paragraph" w:customStyle="1" w:styleId="51">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52">
    <w:name w:val="Heading #2|1"/>
    <w:basedOn w:val="1"/>
    <w:qFormat/>
    <w:uiPriority w:val="0"/>
    <w:pPr>
      <w:spacing w:after="400"/>
      <w:ind w:hanging="780"/>
      <w:jc w:val="left"/>
      <w:outlineLvl w:val="1"/>
    </w:pPr>
    <w:rPr>
      <w:rFonts w:ascii="宋体" w:hAnsi="宋体" w:eastAsia="宋体" w:cs="宋体"/>
      <w:kern w:val="0"/>
      <w:sz w:val="40"/>
      <w:szCs w:val="40"/>
      <w:lang w:val="zh-TW" w:eastAsia="zh-TW" w:bidi="zh-TW"/>
    </w:rPr>
  </w:style>
  <w:style w:type="paragraph" w:customStyle="1" w:styleId="53">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54">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55">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56">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57">
    <w:name w:val="发布部门"/>
    <w:next w:val="58"/>
    <w:qFormat/>
    <w:uiPriority w:val="0"/>
    <w:pPr>
      <w:framePr w:w="9416" w:h="1134" w:hRule="exact" w:hSpace="125" w:vSpace="181" w:wrap="around" w:vAnchor="page" w:hAnchor="page" w:x="1294" w:y="15564" w:anchorLock="1"/>
      <w:pBdr>
        <w:top w:val="single" w:color="auto" w:sz="4" w:space="1"/>
        <w:left w:val="none" w:color="auto" w:sz="0" w:space="4"/>
        <w:bottom w:val="none" w:color="auto" w:sz="0" w:space="1"/>
        <w:right w:val="none" w:color="auto" w:sz="0" w:space="4"/>
      </w:pBdr>
      <w:jc w:val="center"/>
      <w:pPrChange w:id="0" w:author="腾 王" w:date="2025-09-30T22:00:00Z">
        <w:pPr>
          <w:framePr w:w="7938" w:h="1134" w:hRule="exact" w:hSpace="125" w:vSpace="181" w:wrap="around" w:vAnchor="page" w:hAnchor="page" w:x="2150" w:y="14630" w:anchorLock="1"/>
          <w:jc w:val="center"/>
        </w:pPr>
      </w:pPrChange>
    </w:pPr>
    <w:rPr>
      <w:rFonts w:ascii="黑体" w:hAnsi="黑体" w:eastAsia="黑体" w:cs="黑体"/>
      <w:bCs/>
      <w:spacing w:val="20"/>
      <w:sz w:val="28"/>
      <w:szCs w:val="28"/>
      <w:lang w:val="en-US" w:eastAsia="zh-CN" w:bidi="ar-SA"/>
      <w:rPrChange w:id="1" w:author="腾 王" w:date="2025-09-30T22:00:00Z">
        <w:rPr>
          <w:rFonts w:ascii="宋体" w:eastAsia="宋体"/>
          <w:b/>
          <w:spacing w:val="20"/>
          <w:w w:val="135"/>
          <w:sz w:val="28"/>
          <w:lang w:val="en-US" w:eastAsia="zh-CN" w:bidi="ar-SA"/>
        </w:rPr>
      </w:rPrChange>
    </w:rPr>
  </w:style>
  <w:style w:type="paragraph" w:customStyle="1" w:styleId="5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59">
    <w:name w:val="其他发布日期"/>
    <w:basedOn w:val="60"/>
    <w:qFormat/>
    <w:uiPriority w:val="0"/>
    <w:pPr>
      <w:framePr w:wrap="around" w:vAnchor="page" w:hAnchor="text" w:x="1419"/>
    </w:pPr>
  </w:style>
  <w:style w:type="paragraph" w:customStyle="1" w:styleId="60">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61">
    <w:name w:val="样式1"/>
    <w:basedOn w:val="1"/>
    <w:next w:val="15"/>
    <w:qFormat/>
    <w:uiPriority w:val="0"/>
  </w:style>
  <w:style w:type="paragraph" w:customStyle="1" w:styleId="62">
    <w:name w:val="标准文件_段"/>
    <w:link w:val="77"/>
    <w:qFormat/>
    <w:uiPriority w:val="0"/>
    <w:pPr>
      <w:autoSpaceDE w:val="0"/>
      <w:autoSpaceDN w:val="0"/>
      <w:spacing w:line="276" w:lineRule="auto"/>
      <w:ind w:firstLine="420" w:firstLineChars="200"/>
      <w:jc w:val="both"/>
    </w:pPr>
    <w:rPr>
      <w:rFonts w:ascii="Times New Roman" w:hAnsi="Times New Roman" w:eastAsia="宋体" w:cs="Times New Roman"/>
      <w:sz w:val="21"/>
      <w:szCs w:val="21"/>
      <w:lang w:val="en-US" w:eastAsia="zh-CN" w:bidi="ar-SA"/>
    </w:rPr>
  </w:style>
  <w:style w:type="paragraph" w:styleId="63">
    <w:name w:val="List Paragraph"/>
    <w:basedOn w:val="1"/>
    <w:unhideWhenUsed/>
    <w:qFormat/>
    <w:uiPriority w:val="34"/>
    <w:pPr>
      <w:ind w:firstLine="420" w:firstLineChars="200"/>
    </w:pPr>
  </w:style>
  <w:style w:type="paragraph" w:customStyle="1" w:styleId="64">
    <w:name w:val="1级"/>
    <w:basedOn w:val="1"/>
    <w:link w:val="98"/>
    <w:qFormat/>
    <w:uiPriority w:val="0"/>
    <w:pPr>
      <w:spacing w:line="360" w:lineRule="auto"/>
      <w:jc w:val="left"/>
      <w:outlineLvl w:val="0"/>
    </w:pPr>
    <w:rPr>
      <w:rFonts w:ascii="宋体" w:hAnsi="宋体" w:eastAsia="黑体" w:cs="Times New Roman Regular"/>
      <w:b/>
      <w:szCs w:val="24"/>
      <w:lang w:eastAsia="zh-Hans"/>
    </w:rPr>
  </w:style>
  <w:style w:type="paragraph" w:customStyle="1" w:styleId="65">
    <w:name w:val="标准文件_二级条标题"/>
    <w:next w:val="62"/>
    <w:qFormat/>
    <w:uiPriority w:val="0"/>
    <w:pPr>
      <w:widowControl w:val="0"/>
      <w:numPr>
        <w:ilvl w:val="3"/>
        <w:numId w:val="1"/>
      </w:numPr>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66">
    <w:name w:val="标准文件_三级条标题"/>
    <w:basedOn w:val="65"/>
    <w:next w:val="62"/>
    <w:qFormat/>
    <w:uiPriority w:val="0"/>
    <w:pPr>
      <w:widowControl/>
      <w:numPr>
        <w:ilvl w:val="4"/>
      </w:numPr>
      <w:outlineLvl w:val="3"/>
    </w:pPr>
  </w:style>
  <w:style w:type="paragraph" w:customStyle="1" w:styleId="67">
    <w:name w:val="标准文件_四级条标题"/>
    <w:next w:val="62"/>
    <w:qFormat/>
    <w:uiPriority w:val="0"/>
    <w:pPr>
      <w:widowControl w:val="0"/>
      <w:numPr>
        <w:ilvl w:val="5"/>
        <w:numId w:val="1"/>
      </w:numPr>
      <w:spacing w:before="50" w:beforeLines="50" w:after="50" w:afterLines="50"/>
      <w:jc w:val="both"/>
      <w:outlineLvl w:val="4"/>
    </w:pPr>
    <w:rPr>
      <w:rFonts w:ascii="黑体" w:hAnsi="Times New Roman" w:eastAsia="黑体" w:cs="Times New Roman"/>
      <w:sz w:val="21"/>
      <w:lang w:val="en-US" w:eastAsia="zh-CN" w:bidi="ar-SA"/>
    </w:rPr>
  </w:style>
  <w:style w:type="paragraph" w:customStyle="1" w:styleId="68">
    <w:name w:val="标准文件_五级条标题"/>
    <w:next w:val="62"/>
    <w:qFormat/>
    <w:uiPriority w:val="0"/>
    <w:pPr>
      <w:widowControl w:val="0"/>
      <w:numPr>
        <w:ilvl w:val="6"/>
        <w:numId w:val="1"/>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69">
    <w:name w:val="标准文件_章标题"/>
    <w:next w:val="62"/>
    <w:qFormat/>
    <w:uiPriority w:val="0"/>
    <w:pPr>
      <w:numPr>
        <w:ilvl w:val="1"/>
        <w:numId w:val="1"/>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70">
    <w:name w:val="标准文件_一级条标题"/>
    <w:basedOn w:val="69"/>
    <w:next w:val="62"/>
    <w:qFormat/>
    <w:uiPriority w:val="0"/>
    <w:pPr>
      <w:numPr>
        <w:ilvl w:val="2"/>
      </w:numPr>
      <w:spacing w:before="50" w:beforeLines="50" w:after="50" w:afterLines="50"/>
      <w:outlineLvl w:val="1"/>
    </w:pPr>
  </w:style>
  <w:style w:type="paragraph" w:customStyle="1" w:styleId="71">
    <w:name w:val="标准文件_数字编号列项（二级）"/>
    <w:qFormat/>
    <w:uiPriority w:val="0"/>
    <w:pPr>
      <w:numPr>
        <w:ilvl w:val="1"/>
        <w:numId w:val="2"/>
      </w:numPr>
      <w:jc w:val="both"/>
    </w:pPr>
    <w:rPr>
      <w:rFonts w:ascii="宋体" w:hAnsi="Times New Roman" w:eastAsia="宋体" w:cs="Times New Roman"/>
      <w:sz w:val="21"/>
      <w:lang w:val="en-US" w:eastAsia="zh-CN" w:bidi="ar-SA"/>
    </w:rPr>
  </w:style>
  <w:style w:type="paragraph" w:customStyle="1" w:styleId="72">
    <w:name w:val="标准文件_编号列项（三级）"/>
    <w:qFormat/>
    <w:uiPriority w:val="0"/>
    <w:pPr>
      <w:numPr>
        <w:ilvl w:val="2"/>
        <w:numId w:val="2"/>
      </w:numPr>
    </w:pPr>
    <w:rPr>
      <w:rFonts w:ascii="宋体" w:hAnsi="Times New Roman" w:eastAsia="宋体" w:cs="Times New Roman"/>
      <w:sz w:val="21"/>
      <w:lang w:val="en-US" w:eastAsia="zh-CN" w:bidi="ar-SA"/>
    </w:rPr>
  </w:style>
  <w:style w:type="paragraph" w:customStyle="1" w:styleId="73">
    <w:name w:val="标准文件_一级项"/>
    <w:qFormat/>
    <w:uiPriority w:val="0"/>
    <w:pPr>
      <w:numPr>
        <w:ilvl w:val="0"/>
        <w:numId w:val="3"/>
      </w:numPr>
    </w:pPr>
    <w:rPr>
      <w:rFonts w:ascii="宋体" w:hAnsi="Times New Roman" w:eastAsia="宋体" w:cs="Times New Roman"/>
      <w:sz w:val="21"/>
      <w:lang w:val="en-US" w:eastAsia="zh-CN" w:bidi="ar-SA"/>
    </w:rPr>
  </w:style>
  <w:style w:type="paragraph" w:customStyle="1" w:styleId="74">
    <w:name w:val="前言标题"/>
    <w:next w:val="1"/>
    <w:qFormat/>
    <w:uiPriority w:val="0"/>
    <w:pPr>
      <w:numPr>
        <w:ilvl w:val="0"/>
        <w:numId w:val="1"/>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75">
    <w:name w:val="标准文件_三级项"/>
    <w:basedOn w:val="1"/>
    <w:qFormat/>
    <w:uiPriority w:val="0"/>
    <w:pPr>
      <w:numPr>
        <w:ilvl w:val="2"/>
        <w:numId w:val="3"/>
      </w:numPr>
      <w:adjustRightInd w:val="0"/>
      <w:spacing w:line="536870612" w:lineRule="auto"/>
    </w:pPr>
    <w:rPr>
      <w:rFonts w:ascii="Times New Roman" w:hAnsi="Times New Roman" w:eastAsia="宋体" w:cs="Times New Roman"/>
      <w:szCs w:val="21"/>
    </w:rPr>
  </w:style>
  <w:style w:type="paragraph" w:customStyle="1" w:styleId="76">
    <w:name w:val="标准文件_字母编号列项（一级）"/>
    <w:qFormat/>
    <w:uiPriority w:val="0"/>
    <w:pPr>
      <w:numPr>
        <w:ilvl w:val="0"/>
        <w:numId w:val="2"/>
      </w:numPr>
      <w:jc w:val="both"/>
    </w:pPr>
    <w:rPr>
      <w:rFonts w:ascii="宋体" w:hAnsi="Times New Roman" w:eastAsia="宋体" w:cs="Times New Roman"/>
      <w:sz w:val="21"/>
      <w:lang w:val="en-US" w:eastAsia="zh-CN" w:bidi="ar-SA"/>
    </w:rPr>
  </w:style>
  <w:style w:type="character" w:customStyle="1" w:styleId="77">
    <w:name w:val="标准文件_段 Char"/>
    <w:link w:val="62"/>
    <w:qFormat/>
    <w:uiPriority w:val="0"/>
    <w:rPr>
      <w:sz w:val="21"/>
      <w:szCs w:val="21"/>
    </w:rPr>
  </w:style>
  <w:style w:type="paragraph" w:customStyle="1" w:styleId="78">
    <w:name w:val="标准文件_二级项2"/>
    <w:basedOn w:val="62"/>
    <w:qFormat/>
    <w:uiPriority w:val="0"/>
    <w:pPr>
      <w:numPr>
        <w:ilvl w:val="1"/>
        <w:numId w:val="3"/>
      </w:numPr>
      <w:spacing w:line="240" w:lineRule="auto"/>
      <w:ind w:firstLine="0" w:firstLineChars="0"/>
    </w:pPr>
    <w:rPr>
      <w:szCs w:val="20"/>
    </w:rPr>
  </w:style>
  <w:style w:type="paragraph" w:customStyle="1" w:styleId="79">
    <w:name w:val="标准文件_术语条一"/>
    <w:basedOn w:val="1"/>
    <w:next w:val="62"/>
    <w:qFormat/>
    <w:uiPriority w:val="0"/>
    <w:pPr>
      <w:widowControl/>
      <w:numPr>
        <w:ilvl w:val="2"/>
        <w:numId w:val="4"/>
      </w:numPr>
    </w:pPr>
    <w:rPr>
      <w:rFonts w:ascii="宋体" w:hAnsi="Times New Roman" w:eastAsia="宋体" w:cs="Times New Roman"/>
      <w:kern w:val="0"/>
      <w:szCs w:val="20"/>
    </w:rPr>
  </w:style>
  <w:style w:type="paragraph" w:customStyle="1" w:styleId="80">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81">
    <w:name w:val="标题 1 字符"/>
    <w:basedOn w:val="27"/>
    <w:link w:val="2"/>
    <w:qFormat/>
    <w:uiPriority w:val="9"/>
    <w:rPr>
      <w:rFonts w:eastAsia="黑体" w:asciiTheme="minorHAnsi" w:hAnsiTheme="minorHAnsi" w:cstheme="minorBidi"/>
      <w:b/>
      <w:bCs/>
      <w:kern w:val="44"/>
      <w:sz w:val="21"/>
      <w:szCs w:val="44"/>
    </w:rPr>
  </w:style>
  <w:style w:type="paragraph" w:customStyle="1" w:styleId="82">
    <w:name w:val="列表段落1"/>
    <w:basedOn w:val="1"/>
    <w:link w:val="85"/>
    <w:qFormat/>
    <w:uiPriority w:val="34"/>
    <w:pPr>
      <w:ind w:firstLine="420" w:firstLineChars="200"/>
    </w:pPr>
  </w:style>
  <w:style w:type="character" w:customStyle="1" w:styleId="83">
    <w:name w:val="推荐意见 字符"/>
    <w:basedOn w:val="27"/>
    <w:link w:val="19"/>
    <w:qFormat/>
    <w:uiPriority w:val="0"/>
    <w:rPr>
      <w:rFonts w:ascii="宋体" w:hAnsi="宋体" w:cstheme="minorBidi"/>
      <w:bCs/>
      <w:color w:val="000000"/>
      <w:kern w:val="2"/>
      <w:sz w:val="21"/>
      <w:szCs w:val="21"/>
    </w:rPr>
  </w:style>
  <w:style w:type="character" w:customStyle="1" w:styleId="84">
    <w:name w:val="图表目录 字符"/>
    <w:basedOn w:val="27"/>
    <w:link w:val="18"/>
    <w:qFormat/>
    <w:uiPriority w:val="99"/>
    <w:rPr>
      <w:rFonts w:asciiTheme="minorHAnsi" w:hAnsiTheme="minorHAnsi" w:cstheme="minorBidi"/>
      <w:kern w:val="2"/>
      <w:sz w:val="18"/>
      <w:szCs w:val="22"/>
    </w:rPr>
  </w:style>
  <w:style w:type="character" w:customStyle="1" w:styleId="85">
    <w:name w:val="列表段落 字符"/>
    <w:basedOn w:val="27"/>
    <w:link w:val="82"/>
    <w:qFormat/>
    <w:uiPriority w:val="34"/>
    <w:rPr>
      <w:rFonts w:asciiTheme="minorHAnsi" w:hAnsiTheme="minorHAnsi" w:eastAsiaTheme="minorEastAsia" w:cstheme="minorBidi"/>
      <w:kern w:val="2"/>
      <w:sz w:val="21"/>
      <w:szCs w:val="22"/>
    </w:rPr>
  </w:style>
  <w:style w:type="paragraph" w:customStyle="1" w:styleId="86">
    <w:name w:val="修订2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87">
    <w:name w:val="修订3"/>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88">
    <w:name w:val="p1"/>
    <w:basedOn w:val="1"/>
    <w:qFormat/>
    <w:uiPriority w:val="0"/>
    <w:pPr>
      <w:jc w:val="left"/>
    </w:pPr>
    <w:rPr>
      <w:rFonts w:ascii=".pingfang sc" w:hAnsi=".pingfang sc" w:eastAsia=".pingfang sc" w:cs="Times New Roman"/>
      <w:kern w:val="0"/>
      <w:sz w:val="24"/>
      <w:szCs w:val="24"/>
    </w:rPr>
  </w:style>
  <w:style w:type="character" w:customStyle="1" w:styleId="89">
    <w:name w:val="s1"/>
    <w:basedOn w:val="27"/>
    <w:qFormat/>
    <w:uiPriority w:val="0"/>
    <w:rPr>
      <w:rFonts w:ascii="Helvetica Neue" w:hAnsi="Helvetica Neue" w:eastAsia="Helvetica Neue" w:cs="Helvetica Neue"/>
      <w:sz w:val="24"/>
      <w:szCs w:val="24"/>
    </w:rPr>
  </w:style>
  <w:style w:type="paragraph" w:customStyle="1" w:styleId="90">
    <w:name w:val="修订4"/>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91">
    <w:name w:val="未处理的提及3"/>
    <w:basedOn w:val="27"/>
    <w:semiHidden/>
    <w:unhideWhenUsed/>
    <w:qFormat/>
    <w:uiPriority w:val="99"/>
    <w:rPr>
      <w:color w:val="605E5C"/>
      <w:shd w:val="clear" w:color="auto" w:fill="E1DFDD"/>
    </w:rPr>
  </w:style>
  <w:style w:type="paragraph" w:customStyle="1" w:styleId="92">
    <w:name w:val="修订5"/>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93">
    <w:name w:val="修订6"/>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94">
    <w:name w:val="修订7"/>
    <w:hidden/>
    <w:semiHidden/>
    <w:qFormat/>
    <w:uiPriority w:val="99"/>
    <w:rPr>
      <w:rFonts w:asciiTheme="minorHAnsi" w:hAnsiTheme="minorHAnsi" w:eastAsiaTheme="minorEastAsia" w:cstheme="minorBidi"/>
      <w:kern w:val="2"/>
      <w:sz w:val="21"/>
      <w:szCs w:val="22"/>
      <w:lang w:val="en-US" w:eastAsia="zh-CN" w:bidi="ar-SA"/>
    </w:rPr>
  </w:style>
  <w:style w:type="character" w:styleId="95">
    <w:name w:val="Placeholder Text"/>
    <w:basedOn w:val="27"/>
    <w:semiHidden/>
    <w:qFormat/>
    <w:uiPriority w:val="99"/>
    <w:rPr>
      <w:color w:val="808080"/>
    </w:rPr>
  </w:style>
  <w:style w:type="character" w:customStyle="1" w:styleId="96">
    <w:name w:val="未处理的提及4"/>
    <w:basedOn w:val="27"/>
    <w:semiHidden/>
    <w:unhideWhenUsed/>
    <w:qFormat/>
    <w:uiPriority w:val="99"/>
    <w:rPr>
      <w:color w:val="605E5C"/>
      <w:shd w:val="clear" w:color="auto" w:fill="E1DFDD"/>
    </w:rPr>
  </w:style>
  <w:style w:type="paragraph" w:customStyle="1" w:styleId="97">
    <w:name w:val="2级"/>
    <w:basedOn w:val="82"/>
    <w:link w:val="99"/>
    <w:qFormat/>
    <w:uiPriority w:val="0"/>
    <w:pPr>
      <w:ind w:firstLine="0" w:firstLineChars="0"/>
      <w:outlineLvl w:val="1"/>
    </w:pPr>
    <w:rPr>
      <w:rFonts w:ascii="宋体" w:hAnsi="宋体" w:cs="Times New Roman Regular"/>
      <w:b/>
      <w:szCs w:val="24"/>
      <w:lang w:eastAsia="zh-Hans"/>
    </w:rPr>
  </w:style>
  <w:style w:type="character" w:customStyle="1" w:styleId="98">
    <w:name w:val="1级 字符"/>
    <w:basedOn w:val="85"/>
    <w:link w:val="64"/>
    <w:qFormat/>
    <w:uiPriority w:val="0"/>
    <w:rPr>
      <w:rFonts w:ascii="宋体" w:hAnsi="宋体" w:eastAsia="黑体" w:cs="Times New Roman Regular"/>
      <w:b/>
      <w:kern w:val="2"/>
      <w:sz w:val="21"/>
      <w:szCs w:val="24"/>
      <w:lang w:eastAsia="zh-Hans"/>
    </w:rPr>
  </w:style>
  <w:style w:type="character" w:customStyle="1" w:styleId="99">
    <w:name w:val="2级 字符"/>
    <w:basedOn w:val="85"/>
    <w:link w:val="97"/>
    <w:qFormat/>
    <w:uiPriority w:val="0"/>
    <w:rPr>
      <w:rFonts w:ascii="宋体" w:hAnsi="宋体" w:cs="Times New Roman Regular" w:eastAsiaTheme="minorEastAsia"/>
      <w:b/>
      <w:kern w:val="2"/>
      <w:sz w:val="21"/>
      <w:szCs w:val="24"/>
      <w:lang w:eastAsia="zh-Hans"/>
    </w:rPr>
  </w:style>
  <w:style w:type="character" w:customStyle="1" w:styleId="100">
    <w:name w:val="标题 4 字符"/>
    <w:basedOn w:val="27"/>
    <w:link w:val="5"/>
    <w:semiHidden/>
    <w:qFormat/>
    <w:uiPriority w:val="9"/>
    <w:rPr>
      <w:rFonts w:asciiTheme="majorHAnsi" w:hAnsiTheme="majorHAnsi" w:eastAsiaTheme="majorEastAsia" w:cstheme="majorBidi"/>
      <w:b/>
      <w:bCs/>
      <w:kern w:val="2"/>
      <w:sz w:val="28"/>
      <w:szCs w:val="28"/>
    </w:rPr>
  </w:style>
  <w:style w:type="character" w:customStyle="1" w:styleId="101">
    <w:name w:val="标题 3 字符"/>
    <w:basedOn w:val="27"/>
    <w:link w:val="4"/>
    <w:semiHidden/>
    <w:qFormat/>
    <w:uiPriority w:val="9"/>
    <w:rPr>
      <w:rFonts w:asciiTheme="minorHAnsi" w:hAnsiTheme="minorHAnsi" w:eastAsiaTheme="minorEastAsia" w:cstheme="minorBidi"/>
      <w:b/>
      <w:bCs/>
      <w:kern w:val="2"/>
      <w:sz w:val="32"/>
      <w:szCs w:val="32"/>
    </w:rPr>
  </w:style>
  <w:style w:type="character" w:customStyle="1" w:styleId="102">
    <w:name w:val="标题 2 字符"/>
    <w:basedOn w:val="27"/>
    <w:link w:val="3"/>
    <w:semiHidden/>
    <w:qFormat/>
    <w:uiPriority w:val="9"/>
    <w:rPr>
      <w:rFonts w:asciiTheme="majorHAnsi" w:hAnsiTheme="majorHAnsi" w:eastAsiaTheme="majorEastAsia" w:cstheme="majorBidi"/>
      <w:b/>
      <w:bCs/>
      <w:kern w:val="2"/>
      <w:sz w:val="32"/>
      <w:szCs w:val="32"/>
    </w:rPr>
  </w:style>
  <w:style w:type="paragraph" w:customStyle="1" w:styleId="103">
    <w:name w:val="标准文件_附录标识"/>
    <w:next w:val="62"/>
    <w:qFormat/>
    <w:uiPriority w:val="0"/>
    <w:pPr>
      <w:numPr>
        <w:ilvl w:val="0"/>
        <w:numId w:val="5"/>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104">
    <w:name w:val="标准文件_附录一级条标题"/>
    <w:next w:val="62"/>
    <w:qFormat/>
    <w:uiPriority w:val="0"/>
    <w:pPr>
      <w:widowControl w:val="0"/>
      <w:numPr>
        <w:ilvl w:val="1"/>
        <w:numId w:val="5"/>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105">
    <w:name w:val="标准文件_附录二级条标题"/>
    <w:basedOn w:val="104"/>
    <w:next w:val="62"/>
    <w:uiPriority w:val="0"/>
    <w:pPr>
      <w:widowControl/>
      <w:numPr>
        <w:ilvl w:val="2"/>
      </w:numPr>
      <w:wordWrap w:val="0"/>
      <w:overflowPunct w:val="0"/>
      <w:autoSpaceDE w:val="0"/>
      <w:autoSpaceDN w:val="0"/>
      <w:textAlignment w:val="baseline"/>
      <w:outlineLvl w:val="3"/>
    </w:pPr>
  </w:style>
  <w:style w:type="paragraph" w:customStyle="1" w:styleId="106">
    <w:name w:val="标准文件_附录三级条标题"/>
    <w:next w:val="62"/>
    <w:qFormat/>
    <w:uiPriority w:val="0"/>
    <w:pPr>
      <w:widowControl w:val="0"/>
      <w:numPr>
        <w:ilvl w:val="3"/>
        <w:numId w:val="5"/>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107">
    <w:name w:val="标准文件_附录四级条标题"/>
    <w:next w:val="62"/>
    <w:qFormat/>
    <w:uiPriority w:val="0"/>
    <w:pPr>
      <w:widowControl w:val="0"/>
      <w:numPr>
        <w:ilvl w:val="4"/>
        <w:numId w:val="5"/>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108">
    <w:name w:val="标准文件_附录五级条标题"/>
    <w:next w:val="62"/>
    <w:uiPriority w:val="0"/>
    <w:pPr>
      <w:widowControl w:val="0"/>
      <w:numPr>
        <w:ilvl w:val="5"/>
        <w:numId w:val="5"/>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109">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emf"/><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emf"/><Relationship Id="rId16" Type="http://schemas.openxmlformats.org/officeDocument/2006/relationships/image" Target="media/image3.emf"/><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2124A5-248F-4DF1-9071-D9012713B8F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21</Pages>
  <Words>6218</Words>
  <Characters>7127</Characters>
  <Lines>157</Lines>
  <Paragraphs>44</Paragraphs>
  <TotalTime>2</TotalTime>
  <ScaleCrop>false</ScaleCrop>
  <LinksUpToDate>false</LinksUpToDate>
  <CharactersWithSpaces>7350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2025-09-27T12:33:00Z</dcterms:created>
  <dc:creator>Family</dc:creator>
  <cp:lastModifiedBy>J</cp:lastModifiedBy>
  <cp:lastPrinted>2025-09-27T12:33:00Z</cp:lastPrinted>
  <dcterms:modified xsi:type="dcterms:W3CDTF">2025-10-23T03:02:24Z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B28C4BF5F09E41C3BA5C4723EE3D4822_13</vt:lpwstr>
  </property>
  <property fmtid="{D5CDD505-2E9C-101B-9397-08002B2CF9AE}" pid="4" name="KSOTemplateDocerSaveRecord">
    <vt:lpwstr>eyJoZGlkIjoiMTFmMDJjZGU0YzYzNjgxMjg1NzBlNDNlZWZkY2IyNjMiLCJ1c2VySWQiOiIxMzc2MzQzNjk3In0=</vt:lpwstr>
  </property>
</Properties>
</file>