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0</w:t>
            </w:r>
            <w:r>
              <w:rPr>
                <w:rFonts w:hint="eastAsia" w:ascii="黑体" w:hAnsi="黑体" w:eastAsia="黑体"/>
                <w:sz w:val="21"/>
                <w:szCs w:val="21"/>
                <w:lang w:val="en-US" w:eastAsia="zh-CN"/>
              </w:rPr>
              <w:t>3.100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A</w:t>
            </w:r>
            <w:r>
              <w:rPr>
                <w:rFonts w:hint="eastAsia" w:ascii="黑体" w:hAnsi="黑体" w:eastAsia="黑体"/>
                <w:sz w:val="21"/>
                <w:szCs w:val="21"/>
                <w:lang w:val="en-US" w:eastAsia="zh-CN"/>
              </w:rPr>
              <w:t xml:space="preserve"> 00</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rPr>
          <w:rFonts w:hint="default" w:eastAsia="黑体"/>
          <w:lang w:val="en-US" w:eastAsia="zh-CN"/>
        </w:rPr>
      </w:pPr>
      <w:r>
        <w:rPr>
          <w:rFonts w:hint="eastAsia"/>
          <w:lang w:val="en-US" w:eastAsia="zh-CN"/>
        </w:rPr>
        <w:t>检验检测机构品牌培育指南</w:t>
      </w:r>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hint="eastAsia" w:eastAsia="黑体"/>
          <w:szCs w:val="28"/>
          <w:lang w:eastAsia="zh-CN"/>
        </w:rPr>
        <w:t>Guidance for inspection body and laboratory brand cultivation</w:t>
      </w: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bidi w:val="0"/>
        <w:rPr>
          <w:rFonts w:hint="eastAsia"/>
          <w:lang w:eastAsia="zh-CN"/>
        </w:rPr>
      </w:pPr>
      <w:bookmarkStart w:id="19" w:name="BookMark1"/>
      <w:bookmarkStart w:id="93" w:name="_GoBack"/>
      <w:bookmarkEnd w:id="93"/>
      <w:r>
        <w:rPr>
          <w:rFonts w:hint="eastAsia"/>
          <w:spacing w:val="320"/>
          <w:lang w:eastAsia="zh-CN"/>
        </w:rPr>
        <w:t>目</w:t>
      </w:r>
      <w:r>
        <w:rPr>
          <w:rFonts w:hint="eastAsia"/>
          <w:lang w:eastAsia="zh-CN"/>
        </w:rPr>
        <w:t>次</w:t>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TOC \o "1-1" \t "标准文件_一级条标题,2,标准文件_二级条标题,3,标准文件_附录一级条标题,2,标准文件_附录二级条标题,3," \h</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_Toc21362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spacing w:val="0"/>
          <w:lang w:val="en-US" w:eastAsia="zh-CN"/>
        </w:rPr>
        <w:t>前</w:t>
      </w:r>
      <w:r>
        <w:rPr>
          <w:rFonts w:hint="eastAsia" w:ascii="宋体" w:hAnsi="宋体" w:eastAsia="宋体" w:cs="宋体"/>
          <w:b w:val="0"/>
          <w:bCs w:val="0"/>
          <w:lang w:eastAsia="zh-CN"/>
        </w:rPr>
        <w:t>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_Toc21362 \h </w:instrText>
      </w:r>
      <w:r>
        <w:rPr>
          <w:rFonts w:hint="eastAsia" w:ascii="宋体" w:hAnsi="宋体" w:eastAsia="宋体" w:cs="宋体"/>
          <w:b w:val="0"/>
          <w:bCs w:val="0"/>
        </w:rPr>
        <w:fldChar w:fldCharType="separate"/>
      </w:r>
      <w:r>
        <w:rPr>
          <w:rFonts w:hint="eastAsia" w:ascii="宋体" w:hAnsi="宋体" w:eastAsia="宋体" w:cs="宋体"/>
          <w:b w:val="0"/>
          <w:bCs w:val="0"/>
        </w:rPr>
        <w:t>III</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_Toc4357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rPr>
        <w:t xml:space="preserve">1 </w:t>
      </w:r>
      <w:r>
        <w:rPr>
          <w:rFonts w:hint="eastAsia" w:ascii="宋体" w:hAnsi="宋体" w:eastAsia="宋体" w:cs="宋体"/>
          <w:b w:val="0"/>
          <w:bCs w:val="0"/>
        </w:rPr>
        <w:t>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_Toc4357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_Toc19397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rPr>
        <w:t xml:space="preserve">2 </w:t>
      </w:r>
      <w:r>
        <w:rPr>
          <w:rFonts w:hint="eastAsia" w:ascii="宋体" w:hAnsi="宋体" w:eastAsia="宋体" w:cs="宋体"/>
          <w:b w:val="0"/>
          <w:bCs w:val="0"/>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_Toc19397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_Toc9161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rPr>
        <w:t xml:space="preserve">3 </w:t>
      </w:r>
      <w:r>
        <w:rPr>
          <w:rFonts w:hint="eastAsia" w:ascii="宋体" w:hAnsi="宋体" w:eastAsia="宋体" w:cs="宋体"/>
          <w:b w:val="0"/>
          <w:bCs w:val="0"/>
        </w:rPr>
        <w:t>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_Toc9161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_Toc6878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4 </w:t>
      </w:r>
      <w:r>
        <w:rPr>
          <w:rFonts w:hint="eastAsia" w:ascii="宋体" w:hAnsi="宋体" w:eastAsia="宋体" w:cs="宋体"/>
          <w:b w:val="0"/>
          <w:bCs w:val="0"/>
          <w:lang w:val="en-US" w:eastAsia="zh-CN"/>
        </w:rPr>
        <w:t>组织要求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_Toc6878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_Toc12399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b w:val="0"/>
          <w:bCs w:val="0"/>
          <w:szCs w:val="21"/>
          <w:lang w:val="en-US" w:eastAsia="zh-CN" w:bidi="ar-SA"/>
        </w:rPr>
        <w:t>组织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_Toc12399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_Toc22207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b w:val="0"/>
          <w:bCs w:val="0"/>
          <w:szCs w:val="21"/>
          <w:lang w:val="en-US" w:eastAsia="zh-CN" w:bidi="ar-SA"/>
        </w:rPr>
        <w:t>资源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_Toc22207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_Toc26741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b w:val="0"/>
          <w:bCs w:val="0"/>
          <w:szCs w:val="21"/>
          <w:lang w:val="en-US" w:eastAsia="zh-CN" w:bidi="ar-SA"/>
        </w:rPr>
        <w:t>品牌培育原则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_Toc26741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_Toc14412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4.3.1 </w:t>
      </w:r>
      <w:r>
        <w:rPr>
          <w:rFonts w:hint="eastAsia" w:ascii="宋体" w:hAnsi="宋体" w:eastAsia="宋体" w:cs="宋体"/>
          <w:b w:val="0"/>
          <w:bCs w:val="0"/>
          <w:lang w:val="en-US" w:eastAsia="zh-CN"/>
        </w:rPr>
        <w:t>诚信守法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_Toc14412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_Toc16657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4.3.2 </w:t>
      </w:r>
      <w:r>
        <w:rPr>
          <w:rFonts w:hint="eastAsia" w:ascii="宋体" w:hAnsi="宋体" w:eastAsia="宋体" w:cs="宋体"/>
          <w:b w:val="0"/>
          <w:bCs w:val="0"/>
          <w:szCs w:val="21"/>
          <w:lang w:val="en-US" w:eastAsia="zh-CN" w:bidi="ar-SA"/>
        </w:rPr>
        <w:t>质量为本</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_Toc16657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_Toc26714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4.3.3 </w:t>
      </w:r>
      <w:r>
        <w:rPr>
          <w:rFonts w:hint="eastAsia" w:ascii="宋体" w:hAnsi="宋体" w:eastAsia="宋体" w:cs="宋体"/>
          <w:b w:val="0"/>
          <w:bCs w:val="0"/>
          <w:szCs w:val="21"/>
          <w:lang w:val="en-US" w:eastAsia="zh-CN" w:bidi="ar-SA"/>
        </w:rPr>
        <w:t>客户至上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_Toc26714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_Toc28259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4.3.4 </w:t>
      </w:r>
      <w:r>
        <w:rPr>
          <w:rFonts w:hint="eastAsia" w:ascii="宋体" w:hAnsi="宋体" w:eastAsia="宋体" w:cs="宋体"/>
          <w:b w:val="0"/>
          <w:bCs w:val="0"/>
          <w:szCs w:val="21"/>
          <w:lang w:val="en-US" w:eastAsia="zh-CN" w:bidi="ar-SA"/>
        </w:rPr>
        <w:t>创新发展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_Toc28259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_Toc26245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4.3.5 </w:t>
      </w:r>
      <w:r>
        <w:rPr>
          <w:rFonts w:hint="eastAsia" w:ascii="宋体" w:hAnsi="宋体" w:eastAsia="宋体" w:cs="宋体"/>
          <w:b w:val="0"/>
          <w:bCs w:val="0"/>
          <w:szCs w:val="21"/>
          <w:lang w:val="en-US" w:eastAsia="zh-CN" w:bidi="ar-SA"/>
        </w:rPr>
        <w:t>社会责任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_Toc26245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_Toc9630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5 </w:t>
      </w:r>
      <w:r>
        <w:rPr>
          <w:rFonts w:hint="eastAsia" w:ascii="宋体" w:hAnsi="宋体" w:eastAsia="宋体" w:cs="宋体"/>
          <w:b w:val="0"/>
          <w:bCs w:val="0"/>
          <w:lang w:val="en-US" w:eastAsia="zh-CN"/>
        </w:rPr>
        <w:t>品牌培育的战略规划</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_Toc9630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_Toc24396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宋体" w:hAnsi="宋体" w:eastAsia="宋体" w:cs="宋体"/>
          <w:b w:val="0"/>
          <w:bCs w:val="0"/>
          <w:lang w:val="en-US" w:eastAsia="zh-CN"/>
        </w:rPr>
        <w:t>总则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_Toc24396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_Toc17666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宋体" w:hAnsi="宋体" w:eastAsia="宋体" w:cs="宋体"/>
          <w:b w:val="0"/>
          <w:bCs w:val="0"/>
          <w:szCs w:val="21"/>
          <w:lang w:val="en-US" w:eastAsia="zh-CN" w:bidi="ar-SA"/>
        </w:rPr>
        <w:t>品牌架构和品牌定位</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_Toc17666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_Toc13451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宋体" w:hAnsi="宋体" w:eastAsia="宋体" w:cs="宋体"/>
          <w:b w:val="0"/>
          <w:bCs w:val="0"/>
          <w:szCs w:val="21"/>
          <w:lang w:val="en-US" w:eastAsia="zh-CN" w:bidi="ar-SA"/>
        </w:rPr>
        <w:t>品牌</w:t>
      </w:r>
      <w:r>
        <w:rPr>
          <w:rFonts w:hint="eastAsia" w:ascii="宋体" w:hAnsi="宋体" w:eastAsia="宋体" w:cs="宋体"/>
          <w:b w:val="0"/>
          <w:bCs w:val="0"/>
          <w:lang w:val="en-US" w:eastAsia="zh-CN"/>
        </w:rPr>
        <w:t>核心</w:t>
      </w:r>
      <w:r>
        <w:rPr>
          <w:rFonts w:hint="eastAsia" w:ascii="宋体" w:hAnsi="宋体" w:eastAsia="宋体" w:cs="宋体"/>
          <w:b w:val="0"/>
          <w:bCs w:val="0"/>
          <w:szCs w:val="21"/>
          <w:lang w:val="en-US" w:eastAsia="zh-CN" w:bidi="ar-SA"/>
        </w:rPr>
        <w:t>价值</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_Toc13451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_Toc14622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6 </w:t>
      </w:r>
      <w:r>
        <w:rPr>
          <w:rFonts w:hint="eastAsia" w:ascii="宋体" w:hAnsi="宋体" w:eastAsia="宋体" w:cs="宋体"/>
          <w:b w:val="0"/>
          <w:bCs w:val="0"/>
          <w:lang w:val="en-US" w:eastAsia="zh-CN"/>
        </w:rPr>
        <w:t>品牌培育过程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_Toc14622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_Toc21069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宋体" w:eastAsia="宋体" w:cs="宋体"/>
          <w:b w:val="0"/>
          <w:bCs w:val="0"/>
          <w:lang w:val="en-US" w:eastAsia="zh-CN"/>
        </w:rPr>
        <w:t>品牌价值创造过程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_Toc21069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_Toc28856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6.1.1 </w:t>
      </w:r>
      <w:r>
        <w:rPr>
          <w:rFonts w:hint="eastAsia" w:ascii="宋体" w:hAnsi="宋体" w:eastAsia="宋体" w:cs="宋体"/>
          <w:b w:val="0"/>
          <w:bCs w:val="0"/>
          <w:lang w:val="en-US" w:eastAsia="zh-CN"/>
        </w:rPr>
        <w:t>总则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_Toc28856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_Toc31616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6.1.2 </w:t>
      </w:r>
      <w:r>
        <w:rPr>
          <w:rFonts w:hint="eastAsia" w:ascii="宋体" w:hAnsi="宋体" w:eastAsia="宋体" w:cs="宋体"/>
          <w:b w:val="0"/>
          <w:bCs w:val="0"/>
          <w:lang w:val="en-US" w:eastAsia="zh-CN"/>
        </w:rPr>
        <w:t>有形要素</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_Toc31616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_Toc32066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6.1.3 </w:t>
      </w:r>
      <w:r>
        <w:rPr>
          <w:rFonts w:hint="eastAsia" w:ascii="宋体" w:hAnsi="宋体" w:eastAsia="宋体" w:cs="宋体"/>
          <w:b w:val="0"/>
          <w:bCs w:val="0"/>
          <w:szCs w:val="21"/>
          <w:lang w:val="en-US" w:eastAsia="zh-CN" w:bidi="ar-SA"/>
        </w:rPr>
        <w:t>质量要素</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_Toc32066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_Toc21790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6.1.4 </w:t>
      </w:r>
      <w:r>
        <w:rPr>
          <w:rFonts w:hint="eastAsia" w:ascii="宋体" w:hAnsi="宋体" w:eastAsia="宋体" w:cs="宋体"/>
          <w:b w:val="0"/>
          <w:bCs w:val="0"/>
          <w:szCs w:val="21"/>
          <w:lang w:val="en-US" w:eastAsia="zh-CN" w:bidi="ar-SA"/>
        </w:rPr>
        <w:t>创新要素</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_Toc21790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_Toc11219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6.1.5 </w:t>
      </w:r>
      <w:r>
        <w:rPr>
          <w:rFonts w:hint="eastAsia" w:ascii="宋体" w:hAnsi="宋体" w:eastAsia="宋体" w:cs="宋体"/>
          <w:b w:val="0"/>
          <w:bCs w:val="0"/>
          <w:szCs w:val="21"/>
          <w:lang w:val="en-US" w:eastAsia="zh-CN" w:bidi="ar-SA"/>
        </w:rPr>
        <w:t>服务要素</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_Toc11219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_Toc27588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6.1.6 </w:t>
      </w:r>
      <w:r>
        <w:rPr>
          <w:rFonts w:hint="eastAsia" w:ascii="宋体" w:hAnsi="宋体" w:eastAsia="宋体" w:cs="宋体"/>
          <w:b w:val="0"/>
          <w:bCs w:val="0"/>
          <w:szCs w:val="21"/>
          <w:lang w:val="en-US" w:eastAsia="zh-CN" w:bidi="ar-SA"/>
        </w:rPr>
        <w:t>无形要素</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_Toc27588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_Toc756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ascii="宋体" w:hAnsi="宋体" w:eastAsia="宋体" w:cs="宋体"/>
          <w:b w:val="0"/>
          <w:bCs w:val="0"/>
          <w:lang w:val="en-US" w:eastAsia="zh-CN"/>
        </w:rPr>
        <w:t>品牌价值传递与维护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_Toc756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_Toc3786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6.2.1 </w:t>
      </w:r>
      <w:r>
        <w:rPr>
          <w:rFonts w:hint="eastAsia" w:ascii="宋体" w:hAnsi="宋体" w:eastAsia="宋体" w:cs="宋体"/>
          <w:b w:val="0"/>
          <w:bCs w:val="0"/>
          <w:lang w:val="en-US" w:eastAsia="zh-CN"/>
        </w:rPr>
        <w:t>概述</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_Toc3786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_Toc13250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6.2.2 </w:t>
      </w:r>
      <w:r>
        <w:rPr>
          <w:rFonts w:hint="eastAsia" w:ascii="宋体" w:hAnsi="宋体" w:eastAsia="宋体" w:cs="宋体"/>
          <w:b w:val="0"/>
          <w:bCs w:val="0"/>
          <w:lang w:val="en-US" w:eastAsia="zh-CN"/>
        </w:rPr>
        <w:t>品牌</w:t>
      </w:r>
      <w:r>
        <w:rPr>
          <w:rFonts w:hint="eastAsia" w:ascii="宋体" w:hAnsi="宋体" w:eastAsia="宋体" w:cs="宋体"/>
          <w:b w:val="0"/>
          <w:bCs w:val="0"/>
          <w:szCs w:val="21"/>
          <w:lang w:val="en-US" w:eastAsia="zh-CN" w:bidi="ar-SA"/>
        </w:rPr>
        <w:t>识别</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_Toc13250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_Toc30046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6.2.3 </w:t>
      </w:r>
      <w:r>
        <w:rPr>
          <w:rFonts w:hint="eastAsia" w:ascii="宋体" w:hAnsi="宋体" w:eastAsia="宋体" w:cs="宋体"/>
          <w:b w:val="0"/>
          <w:bCs w:val="0"/>
          <w:lang w:val="en-US" w:eastAsia="zh-CN"/>
        </w:rPr>
        <w:t>品牌</w:t>
      </w:r>
      <w:r>
        <w:rPr>
          <w:rFonts w:hint="eastAsia" w:ascii="宋体" w:hAnsi="宋体" w:eastAsia="宋体" w:cs="宋体"/>
          <w:b w:val="0"/>
          <w:bCs w:val="0"/>
          <w:szCs w:val="21"/>
          <w:lang w:val="en-US" w:eastAsia="zh-CN" w:bidi="ar-SA"/>
        </w:rPr>
        <w:t>传播</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_Toc30046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_Toc16691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6.2.4 </w:t>
      </w:r>
      <w:r>
        <w:rPr>
          <w:rFonts w:hint="eastAsia" w:ascii="宋体" w:hAnsi="宋体" w:eastAsia="宋体" w:cs="宋体"/>
          <w:b w:val="0"/>
          <w:bCs w:val="0"/>
          <w:szCs w:val="21"/>
          <w:lang w:val="en-US" w:eastAsia="zh-CN" w:bidi="ar-SA"/>
        </w:rPr>
        <w:t>品牌保护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_Toc16691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16"/>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_Toc1324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szCs w:val="21"/>
          <w:lang w:val="en-US" w:eastAsia="zh-CN" w:bidi="ar-SA"/>
        </w:rPr>
        <w:t xml:space="preserve">6.2.5 </w:t>
      </w:r>
      <w:r>
        <w:rPr>
          <w:rFonts w:hint="eastAsia" w:ascii="宋体" w:hAnsi="宋体" w:eastAsia="宋体" w:cs="宋体"/>
          <w:b w:val="0"/>
          <w:bCs w:val="0"/>
          <w:szCs w:val="21"/>
          <w:lang w:val="en-US" w:eastAsia="zh-CN" w:bidi="ar-SA"/>
        </w:rPr>
        <w:t>品牌更新和品牌延伸</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_Toc1324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_Toc30341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7 </w:t>
      </w:r>
      <w:r>
        <w:rPr>
          <w:rFonts w:hint="eastAsia" w:ascii="宋体" w:hAnsi="宋体" w:eastAsia="宋体" w:cs="宋体"/>
          <w:b w:val="0"/>
          <w:bCs w:val="0"/>
          <w:lang w:val="en-US" w:eastAsia="zh-CN"/>
        </w:rPr>
        <w:t>品牌培育的测量评价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_Toc30341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_Toc3997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ascii="宋体" w:hAnsi="宋体" w:eastAsia="宋体" w:cs="宋体"/>
          <w:b w:val="0"/>
          <w:bCs w:val="0"/>
          <w:szCs w:val="21"/>
          <w:lang w:val="en-US" w:eastAsia="zh-CN" w:bidi="ar-SA"/>
        </w:rPr>
        <w:t>总则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_Toc3997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_Toc19998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ascii="宋体" w:hAnsi="宋体" w:eastAsia="宋体" w:cs="宋体"/>
          <w:b w:val="0"/>
          <w:bCs w:val="0"/>
          <w:szCs w:val="21"/>
          <w:lang w:val="en-US" w:eastAsia="zh-CN" w:bidi="ar-SA"/>
        </w:rPr>
        <w:t>过程成熟度评价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_Toc19998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5"/>
        <w:tabs>
          <w:tab w:val="right" w:leader="dot" w:pos="9354"/>
          <w:tab w:val="clear" w:pos="934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_Toc16817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iCs w:val="0"/>
          <w:caps w:val="0"/>
          <w:smallCaps w:val="0"/>
          <w:strike w:val="0"/>
          <w:dstrike w:val="0"/>
          <w:vanish w:val="0"/>
          <w:spacing w:val="0"/>
          <w:kern w:val="0"/>
          <w:position w:val="0"/>
          <w:szCs w:val="21"/>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ascii="宋体" w:hAnsi="宋体" w:eastAsia="宋体" w:cs="宋体"/>
          <w:b w:val="0"/>
          <w:bCs w:val="0"/>
          <w:szCs w:val="21"/>
          <w:lang w:val="en-US" w:eastAsia="zh-CN" w:bidi="ar-SA"/>
        </w:rPr>
        <w:t>品牌价值评价</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_Toc16817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_Toc13410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i w:val="0"/>
          <w:lang w:val="en-US" w:eastAsia="zh-CN"/>
        </w:rPr>
        <w:t xml:space="preserve">8 </w:t>
      </w:r>
      <w:r>
        <w:rPr>
          <w:rFonts w:hint="eastAsia" w:ascii="宋体" w:hAnsi="宋体" w:eastAsia="宋体" w:cs="宋体"/>
          <w:b w:val="0"/>
          <w:bCs w:val="0"/>
          <w:lang w:val="en-US" w:eastAsia="zh-CN"/>
        </w:rPr>
        <w:t>品牌培育的改进创新</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_Toc13410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_Toc27098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spacing w:val="0"/>
          <w:lang w:val="en-US" w:eastAsia="zh-CN"/>
        </w:rPr>
        <w:t>附录</w:t>
      </w:r>
      <w:r>
        <w:rPr>
          <w:rFonts w:hint="eastAsia" w:ascii="宋体" w:hAnsi="宋体" w:eastAsia="宋体" w:cs="宋体"/>
          <w:b w:val="0"/>
          <w:bCs w:val="0"/>
          <w:spacing w:val="100"/>
        </w:rPr>
        <w:t>A</w:t>
      </w:r>
      <w:r>
        <w:rPr>
          <w:rFonts w:hint="eastAsia" w:ascii="宋体" w:hAnsi="宋体" w:eastAsia="宋体" w:cs="宋体"/>
          <w:b w:val="0"/>
          <w:bCs w:val="0"/>
          <w:lang w:eastAsia="zh-CN"/>
        </w:rPr>
        <w:t>（资料性） 检验检测机构品牌培育</w:t>
      </w:r>
      <w:r>
        <w:rPr>
          <w:rFonts w:hint="eastAsia" w:ascii="宋体" w:hAnsi="宋体" w:eastAsia="宋体" w:cs="宋体"/>
          <w:b w:val="0"/>
          <w:bCs w:val="0"/>
          <w:lang w:val="en-US" w:eastAsia="zh-CN"/>
        </w:rPr>
        <w:t>内部审核</w:t>
      </w:r>
      <w:r>
        <w:rPr>
          <w:rFonts w:hint="eastAsia" w:ascii="宋体" w:hAnsi="宋体" w:eastAsia="宋体" w:cs="宋体"/>
          <w:b w:val="0"/>
          <w:bCs w:val="0"/>
          <w:lang w:eastAsia="zh-CN"/>
        </w:rPr>
        <w:t>指标体系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_Toc27098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spacing w:val="0"/>
          <w:lang w:eastAsia="zh-CN"/>
        </w:rPr>
        <w:fldChar w:fldCharType="begin"/>
      </w:r>
      <w:r>
        <w:rPr>
          <w:rFonts w:hint="eastAsia" w:ascii="宋体" w:hAnsi="宋体" w:eastAsia="宋体" w:cs="宋体"/>
          <w:b w:val="0"/>
          <w:bCs w:val="0"/>
          <w:spacing w:val="0"/>
          <w:lang w:eastAsia="zh-CN"/>
        </w:rPr>
        <w:instrText xml:space="preserve"> HYPERLINK \l _Toc8273 </w:instrText>
      </w:r>
      <w:r>
        <w:rPr>
          <w:rFonts w:hint="eastAsia" w:ascii="宋体" w:hAnsi="宋体" w:eastAsia="宋体" w:cs="宋体"/>
          <w:b w:val="0"/>
          <w:bCs w:val="0"/>
          <w:spacing w:val="0"/>
          <w:lang w:eastAsia="zh-CN"/>
        </w:rPr>
        <w:fldChar w:fldCharType="separate"/>
      </w:r>
      <w:r>
        <w:rPr>
          <w:rFonts w:hint="eastAsia" w:ascii="宋体" w:hAnsi="宋体" w:eastAsia="宋体" w:cs="宋体"/>
          <w:b w:val="0"/>
          <w:bCs w:val="0"/>
          <w:spacing w:val="0"/>
          <w:lang w:val="en-US" w:eastAsia="zh-CN"/>
        </w:rPr>
        <w:t>参考文献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_Toc8273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pacing w:val="0"/>
          <w:lang w:eastAsia="zh-CN"/>
        </w:rPr>
        <w:fldChar w:fldCharType="end"/>
      </w:r>
    </w:p>
    <w:p>
      <w:pPr>
        <w:pStyle w:val="92"/>
        <w:bidi w:val="0"/>
        <w:jc w:val="left"/>
        <w:rPr>
          <w:rFonts w:hint="eastAsia"/>
          <w:spacing w:val="0"/>
          <w:lang w:eastAsia="zh-CN"/>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b w:val="0"/>
          <w:bCs w:val="0"/>
          <w:spacing w:val="0"/>
          <w:lang w:eastAsia="zh-CN"/>
        </w:rPr>
        <w:fldChar w:fldCharType="end"/>
      </w:r>
    </w:p>
    <w:bookmarkEnd w:id="19"/>
    <w:p>
      <w:pPr>
        <w:pStyle w:val="90"/>
        <w:bidi w:val="0"/>
        <w:spacing w:before="900"/>
        <w:rPr>
          <w:rFonts w:hint="eastAsia"/>
          <w:lang w:eastAsia="zh-CN"/>
        </w:rPr>
      </w:pPr>
      <w:bookmarkStart w:id="20" w:name="_Toc21362"/>
      <w:bookmarkStart w:id="21" w:name="BookMark2"/>
      <w:r>
        <w:rPr>
          <w:rFonts w:hint="eastAsia"/>
          <w:spacing w:val="320"/>
          <w:lang w:eastAsia="zh-CN"/>
        </w:rPr>
        <w:t>前</w:t>
      </w:r>
      <w:r>
        <w:rPr>
          <w:rFonts w:hint="eastAsia"/>
          <w:lang w:eastAsia="zh-CN"/>
        </w:rPr>
        <w:t>言</w:t>
      </w:r>
      <w:bookmarkEnd w:id="20"/>
    </w:p>
    <w:p>
      <w:pPr>
        <w:pStyle w:val="57"/>
        <w:bidi w:val="0"/>
        <w:rPr>
          <w:rFonts w:hint="eastAsia"/>
          <w:lang w:eastAsia="zh-CN"/>
        </w:rPr>
      </w:pPr>
      <w:r>
        <w:rPr>
          <w:rFonts w:hint="eastAsia"/>
          <w:lang w:eastAsia="zh-CN"/>
        </w:rPr>
        <w:t>本文件按照GB/T 1.1—2020《标准化工作导则  第1部分：标准化文件的结构和起草规则》的规定起草。</w:t>
      </w:r>
    </w:p>
    <w:p>
      <w:pPr>
        <w:pStyle w:val="57"/>
        <w:bidi w:val="0"/>
        <w:rPr>
          <w:rFonts w:hint="eastAsia"/>
          <w:lang w:eastAsia="zh-CN"/>
        </w:rPr>
      </w:pPr>
      <w:r>
        <w:rPr>
          <w:rFonts w:hint="eastAsia"/>
          <w:lang w:eastAsia="zh-CN"/>
        </w:rPr>
        <w:t>请注意本文件的某些内容可能涉及专利。本文件的发布机构不承担识别专利的责任。</w:t>
      </w:r>
    </w:p>
    <w:p>
      <w:pPr>
        <w:pStyle w:val="57"/>
        <w:bidi w:val="0"/>
        <w:rPr>
          <w:rFonts w:hint="eastAsia"/>
          <w:lang w:eastAsia="zh-CN"/>
        </w:rPr>
      </w:pPr>
      <w:r>
        <w:rPr>
          <w:rFonts w:hint="eastAsia"/>
          <w:lang w:eastAsia="zh-CN"/>
        </w:rPr>
        <w:t>本文件由</w:t>
      </w:r>
      <w:r>
        <w:rPr>
          <w:rFonts w:hint="eastAsia"/>
          <w:lang w:val="en-US" w:eastAsia="zh-CN"/>
        </w:rPr>
        <w:t>广州市番禺区市场监督管理局</w:t>
      </w:r>
      <w:r>
        <w:rPr>
          <w:rFonts w:hint="eastAsia"/>
          <w:lang w:eastAsia="zh-CN"/>
        </w:rPr>
        <w:t>提出。</w:t>
      </w:r>
    </w:p>
    <w:p>
      <w:pPr>
        <w:pStyle w:val="57"/>
        <w:bidi w:val="0"/>
        <w:rPr>
          <w:rFonts w:hint="eastAsia"/>
          <w:lang w:eastAsia="zh-CN"/>
        </w:rPr>
      </w:pPr>
      <w:r>
        <w:rPr>
          <w:rFonts w:hint="eastAsia"/>
          <w:lang w:eastAsia="zh-CN"/>
        </w:rPr>
        <w:t>本文件由××××归口。</w:t>
      </w:r>
    </w:p>
    <w:p>
      <w:pPr>
        <w:pStyle w:val="57"/>
        <w:bidi w:val="0"/>
        <w:rPr>
          <w:rFonts w:hint="eastAsia"/>
          <w:lang w:eastAsia="zh-CN"/>
        </w:rPr>
      </w:pPr>
      <w:r>
        <w:rPr>
          <w:rFonts w:hint="eastAsia"/>
          <w:lang w:eastAsia="zh-CN"/>
        </w:rPr>
        <w:t>本文件起草单位：</w:t>
      </w:r>
    </w:p>
    <w:p>
      <w:pPr>
        <w:pStyle w:val="57"/>
        <w:bidi w:val="0"/>
        <w:rPr>
          <w:rFonts w:hint="eastAsia"/>
          <w:lang w:eastAsia="zh-CN"/>
        </w:rPr>
      </w:pPr>
      <w:r>
        <w:rPr>
          <w:rFonts w:hint="eastAsia"/>
          <w:lang w:eastAsia="zh-CN"/>
        </w:rPr>
        <w:t>本文件主要起草人：</w:t>
      </w:r>
    </w:p>
    <w:p>
      <w:pPr>
        <w:pStyle w:val="57"/>
        <w:bidi w:val="0"/>
        <w:rPr>
          <w:rFonts w:hint="eastAsia"/>
          <w:lang w:eastAsia="zh-CN"/>
        </w:rPr>
      </w:pPr>
    </w:p>
    <w:p>
      <w:pPr>
        <w:pStyle w:val="57"/>
        <w:bidi w:val="0"/>
        <w:rPr>
          <w:rFonts w:hint="eastAsia"/>
          <w:lang w:eastAsia="zh-C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37554C8FE5DA4B9FB292E64524B3D244"/>
        </w:placeholder>
      </w:sdtPr>
      <w:sdtContent>
        <w:p>
          <w:pPr>
            <w:pStyle w:val="178"/>
          </w:pPr>
          <w:bookmarkStart w:id="23" w:name="NEW_STAND_NAME"/>
          <w:r>
            <w:rPr>
              <w:rFonts w:hint="eastAsia"/>
              <w:lang w:eastAsia="zh-CN"/>
            </w:rPr>
            <w:t>检</w:t>
          </w:r>
          <w:bookmarkStart w:id="24" w:name="StandardName"/>
          <w:r>
            <w:rPr>
              <w:rFonts w:hint="eastAsia"/>
              <w:lang w:eastAsia="zh-CN"/>
            </w:rPr>
            <w:t>验检测机构品牌</w:t>
          </w:r>
          <w:bookmarkEnd w:id="24"/>
          <w:r>
            <w:rPr>
              <w:rFonts w:hint="eastAsia"/>
              <w:lang w:val="en-US" w:eastAsia="zh-CN"/>
            </w:rPr>
            <w:t>培育指南</w:t>
          </w:r>
        </w:p>
      </w:sdtContent>
    </w:sdt>
    <w:bookmarkEnd w:id="23"/>
    <w:p>
      <w:pPr>
        <w:pStyle w:val="105"/>
        <w:bidi w:val="0"/>
      </w:pPr>
      <w:bookmarkStart w:id="25" w:name="_Toc26986771"/>
      <w:bookmarkStart w:id="26" w:name="_Toc26648465"/>
      <w:bookmarkStart w:id="27" w:name="_Toc17233325"/>
      <w:bookmarkStart w:id="28" w:name="_Toc26718930"/>
      <w:bookmarkStart w:id="29" w:name="_Toc17233333"/>
      <w:bookmarkStart w:id="30" w:name="_Toc26986530"/>
      <w:bookmarkStart w:id="31" w:name="_Toc24884218"/>
      <w:bookmarkStart w:id="32" w:name="_Toc24884211"/>
      <w:bookmarkStart w:id="33" w:name="_Toc4357"/>
      <w:bookmarkStart w:id="34" w:name="_Toc97192964"/>
      <w:r>
        <w:rPr>
          <w:rFonts w:hint="eastAsia"/>
        </w:rPr>
        <w:t>范围</w:t>
      </w:r>
      <w:bookmarkEnd w:id="25"/>
      <w:bookmarkEnd w:id="26"/>
      <w:bookmarkEnd w:id="27"/>
      <w:bookmarkEnd w:id="28"/>
      <w:bookmarkEnd w:id="29"/>
      <w:bookmarkEnd w:id="30"/>
      <w:bookmarkEnd w:id="31"/>
      <w:bookmarkEnd w:id="32"/>
      <w:bookmarkEnd w:id="33"/>
      <w:bookmarkEnd w:id="34"/>
    </w:p>
    <w:p>
      <w:pPr>
        <w:pStyle w:val="57"/>
        <w:ind w:firstLine="420"/>
        <w:rPr>
          <w:rFonts w:hint="eastAsia"/>
        </w:rPr>
      </w:pPr>
      <w:bookmarkStart w:id="35" w:name="_Toc17233334"/>
      <w:bookmarkStart w:id="36" w:name="_Toc24884212"/>
      <w:bookmarkStart w:id="37" w:name="_Toc24884219"/>
      <w:bookmarkStart w:id="38" w:name="_Toc26648466"/>
      <w:bookmarkStart w:id="39" w:name="_Toc17233326"/>
      <w:r>
        <w:rPr>
          <w:rFonts w:hint="eastAsia"/>
        </w:rPr>
        <w:t>本</w:t>
      </w:r>
      <w:r>
        <w:rPr>
          <w:rFonts w:hint="eastAsia"/>
          <w:lang w:val="en-US" w:eastAsia="zh-CN"/>
        </w:rPr>
        <w:t>文件规定了检验检测机构</w:t>
      </w:r>
      <w:r>
        <w:rPr>
          <w:rFonts w:hint="eastAsia"/>
        </w:rPr>
        <w:t>开展品牌培育活动在组织和资源、战略规划、过程管理、测量评价以及改进创新</w:t>
      </w:r>
      <w:r>
        <w:rPr>
          <w:rFonts w:hint="eastAsia"/>
          <w:lang w:val="en-US" w:eastAsia="zh-CN"/>
        </w:rPr>
        <w:t>等</w:t>
      </w:r>
      <w:r>
        <w:rPr>
          <w:rFonts w:hint="eastAsia"/>
        </w:rPr>
        <w:t>方面</w:t>
      </w:r>
      <w:r>
        <w:rPr>
          <w:rFonts w:hint="eastAsia"/>
          <w:lang w:eastAsia="zh-CN"/>
        </w:rPr>
        <w:t>的</w:t>
      </w:r>
      <w:r>
        <w:rPr>
          <w:rFonts w:hint="eastAsia"/>
          <w:lang w:val="en-US" w:eastAsia="zh-CN"/>
        </w:rPr>
        <w:t>内容</w:t>
      </w:r>
      <w:r>
        <w:rPr>
          <w:rFonts w:hint="eastAsia"/>
        </w:rPr>
        <w:t>。</w:t>
      </w:r>
    </w:p>
    <w:p>
      <w:pPr>
        <w:pStyle w:val="57"/>
        <w:ind w:firstLine="420"/>
      </w:pPr>
      <w:r>
        <w:rPr>
          <w:rFonts w:hint="eastAsia"/>
          <w:lang w:val="en-US" w:eastAsia="zh-CN"/>
        </w:rPr>
        <w:t>本文件适用于检验检测机构开展品牌培育并持续提升品牌价值活动。</w:t>
      </w:r>
    </w:p>
    <w:p>
      <w:pPr>
        <w:pStyle w:val="105"/>
        <w:bidi w:val="0"/>
      </w:pPr>
      <w:bookmarkStart w:id="40" w:name="_Toc26718931"/>
      <w:bookmarkStart w:id="41" w:name="_Toc97192965"/>
      <w:bookmarkStart w:id="42" w:name="_Toc26986772"/>
      <w:bookmarkStart w:id="43" w:name="_Toc26986531"/>
      <w:bookmarkStart w:id="44" w:name="_Toc19397"/>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7AB8F6F630504AF19735832308C14B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default"/>
          <w:lang w:val="en-US" w:eastAsia="zh-CN"/>
        </w:rPr>
      </w:pPr>
      <w:r>
        <w:rPr>
          <w:rFonts w:hint="eastAsia"/>
        </w:rPr>
        <w:t>GB/T 29185</w:t>
      </w:r>
      <w:r>
        <w:rPr>
          <w:rFonts w:hint="eastAsia"/>
          <w:lang w:val="en-US" w:eastAsia="zh-CN"/>
        </w:rPr>
        <w:t xml:space="preserve">  品牌价值  术语</w:t>
      </w:r>
    </w:p>
    <w:p>
      <w:pPr>
        <w:pStyle w:val="57"/>
        <w:ind w:firstLine="420"/>
        <w:rPr>
          <w:rFonts w:hint="eastAsia"/>
          <w:lang w:val="en-US" w:eastAsia="zh-CN"/>
        </w:rPr>
      </w:pPr>
      <w:r>
        <w:rPr>
          <w:rFonts w:hint="eastAsia"/>
          <w:lang w:val="en-US" w:eastAsia="zh-CN"/>
        </w:rPr>
        <w:t>GB/T 29187  品牌评价  品牌价值评价要求</w:t>
      </w:r>
    </w:p>
    <w:p>
      <w:pPr>
        <w:pStyle w:val="57"/>
        <w:ind w:firstLine="420"/>
        <w:rPr>
          <w:rFonts w:hint="eastAsia"/>
          <w:lang w:val="en-US" w:eastAsia="zh-CN"/>
        </w:rPr>
      </w:pPr>
      <w:r>
        <w:rPr>
          <w:rFonts w:hint="eastAsia"/>
          <w:lang w:val="en-US" w:eastAsia="zh-CN"/>
        </w:rPr>
        <w:t>GB/T 29188  品牌价值评价  多周期超额收益法</w:t>
      </w:r>
    </w:p>
    <w:p>
      <w:pPr>
        <w:pStyle w:val="57"/>
        <w:ind w:firstLine="420"/>
        <w:rPr>
          <w:rFonts w:hint="eastAsia"/>
          <w:lang w:val="en-US" w:eastAsia="zh-CN"/>
        </w:rPr>
      </w:pPr>
      <w:r>
        <w:rPr>
          <w:rFonts w:hint="eastAsia"/>
          <w:lang w:val="en-US" w:eastAsia="zh-CN"/>
        </w:rPr>
        <w:t>GB/T 38372  企业品牌培育指南</w:t>
      </w:r>
    </w:p>
    <w:p>
      <w:pPr>
        <w:pStyle w:val="57"/>
        <w:ind w:firstLine="420"/>
      </w:pPr>
      <w:r>
        <w:rPr>
          <w:rFonts w:hint="eastAsia"/>
          <w:lang w:val="en-US" w:eastAsia="zh-CN"/>
        </w:rPr>
        <w:t>GB/T 39654  品牌评价  原则与基础</w:t>
      </w:r>
    </w:p>
    <w:p>
      <w:pPr>
        <w:pStyle w:val="105"/>
        <w:bidi w:val="0"/>
      </w:pPr>
      <w:bookmarkStart w:id="45" w:name="_Toc97192966"/>
      <w:bookmarkStart w:id="46" w:name="_Toc9161"/>
      <w:r>
        <w:rPr>
          <w:rFonts w:hint="eastAsia"/>
        </w:rPr>
        <w:t>术语和定义</w:t>
      </w:r>
      <w:bookmarkEnd w:id="45"/>
      <w:bookmarkEnd w:id="46"/>
    </w:p>
    <w:sdt>
      <w:sdtPr>
        <w:id w:val="-1909835108"/>
        <w:placeholder>
          <w:docPart w:val="E2E4DD8F30F7499B8F2E9EF6313001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7" w:name="_Toc26986532"/>
          <w:bookmarkEnd w:id="47"/>
          <w:r>
            <w:rPr>
              <w:rFonts w:hint="eastAsia" w:ascii="宋体" w:hAnsi="Times New Roman" w:eastAsia="宋体" w:cs="Times New Roman"/>
              <w:sz w:val="21"/>
              <w:lang w:val="en-US" w:eastAsia="zh-CN" w:bidi="ar-SA"/>
            </w:rPr>
            <w:t>GB/T 29185、GB/T 39654</w:t>
          </w:r>
          <w:r>
            <w:rPr>
              <w:rFonts w:ascii="宋体" w:hAnsi="Times New Roman" w:eastAsia="宋体" w:cs="Times New Roman"/>
              <w:sz w:val="21"/>
              <w:lang w:val="en-US" w:eastAsia="zh-CN" w:bidi="ar-SA"/>
            </w:rPr>
            <w:t>界定的以及下列术语和定义适用于本文件。</w:t>
          </w:r>
        </w:p>
      </w:sdtContent>
    </w:sdt>
    <w:p>
      <w:pPr>
        <w:pStyle w:val="224"/>
        <w:bidi w:val="0"/>
        <w:spacing w:after="0" w:afterLines="0"/>
        <w:ind w:left="420" w:hanging="420" w:hangingChars="200"/>
        <w:rPr>
          <w:rFonts w:hint="eastAsia" w:ascii="黑体" w:hAnsi="黑体" w:eastAsia="黑体" w:cs="黑体"/>
          <w:sz w:val="21"/>
          <w:szCs w:val="21"/>
          <w:lang w:val="en-US" w:eastAsia="zh-CN" w:bidi="ar-SA"/>
        </w:rPr>
      </w:pPr>
      <w:bookmarkStart w:id="48" w:name="_Toc10395"/>
      <w:bookmarkEnd w:id="48"/>
      <w:r>
        <w:rPr>
          <w:rFonts w:hint="eastAsia" w:ascii="黑体" w:hAnsi="黑体" w:eastAsia="黑体" w:cs="黑体"/>
          <w:lang w:val="en-US" w:eastAsia="zh-CN"/>
        </w:rPr>
        <w:br w:type="textWrapping"/>
      </w:r>
      <w:r>
        <w:rPr>
          <w:rFonts w:hint="eastAsia" w:ascii="黑体" w:hAnsi="黑体" w:eastAsia="黑体" w:cs="黑体"/>
          <w:sz w:val="21"/>
          <w:szCs w:val="21"/>
          <w:lang w:val="en-US" w:eastAsia="zh-CN" w:bidi="ar-SA"/>
        </w:rPr>
        <w:t>品牌 brand</w:t>
      </w:r>
    </w:p>
    <w:p>
      <w:pPr>
        <w:pStyle w:val="57"/>
        <w:bidi w:val="0"/>
        <w:rPr>
          <w:rFonts w:hint="eastAsia"/>
          <w:lang w:val="en-US" w:eastAsia="zh-CN"/>
        </w:rPr>
      </w:pPr>
      <w:r>
        <w:rPr>
          <w:rFonts w:hint="eastAsia"/>
          <w:lang w:val="en-US" w:eastAsia="zh-CN"/>
        </w:rPr>
        <w:t>与营销相关的无形资产，包括(但不限于)名称、用语、符号、形象、标识、设计或其组合，用于区分产品、服务和(或)实体，或兼而有之，能够在利益相关方意识中形成独特印象和联想，从而产生经济利益(价值)。</w:t>
      </w:r>
    </w:p>
    <w:p>
      <w:pPr>
        <w:pStyle w:val="57"/>
        <w:bidi w:val="0"/>
        <w:rPr>
          <w:rFonts w:hint="eastAsia"/>
          <w:lang w:val="en-US" w:eastAsia="zh-CN"/>
        </w:rPr>
      </w:pPr>
      <w:r>
        <w:rPr>
          <w:rFonts w:hint="eastAsia"/>
          <w:lang w:val="en-US" w:eastAsia="zh-CN"/>
        </w:rPr>
        <w:t>[来源：GB/T 29187—2012，2.2]</w:t>
      </w:r>
    </w:p>
    <w:p>
      <w:pPr>
        <w:pStyle w:val="224"/>
        <w:bidi w:val="0"/>
        <w:spacing w:after="0" w:afterLines="0"/>
        <w:ind w:left="420" w:hanging="420" w:hangingChars="200"/>
        <w:rPr>
          <w:rFonts w:hint="eastAsia" w:ascii="黑体" w:hAnsi="黑体" w:eastAsia="黑体" w:cs="黑体"/>
          <w:sz w:val="21"/>
          <w:szCs w:val="21"/>
          <w:lang w:val="en-US" w:eastAsia="zh-CN" w:bidi="ar-SA"/>
        </w:rPr>
      </w:pPr>
      <w:bookmarkStart w:id="49" w:name="_Toc450"/>
      <w:bookmarkEnd w:id="49"/>
      <w:r>
        <w:rPr>
          <w:rFonts w:hint="eastAsia" w:ascii="黑体" w:hAnsi="黑体" w:eastAsia="黑体" w:cs="黑体"/>
          <w:lang w:val="en-US" w:eastAsia="zh-CN"/>
        </w:rPr>
        <w:br w:type="textWrapping"/>
      </w:r>
      <w:r>
        <w:rPr>
          <w:rFonts w:hint="eastAsia" w:ascii="黑体" w:hAnsi="黑体" w:eastAsia="黑体" w:cs="黑体"/>
          <w:sz w:val="21"/>
          <w:szCs w:val="21"/>
          <w:lang w:val="en-US" w:eastAsia="zh-CN" w:bidi="ar-SA"/>
        </w:rPr>
        <w:t>有形要素　tangible elements</w:t>
      </w:r>
    </w:p>
    <w:p>
      <w:pPr>
        <w:pStyle w:val="57"/>
        <w:bidi w:val="0"/>
        <w:rPr>
          <w:rFonts w:hint="eastAsia"/>
          <w:lang w:val="en-US" w:eastAsia="zh-CN"/>
        </w:rPr>
      </w:pPr>
      <w:r>
        <w:rPr>
          <w:rFonts w:hint="eastAsia"/>
          <w:lang w:val="en-US" w:eastAsia="zh-CN"/>
        </w:rPr>
        <w:t xml:space="preserve">实体控制的可识别且可直接测量的资源。 </w:t>
      </w:r>
    </w:p>
    <w:p>
      <w:pPr>
        <w:pStyle w:val="180"/>
        <w:bidi w:val="0"/>
        <w:rPr>
          <w:rFonts w:hint="eastAsia"/>
          <w:lang w:val="en-US" w:eastAsia="zh-CN"/>
        </w:rPr>
      </w:pPr>
      <w:r>
        <w:rPr>
          <w:rFonts w:hint="eastAsia"/>
          <w:lang w:val="en-US" w:eastAsia="zh-CN"/>
        </w:rPr>
        <w:t>包括但不限于物质资源和财务资源。</w:t>
      </w:r>
    </w:p>
    <w:p>
      <w:pPr>
        <w:pStyle w:val="57"/>
        <w:bidi w:val="0"/>
        <w:rPr>
          <w:rFonts w:hint="eastAsia"/>
          <w:lang w:val="en-US" w:eastAsia="zh-CN"/>
        </w:rPr>
      </w:pPr>
      <w:r>
        <w:rPr>
          <w:rFonts w:hint="eastAsia"/>
          <w:lang w:val="en-US" w:eastAsia="zh-CN"/>
        </w:rPr>
        <w:t>[来源：GB/T 29185—2021，4.5]</w:t>
      </w:r>
    </w:p>
    <w:p>
      <w:pPr>
        <w:pStyle w:val="224"/>
        <w:bidi w:val="0"/>
        <w:spacing w:after="0" w:afterLines="0"/>
        <w:ind w:left="420" w:hanging="420" w:hangingChars="200"/>
        <w:rPr>
          <w:rFonts w:hint="eastAsia" w:ascii="黑体" w:hAnsi="黑体" w:eastAsia="黑体" w:cs="黑体"/>
          <w:sz w:val="21"/>
          <w:szCs w:val="21"/>
          <w:lang w:val="en-US" w:eastAsia="zh-CN" w:bidi="ar-SA"/>
        </w:rPr>
      </w:pPr>
      <w:bookmarkStart w:id="50" w:name="_Toc6268"/>
      <w:bookmarkEnd w:id="50"/>
      <w:r>
        <w:rPr>
          <w:rFonts w:hint="eastAsia" w:ascii="黑体" w:hAnsi="黑体" w:eastAsia="黑体" w:cs="黑体"/>
          <w:lang w:val="en-US" w:eastAsia="zh-CN"/>
        </w:rPr>
        <w:br w:type="textWrapping"/>
      </w:r>
      <w:r>
        <w:rPr>
          <w:rFonts w:hint="eastAsia" w:ascii="黑体" w:hAnsi="黑体" w:eastAsia="黑体" w:cs="黑体"/>
          <w:sz w:val="21"/>
          <w:szCs w:val="21"/>
          <w:lang w:val="en-US" w:eastAsia="zh-CN" w:bidi="ar-SA"/>
        </w:rPr>
        <w:t>质量要素 quality elements</w:t>
      </w:r>
    </w:p>
    <w:p>
      <w:pPr>
        <w:pStyle w:val="57"/>
        <w:bidi w:val="0"/>
        <w:rPr>
          <w:rFonts w:hint="eastAsia"/>
          <w:lang w:val="en-US" w:eastAsia="zh-CN"/>
        </w:rPr>
      </w:pPr>
      <w:r>
        <w:rPr>
          <w:rFonts w:hint="eastAsia"/>
          <w:lang w:val="en-US" w:eastAsia="zh-CN"/>
        </w:rPr>
        <w:t>在质量承诺、质量管理和感知质量方面所投入的资源。</w:t>
      </w:r>
    </w:p>
    <w:p>
      <w:pPr>
        <w:pStyle w:val="180"/>
        <w:bidi w:val="0"/>
        <w:rPr>
          <w:rFonts w:hint="eastAsia"/>
          <w:lang w:val="en-US" w:eastAsia="zh-CN"/>
        </w:rPr>
      </w:pPr>
      <w:r>
        <w:rPr>
          <w:rFonts w:hint="eastAsia"/>
          <w:lang w:val="en-US" w:eastAsia="zh-CN"/>
        </w:rPr>
        <w:t>包括但不限于质量管理体系的实施，过程归档以及有资质的质量管理人员。</w:t>
      </w:r>
    </w:p>
    <w:p>
      <w:pPr>
        <w:pStyle w:val="57"/>
        <w:bidi w:val="0"/>
        <w:rPr>
          <w:rFonts w:hint="eastAsia"/>
          <w:lang w:val="en-US" w:eastAsia="zh-CN"/>
        </w:rPr>
      </w:pPr>
      <w:r>
        <w:rPr>
          <w:rFonts w:hint="eastAsia"/>
          <w:lang w:val="en-US" w:eastAsia="zh-CN"/>
        </w:rPr>
        <w:t>[来源：GB/T 29185—2021，4.6]</w:t>
      </w:r>
    </w:p>
    <w:p>
      <w:pPr>
        <w:pStyle w:val="224"/>
        <w:bidi w:val="0"/>
        <w:spacing w:after="0" w:afterLines="0"/>
        <w:ind w:left="420" w:hanging="420" w:hangingChars="200"/>
        <w:rPr>
          <w:rFonts w:hint="eastAsia" w:ascii="黑体" w:hAnsi="黑体" w:eastAsia="黑体" w:cs="黑体"/>
          <w:sz w:val="21"/>
          <w:szCs w:val="21"/>
          <w:lang w:val="en-US" w:eastAsia="zh-CN" w:bidi="ar-SA"/>
        </w:rPr>
      </w:pPr>
      <w:bookmarkStart w:id="51" w:name="_Toc21041"/>
      <w:bookmarkEnd w:id="51"/>
      <w:r>
        <w:rPr>
          <w:rFonts w:hint="eastAsia" w:ascii="黑体" w:hAnsi="黑体" w:eastAsia="黑体" w:cs="黑体"/>
          <w:lang w:val="en-US" w:eastAsia="zh-CN"/>
        </w:rPr>
        <w:br w:type="textWrapping"/>
      </w:r>
      <w:r>
        <w:rPr>
          <w:rFonts w:hint="eastAsia" w:ascii="黑体" w:hAnsi="黑体" w:eastAsia="黑体" w:cs="黑体"/>
          <w:sz w:val="21"/>
          <w:szCs w:val="21"/>
          <w:lang w:val="en-US" w:eastAsia="zh-CN" w:bidi="ar-SA"/>
        </w:rPr>
        <w:t>创新要素innovation elements</w:t>
      </w:r>
    </w:p>
    <w:p>
      <w:pPr>
        <w:pStyle w:val="57"/>
        <w:bidi w:val="0"/>
        <w:rPr>
          <w:rFonts w:hint="eastAsia"/>
          <w:lang w:val="en-US" w:eastAsia="zh-CN"/>
        </w:rPr>
      </w:pPr>
      <w:r>
        <w:rPr>
          <w:rFonts w:hint="eastAsia"/>
          <w:lang w:val="en-US" w:eastAsia="zh-CN"/>
        </w:rPr>
        <w:t>对创新活动所投入的资源。</w:t>
      </w:r>
    </w:p>
    <w:p>
      <w:pPr>
        <w:pStyle w:val="181"/>
        <w:bidi w:val="0"/>
        <w:ind w:left="811" w:leftChars="0" w:hanging="448" w:firstLineChars="0"/>
        <w:rPr>
          <w:rFonts w:hint="eastAsia"/>
          <w:lang w:val="en-US" w:eastAsia="zh-CN"/>
        </w:rPr>
      </w:pPr>
      <w:r>
        <w:rPr>
          <w:rFonts w:hint="eastAsia"/>
          <w:lang w:val="en-US" w:eastAsia="zh-CN"/>
        </w:rPr>
        <w:t>包括但不限于创新活动的能力、可持续性以及有效性。</w:t>
      </w:r>
    </w:p>
    <w:p>
      <w:pPr>
        <w:pStyle w:val="181"/>
        <w:bidi w:val="0"/>
        <w:ind w:left="811" w:leftChars="0" w:hanging="448" w:firstLineChars="0"/>
        <w:rPr>
          <w:rFonts w:hint="eastAsia"/>
          <w:lang w:val="en-US" w:eastAsia="zh-CN"/>
        </w:rPr>
      </w:pPr>
      <w:r>
        <w:rPr>
          <w:rFonts w:hint="eastAsia"/>
          <w:lang w:val="en-US" w:eastAsia="zh-CN"/>
        </w:rPr>
        <w:t>创新涉及品牌主体研发设计、生产、管理、营销、服务到市场应用的完整过程。</w:t>
      </w:r>
    </w:p>
    <w:p>
      <w:pPr>
        <w:pStyle w:val="57"/>
        <w:bidi w:val="0"/>
        <w:rPr>
          <w:rFonts w:hint="eastAsia"/>
          <w:lang w:val="en-US" w:eastAsia="zh-CN"/>
        </w:rPr>
      </w:pPr>
      <w:r>
        <w:rPr>
          <w:rFonts w:hint="eastAsia"/>
          <w:lang w:val="en-US" w:eastAsia="zh-CN"/>
        </w:rPr>
        <w:t>[来源：GB/T 29185—2021，4.7]</w:t>
      </w:r>
    </w:p>
    <w:p>
      <w:pPr>
        <w:pStyle w:val="224"/>
        <w:bidi w:val="0"/>
        <w:spacing w:after="0" w:afterLines="0"/>
        <w:ind w:left="420" w:hanging="420" w:hangingChars="200"/>
        <w:rPr>
          <w:rFonts w:hint="eastAsia" w:ascii="黑体" w:hAnsi="黑体" w:eastAsia="黑体" w:cs="黑体"/>
          <w:sz w:val="21"/>
          <w:szCs w:val="21"/>
          <w:lang w:val="en-US" w:eastAsia="zh-CN" w:bidi="ar-SA"/>
        </w:rPr>
      </w:pPr>
      <w:bookmarkStart w:id="52" w:name="_Toc15890"/>
      <w:bookmarkEnd w:id="52"/>
      <w:r>
        <w:rPr>
          <w:rFonts w:hint="eastAsia" w:ascii="黑体" w:hAnsi="黑体" w:eastAsia="黑体" w:cs="黑体"/>
          <w:lang w:val="en-US" w:eastAsia="zh-CN"/>
        </w:rPr>
        <w:br w:type="textWrapping"/>
      </w:r>
      <w:r>
        <w:rPr>
          <w:rFonts w:hint="eastAsia" w:ascii="黑体" w:hAnsi="黑体" w:eastAsia="黑体" w:cs="黑体"/>
          <w:sz w:val="21"/>
          <w:szCs w:val="21"/>
          <w:lang w:val="en-US" w:eastAsia="zh-CN" w:bidi="ar-SA"/>
        </w:rPr>
        <w:t>服务要素 service elements</w:t>
      </w:r>
    </w:p>
    <w:p>
      <w:pPr>
        <w:pStyle w:val="57"/>
        <w:bidi w:val="0"/>
        <w:rPr>
          <w:rFonts w:hint="eastAsia"/>
          <w:lang w:val="en-US" w:eastAsia="zh-CN"/>
        </w:rPr>
      </w:pPr>
      <w:r>
        <w:rPr>
          <w:rFonts w:hint="eastAsia"/>
          <w:lang w:val="en-US" w:eastAsia="zh-CN"/>
        </w:rPr>
        <w:t>为满足顾客需求并加强品牌感知和参与所开展的活动。</w:t>
      </w:r>
    </w:p>
    <w:p>
      <w:pPr>
        <w:pStyle w:val="180"/>
        <w:bidi w:val="0"/>
        <w:rPr>
          <w:rFonts w:hint="eastAsia"/>
          <w:lang w:val="en-US" w:eastAsia="zh-CN"/>
        </w:rPr>
      </w:pPr>
      <w:r>
        <w:rPr>
          <w:rFonts w:hint="eastAsia"/>
          <w:lang w:val="en-US" w:eastAsia="zh-CN"/>
        </w:rPr>
        <w:t>包括但不限于服务能力和服务有效性。</w:t>
      </w:r>
    </w:p>
    <w:p>
      <w:pPr>
        <w:pStyle w:val="57"/>
        <w:bidi w:val="0"/>
        <w:rPr>
          <w:rFonts w:hint="eastAsia"/>
          <w:lang w:val="en-US" w:eastAsia="zh-CN"/>
        </w:rPr>
      </w:pPr>
      <w:r>
        <w:rPr>
          <w:rFonts w:hint="eastAsia"/>
          <w:lang w:val="en-US" w:eastAsia="zh-CN"/>
        </w:rPr>
        <w:t>[来源：GB/T 29185—2021，4.8]</w:t>
      </w:r>
    </w:p>
    <w:p>
      <w:pPr>
        <w:pStyle w:val="224"/>
        <w:bidi w:val="0"/>
        <w:spacing w:after="0" w:afterLines="0"/>
        <w:ind w:left="420" w:hanging="420" w:hangingChars="200"/>
        <w:rPr>
          <w:rFonts w:hint="eastAsia" w:ascii="黑体" w:hAnsi="黑体" w:eastAsia="黑体" w:cs="黑体"/>
          <w:sz w:val="21"/>
          <w:szCs w:val="21"/>
          <w:lang w:val="en-US" w:eastAsia="zh-CN" w:bidi="ar-SA"/>
        </w:rPr>
      </w:pPr>
      <w:bookmarkStart w:id="53" w:name="_Toc14172"/>
      <w:bookmarkEnd w:id="53"/>
      <w:r>
        <w:rPr>
          <w:rFonts w:hint="eastAsia" w:ascii="黑体" w:hAnsi="黑体" w:eastAsia="黑体" w:cs="黑体"/>
          <w:lang w:val="en-US" w:eastAsia="zh-CN"/>
        </w:rPr>
        <w:br w:type="textWrapping"/>
      </w:r>
      <w:r>
        <w:rPr>
          <w:rFonts w:hint="eastAsia" w:ascii="黑体" w:hAnsi="黑体" w:eastAsia="黑体" w:cs="黑体"/>
          <w:sz w:val="21"/>
          <w:szCs w:val="21"/>
          <w:lang w:val="en-US" w:eastAsia="zh-CN" w:bidi="ar-SA"/>
        </w:rPr>
        <w:t>无形要素intangible elements</w:t>
      </w:r>
    </w:p>
    <w:p>
      <w:pPr>
        <w:pStyle w:val="57"/>
        <w:bidi w:val="0"/>
        <w:rPr>
          <w:rFonts w:hint="eastAsia"/>
          <w:lang w:val="en-US" w:eastAsia="zh-CN"/>
        </w:rPr>
      </w:pPr>
      <w:r>
        <w:rPr>
          <w:rFonts w:hint="eastAsia"/>
          <w:lang w:val="en-US" w:eastAsia="zh-CN"/>
        </w:rPr>
        <w:t>实体拥有的知识、战略以及文化等方面的资源。</w:t>
      </w:r>
    </w:p>
    <w:p>
      <w:pPr>
        <w:pStyle w:val="181"/>
        <w:numPr>
          <w:ilvl w:val="0"/>
          <w:numId w:val="34"/>
        </w:numPr>
        <w:bidi w:val="0"/>
        <w:ind w:left="811" w:leftChars="0" w:hanging="448" w:firstLineChars="0"/>
        <w:rPr>
          <w:rFonts w:hint="eastAsia"/>
          <w:lang w:val="en-US" w:eastAsia="zh-CN"/>
        </w:rPr>
      </w:pPr>
      <w:r>
        <w:rPr>
          <w:rFonts w:hint="eastAsia"/>
          <w:lang w:val="en-US" w:eastAsia="zh-CN"/>
        </w:rPr>
        <w:t>不具有实物形态但可辨识。</w:t>
      </w:r>
    </w:p>
    <w:p>
      <w:pPr>
        <w:pStyle w:val="181"/>
        <w:numPr>
          <w:ilvl w:val="0"/>
          <w:numId w:val="34"/>
        </w:numPr>
        <w:bidi w:val="0"/>
        <w:ind w:left="811" w:leftChars="0" w:hanging="448" w:firstLineChars="0"/>
        <w:rPr>
          <w:rFonts w:hint="eastAsia"/>
          <w:lang w:val="en-US" w:eastAsia="zh-CN"/>
        </w:rPr>
      </w:pPr>
      <w:r>
        <w:rPr>
          <w:rFonts w:hint="eastAsia"/>
          <w:lang w:val="en-US" w:eastAsia="zh-CN"/>
        </w:rPr>
        <w:t>反映品牌的定位、形象、独特性以及影响力等。</w:t>
      </w:r>
    </w:p>
    <w:p>
      <w:pPr>
        <w:pStyle w:val="57"/>
        <w:bidi w:val="0"/>
        <w:rPr>
          <w:rFonts w:hint="eastAsia"/>
          <w:lang w:val="en-US" w:eastAsia="zh-CN"/>
        </w:rPr>
      </w:pPr>
      <w:r>
        <w:rPr>
          <w:rFonts w:hint="eastAsia"/>
          <w:lang w:val="en-US" w:eastAsia="zh-CN"/>
        </w:rPr>
        <w:t>[来源：GB/T 29185—2021，4.9]</w:t>
      </w:r>
    </w:p>
    <w:p>
      <w:pPr>
        <w:pStyle w:val="105"/>
        <w:bidi w:val="0"/>
        <w:rPr>
          <w:rFonts w:hint="default"/>
          <w:lang w:val="en-US" w:eastAsia="zh-CN"/>
        </w:rPr>
      </w:pPr>
      <w:bookmarkStart w:id="54" w:name="_Toc6878"/>
      <w:r>
        <w:rPr>
          <w:rFonts w:hint="eastAsia"/>
          <w:lang w:val="en-US" w:eastAsia="zh-CN"/>
        </w:rPr>
        <w:t>组织要求</w:t>
      </w:r>
      <w:bookmarkEnd w:id="54"/>
    </w:p>
    <w:p>
      <w:pPr>
        <w:pStyle w:val="106"/>
        <w:bidi w:val="0"/>
        <w:rPr>
          <w:rFonts w:hint="default" w:ascii="黑体" w:hAnsi="黑体" w:eastAsia="黑体" w:cs="Times New Roman"/>
          <w:sz w:val="21"/>
          <w:szCs w:val="21"/>
          <w:lang w:val="en-US" w:eastAsia="zh-CN" w:bidi="ar-SA"/>
        </w:rPr>
      </w:pPr>
      <w:bookmarkStart w:id="55" w:name="_Toc12399"/>
      <w:r>
        <w:rPr>
          <w:rFonts w:hint="default" w:ascii="黑体" w:hAnsi="黑体" w:eastAsia="黑体" w:cs="Times New Roman"/>
          <w:sz w:val="21"/>
          <w:szCs w:val="21"/>
          <w:lang w:val="en-US" w:eastAsia="zh-CN" w:bidi="ar-SA"/>
        </w:rPr>
        <w:t>组织</w:t>
      </w:r>
      <w:bookmarkEnd w:id="55"/>
    </w:p>
    <w:p>
      <w:pPr>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hAnsi="Times New Roman" w:cs="Times New Roman"/>
          <w:sz w:val="21"/>
          <w:lang w:val="en-US" w:eastAsia="zh-CN" w:bidi="ar-SA"/>
        </w:rPr>
        <w:t>机构</w:t>
      </w:r>
      <w:r>
        <w:rPr>
          <w:rFonts w:hint="default" w:ascii="宋体" w:hAnsi="Times New Roman" w:eastAsia="宋体" w:cs="Times New Roman"/>
          <w:sz w:val="21"/>
          <w:lang w:val="en-US" w:eastAsia="zh-CN" w:bidi="ar-SA"/>
        </w:rPr>
        <w:t>需确定品牌培育的组织机构</w:t>
      </w:r>
      <w:r>
        <w:rPr>
          <w:rFonts w:hint="eastAsia" w:ascii="宋体" w:hAnsi="Times New Roman" w:cs="Times New Roman"/>
          <w:sz w:val="21"/>
          <w:lang w:val="en-US" w:eastAsia="zh-CN" w:bidi="ar-SA"/>
        </w:rPr>
        <w:t>，</w:t>
      </w:r>
      <w:r>
        <w:rPr>
          <w:rFonts w:hint="default" w:ascii="宋体" w:hAnsi="Times New Roman" w:eastAsia="宋体" w:cs="Times New Roman"/>
          <w:sz w:val="21"/>
          <w:lang w:val="en-US" w:eastAsia="zh-CN" w:bidi="ar-SA"/>
        </w:rPr>
        <w:t>明确其职责和权限。具体包括但不限于以下方面</w:t>
      </w:r>
      <w:r>
        <w:rPr>
          <w:rFonts w:hint="eastAsia" w:ascii="宋体" w:hAnsi="Times New Roman" w:eastAsia="宋体" w:cs="Times New Roman"/>
          <w:sz w:val="21"/>
          <w:lang w:val="en-US" w:eastAsia="zh-CN" w:bidi="ar-SA"/>
        </w:rPr>
        <w:t>：</w:t>
      </w:r>
    </w:p>
    <w:p>
      <w:pPr>
        <w:numPr>
          <w:ilvl w:val="0"/>
          <w:numId w:val="35"/>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default" w:ascii="Times New Roman" w:hAnsi="Times New Roman" w:cs="Times New Roman"/>
          <w:szCs w:val="24"/>
          <w:lang w:val="en-US" w:eastAsia="zh-CN"/>
        </w:rPr>
        <w:t>最高</w:t>
      </w:r>
      <w:r>
        <w:rPr>
          <w:rFonts w:hint="default" w:ascii="宋体" w:hAnsi="宋体" w:eastAsia="宋体" w:cs="宋体"/>
          <w:sz w:val="21"/>
          <w:szCs w:val="24"/>
          <w:lang w:val="en-US" w:eastAsia="zh-CN" w:bidi="ar-SA"/>
        </w:rPr>
        <w:t>管理者及其领导作用和承诺</w:t>
      </w:r>
      <w:r>
        <w:rPr>
          <w:rFonts w:hint="eastAsia" w:ascii="宋体" w:hAnsi="宋体" w:eastAsia="宋体" w:cs="宋体"/>
          <w:sz w:val="21"/>
          <w:szCs w:val="24"/>
          <w:lang w:val="en-US" w:eastAsia="zh-CN" w:bidi="ar-SA"/>
        </w:rPr>
        <w:t>；</w:t>
      </w:r>
    </w:p>
    <w:p>
      <w:pPr>
        <w:numPr>
          <w:ilvl w:val="0"/>
          <w:numId w:val="35"/>
        </w:numPr>
        <w:tabs>
          <w:tab w:val="left" w:pos="840"/>
        </w:tabs>
        <w:bidi w:val="0"/>
        <w:adjustRightInd/>
        <w:spacing w:line="240" w:lineRule="auto"/>
        <w:ind w:left="839" w:leftChars="0" w:hanging="419" w:firstLineChars="0"/>
        <w:jc w:val="both"/>
        <w:rPr>
          <w:rFonts w:hint="default" w:ascii="宋体" w:hAnsi="宋体" w:eastAsia="宋体" w:cs="宋体"/>
          <w:sz w:val="21"/>
          <w:szCs w:val="24"/>
          <w:lang w:val="en-US" w:eastAsia="zh-CN" w:bidi="ar-SA"/>
        </w:rPr>
      </w:pPr>
      <w:r>
        <w:rPr>
          <w:rFonts w:hint="default" w:ascii="宋体" w:hAnsi="宋体" w:eastAsia="宋体" w:cs="宋体"/>
          <w:sz w:val="21"/>
          <w:szCs w:val="24"/>
          <w:lang w:val="en-US" w:eastAsia="zh-CN" w:bidi="ar-SA"/>
        </w:rPr>
        <w:t>品牌培育负责人及其职责和权限</w:t>
      </w:r>
      <w:r>
        <w:rPr>
          <w:rFonts w:hint="eastAsia" w:ascii="宋体" w:hAnsi="宋体" w:eastAsia="宋体" w:cs="宋体"/>
          <w:sz w:val="21"/>
          <w:szCs w:val="24"/>
          <w:lang w:val="en-US" w:eastAsia="zh-CN" w:bidi="ar-SA"/>
        </w:rPr>
        <w:t>；</w:t>
      </w:r>
    </w:p>
    <w:p>
      <w:pPr>
        <w:numPr>
          <w:ilvl w:val="0"/>
          <w:numId w:val="35"/>
        </w:numPr>
        <w:tabs>
          <w:tab w:val="left" w:pos="840"/>
        </w:tabs>
        <w:bidi w:val="0"/>
        <w:adjustRightInd/>
        <w:spacing w:line="240" w:lineRule="auto"/>
        <w:ind w:left="839" w:leftChars="0" w:hanging="419" w:firstLineChars="0"/>
        <w:jc w:val="both"/>
        <w:rPr>
          <w:rFonts w:hint="default" w:ascii="Times New Roman" w:hAnsi="Times New Roman" w:cs="Times New Roman"/>
          <w:szCs w:val="24"/>
          <w:lang w:val="en-US" w:eastAsia="zh-CN"/>
        </w:rPr>
      </w:pPr>
      <w:r>
        <w:rPr>
          <w:rFonts w:hint="default" w:ascii="宋体" w:hAnsi="宋体" w:eastAsia="宋体" w:cs="宋体"/>
          <w:sz w:val="21"/>
          <w:szCs w:val="24"/>
          <w:lang w:val="en-US" w:eastAsia="zh-CN" w:bidi="ar-SA"/>
        </w:rPr>
        <w:t>各</w:t>
      </w:r>
      <w:r>
        <w:rPr>
          <w:rFonts w:hint="default" w:ascii="Times New Roman" w:hAnsi="Times New Roman" w:cs="Times New Roman"/>
          <w:szCs w:val="24"/>
          <w:lang w:val="en-US" w:eastAsia="zh-CN"/>
        </w:rPr>
        <w:t>相关部门及其品牌培育职责、权限及相互关系。</w:t>
      </w:r>
    </w:p>
    <w:p>
      <w:pPr>
        <w:pStyle w:val="106"/>
        <w:bidi w:val="0"/>
        <w:rPr>
          <w:rFonts w:hint="default" w:ascii="黑体" w:hAnsi="黑体" w:eastAsia="黑体" w:cs="Times New Roman"/>
          <w:sz w:val="21"/>
          <w:szCs w:val="21"/>
          <w:lang w:val="en-US" w:eastAsia="zh-CN" w:bidi="ar-SA"/>
        </w:rPr>
      </w:pPr>
      <w:bookmarkStart w:id="56" w:name="_Toc22207"/>
      <w:r>
        <w:rPr>
          <w:rFonts w:hint="default" w:ascii="黑体" w:hAnsi="黑体" w:eastAsia="黑体" w:cs="Times New Roman"/>
          <w:sz w:val="21"/>
          <w:szCs w:val="21"/>
          <w:lang w:val="en-US" w:eastAsia="zh-CN" w:bidi="ar-SA"/>
        </w:rPr>
        <w:t>资源</w:t>
      </w:r>
      <w:bookmarkEnd w:id="56"/>
    </w:p>
    <w:p>
      <w:pPr>
        <w:autoSpaceDE w:val="0"/>
        <w:autoSpaceDN w:val="0"/>
        <w:ind w:firstLine="420" w:firstLineChars="200"/>
        <w:jc w:val="both"/>
        <w:rPr>
          <w:rFonts w:hint="default" w:ascii="宋体" w:hAnsi="Times New Roman" w:eastAsia="宋体" w:cs="Times New Roman"/>
          <w:sz w:val="21"/>
          <w:lang w:val="en-US" w:eastAsia="zh-CN" w:bidi="ar-SA"/>
        </w:rPr>
      </w:pPr>
      <w:r>
        <w:rPr>
          <w:rFonts w:hint="eastAsia" w:ascii="宋体" w:hAnsi="Times New Roman" w:cs="Times New Roman"/>
          <w:sz w:val="21"/>
          <w:lang w:val="en-US" w:eastAsia="zh-CN" w:bidi="ar-SA"/>
        </w:rPr>
        <w:t>机构</w:t>
      </w:r>
      <w:r>
        <w:rPr>
          <w:rFonts w:hint="default" w:ascii="宋体" w:hAnsi="Times New Roman" w:eastAsia="宋体" w:cs="Times New Roman"/>
          <w:sz w:val="21"/>
          <w:lang w:val="en-US" w:eastAsia="zh-CN" w:bidi="ar-SA"/>
        </w:rPr>
        <w:t>识别、配置和管理开展品牌培育所需的资源</w:t>
      </w:r>
      <w:r>
        <w:rPr>
          <w:rFonts w:hint="eastAsia" w:ascii="宋体" w:hAnsi="Times New Roman" w:cs="Times New Roman"/>
          <w:sz w:val="21"/>
          <w:lang w:val="en-US" w:eastAsia="zh-CN" w:bidi="ar-SA"/>
        </w:rPr>
        <w:t>，</w:t>
      </w:r>
      <w:r>
        <w:rPr>
          <w:rFonts w:hint="default" w:ascii="宋体" w:hAnsi="Times New Roman" w:eastAsia="宋体" w:cs="Times New Roman"/>
          <w:sz w:val="21"/>
          <w:lang w:val="en-US" w:eastAsia="zh-CN" w:bidi="ar-SA"/>
        </w:rPr>
        <w:t>包括但不限于以下方面</w:t>
      </w:r>
      <w:r>
        <w:rPr>
          <w:rFonts w:hint="eastAsia" w:ascii="宋体" w:hAnsi="Times New Roman" w:eastAsia="宋体" w:cs="Times New Roman"/>
          <w:sz w:val="21"/>
          <w:lang w:val="en-US" w:eastAsia="zh-CN" w:bidi="ar-SA"/>
        </w:rPr>
        <w:t>：</w:t>
      </w:r>
    </w:p>
    <w:p>
      <w:pPr>
        <w:numPr>
          <w:ilvl w:val="0"/>
          <w:numId w:val="36"/>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default" w:ascii="Times New Roman" w:hAnsi="Times New Roman" w:cs="Times New Roman"/>
          <w:szCs w:val="24"/>
          <w:lang w:val="en-US" w:eastAsia="zh-CN"/>
        </w:rPr>
        <w:t>人力</w:t>
      </w:r>
      <w:r>
        <w:rPr>
          <w:rFonts w:hint="default" w:ascii="宋体" w:hAnsi="宋体" w:eastAsia="宋体" w:cs="宋体"/>
          <w:sz w:val="21"/>
          <w:szCs w:val="24"/>
          <w:lang w:val="en-US" w:eastAsia="zh-CN" w:bidi="ar-SA"/>
        </w:rPr>
        <w:t>资源</w:t>
      </w:r>
      <w:r>
        <w:rPr>
          <w:rFonts w:hint="eastAsia" w:ascii="宋体" w:hAnsi="宋体" w:eastAsia="宋体" w:cs="宋体"/>
          <w:sz w:val="21"/>
          <w:szCs w:val="24"/>
          <w:lang w:val="en-US" w:eastAsia="zh-CN" w:bidi="ar-SA"/>
        </w:rPr>
        <w:t>；</w:t>
      </w:r>
    </w:p>
    <w:p>
      <w:pPr>
        <w:numPr>
          <w:ilvl w:val="0"/>
          <w:numId w:val="36"/>
        </w:numPr>
        <w:tabs>
          <w:tab w:val="left" w:pos="840"/>
        </w:tabs>
        <w:bidi w:val="0"/>
        <w:adjustRightInd/>
        <w:spacing w:line="240" w:lineRule="auto"/>
        <w:ind w:left="839" w:leftChars="0" w:hanging="419" w:firstLineChars="0"/>
        <w:jc w:val="both"/>
        <w:rPr>
          <w:rFonts w:hint="default" w:ascii="宋体" w:hAnsi="宋体" w:eastAsia="宋体" w:cs="宋体"/>
          <w:sz w:val="21"/>
          <w:szCs w:val="24"/>
          <w:lang w:val="en-US" w:eastAsia="zh-CN" w:bidi="ar-SA"/>
        </w:rPr>
      </w:pPr>
      <w:r>
        <w:rPr>
          <w:rFonts w:hint="default" w:ascii="宋体" w:hAnsi="宋体" w:eastAsia="宋体" w:cs="宋体"/>
          <w:sz w:val="21"/>
          <w:szCs w:val="24"/>
          <w:lang w:val="en-US" w:eastAsia="zh-CN" w:bidi="ar-SA"/>
        </w:rPr>
        <w:t>财务资源</w:t>
      </w:r>
      <w:r>
        <w:rPr>
          <w:rFonts w:hint="eastAsia" w:ascii="宋体" w:hAnsi="宋体" w:eastAsia="宋体" w:cs="宋体"/>
          <w:sz w:val="21"/>
          <w:szCs w:val="24"/>
          <w:lang w:val="en-US" w:eastAsia="zh-CN" w:bidi="ar-SA"/>
        </w:rPr>
        <w:t>；</w:t>
      </w:r>
    </w:p>
    <w:p>
      <w:pPr>
        <w:numPr>
          <w:ilvl w:val="0"/>
          <w:numId w:val="36"/>
        </w:numPr>
        <w:tabs>
          <w:tab w:val="left" w:pos="840"/>
        </w:tabs>
        <w:bidi w:val="0"/>
        <w:adjustRightInd/>
        <w:spacing w:line="240" w:lineRule="auto"/>
        <w:ind w:left="839" w:leftChars="0" w:hanging="419" w:firstLineChars="0"/>
        <w:jc w:val="both"/>
        <w:rPr>
          <w:rFonts w:hint="default" w:ascii="宋体" w:hAnsi="宋体" w:eastAsia="宋体" w:cs="宋体"/>
          <w:sz w:val="21"/>
          <w:szCs w:val="24"/>
          <w:lang w:val="en-US" w:eastAsia="zh-CN" w:bidi="ar-SA"/>
        </w:rPr>
      </w:pPr>
      <w:r>
        <w:rPr>
          <w:rFonts w:hint="default" w:ascii="宋体" w:hAnsi="宋体" w:eastAsia="宋体" w:cs="宋体"/>
          <w:sz w:val="21"/>
          <w:szCs w:val="24"/>
          <w:lang w:val="en-US" w:eastAsia="zh-CN" w:bidi="ar-SA"/>
        </w:rPr>
        <w:t>合作伙伴</w:t>
      </w:r>
      <w:r>
        <w:rPr>
          <w:rFonts w:hint="eastAsia" w:ascii="宋体" w:hAnsi="宋体" w:eastAsia="宋体" w:cs="宋体"/>
          <w:sz w:val="21"/>
          <w:szCs w:val="24"/>
          <w:lang w:val="en-US" w:eastAsia="zh-CN" w:bidi="ar-SA"/>
        </w:rPr>
        <w:t>；</w:t>
      </w:r>
    </w:p>
    <w:p>
      <w:pPr>
        <w:numPr>
          <w:ilvl w:val="0"/>
          <w:numId w:val="36"/>
        </w:numPr>
        <w:tabs>
          <w:tab w:val="left" w:pos="840"/>
        </w:tabs>
        <w:bidi w:val="0"/>
        <w:adjustRightInd/>
        <w:spacing w:line="240" w:lineRule="auto"/>
        <w:ind w:left="839" w:leftChars="0" w:hanging="419" w:firstLineChars="0"/>
        <w:jc w:val="both"/>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物资</w:t>
      </w:r>
      <w:r>
        <w:rPr>
          <w:rFonts w:hint="default" w:ascii="宋体" w:hAnsi="宋体" w:eastAsia="宋体" w:cs="宋体"/>
          <w:sz w:val="21"/>
          <w:szCs w:val="24"/>
          <w:lang w:val="en-US" w:eastAsia="zh-CN" w:bidi="ar-SA"/>
        </w:rPr>
        <w:t>资源</w:t>
      </w:r>
      <w:r>
        <w:rPr>
          <w:rFonts w:hint="eastAsia" w:ascii="宋体" w:hAnsi="宋体" w:eastAsia="宋体" w:cs="宋体"/>
          <w:sz w:val="21"/>
          <w:szCs w:val="24"/>
          <w:lang w:val="en-US" w:eastAsia="zh-CN" w:bidi="ar-SA"/>
        </w:rPr>
        <w:t>；</w:t>
      </w:r>
    </w:p>
    <w:p>
      <w:pPr>
        <w:numPr>
          <w:ilvl w:val="0"/>
          <w:numId w:val="36"/>
        </w:numPr>
        <w:tabs>
          <w:tab w:val="left" w:pos="840"/>
        </w:tabs>
        <w:bidi w:val="0"/>
        <w:adjustRightInd/>
        <w:spacing w:line="240" w:lineRule="auto"/>
        <w:ind w:left="839" w:leftChars="0" w:hanging="419" w:firstLineChars="0"/>
        <w:jc w:val="both"/>
        <w:rPr>
          <w:rFonts w:hint="default" w:ascii="Times New Roman" w:hAnsi="Times New Roman" w:cs="Times New Roman"/>
          <w:szCs w:val="24"/>
          <w:lang w:val="en-US" w:eastAsia="zh-CN"/>
        </w:rPr>
      </w:pPr>
      <w:r>
        <w:rPr>
          <w:rFonts w:hint="default" w:ascii="宋体" w:hAnsi="宋体" w:eastAsia="宋体" w:cs="宋体"/>
          <w:sz w:val="21"/>
          <w:szCs w:val="24"/>
          <w:lang w:val="en-US" w:eastAsia="zh-CN" w:bidi="ar-SA"/>
        </w:rPr>
        <w:t>知识</w:t>
      </w:r>
      <w:r>
        <w:rPr>
          <w:rFonts w:hint="default" w:ascii="Times New Roman" w:hAnsi="Times New Roman" w:cs="Times New Roman"/>
          <w:szCs w:val="24"/>
          <w:lang w:val="en-US" w:eastAsia="zh-CN"/>
        </w:rPr>
        <w:t>、信息和技术。</w:t>
      </w:r>
    </w:p>
    <w:p>
      <w:pPr>
        <w:pStyle w:val="106"/>
        <w:bidi w:val="0"/>
        <w:rPr>
          <w:rFonts w:hint="eastAsia" w:ascii="黑体" w:hAnsi="黑体" w:eastAsia="黑体" w:cs="Times New Roman"/>
          <w:sz w:val="21"/>
          <w:szCs w:val="21"/>
          <w:lang w:val="en-US" w:eastAsia="zh-CN" w:bidi="ar-SA"/>
        </w:rPr>
      </w:pPr>
      <w:bookmarkStart w:id="57" w:name="_Toc26741"/>
      <w:r>
        <w:rPr>
          <w:rFonts w:hint="eastAsia" w:ascii="黑体" w:hAnsi="黑体" w:eastAsia="黑体" w:cs="Times New Roman"/>
          <w:sz w:val="21"/>
          <w:szCs w:val="21"/>
          <w:lang w:val="en-US" w:eastAsia="zh-CN" w:bidi="ar-SA"/>
        </w:rPr>
        <w:t>品牌培育原则</w:t>
      </w:r>
      <w:bookmarkEnd w:id="57"/>
    </w:p>
    <w:p>
      <w:pPr>
        <w:pStyle w:val="66"/>
        <w:bidi w:val="0"/>
        <w:rPr>
          <w:rFonts w:hint="eastAsia"/>
          <w:lang w:val="en-US" w:eastAsia="zh-CN"/>
        </w:rPr>
      </w:pPr>
      <w:bookmarkStart w:id="58" w:name="_Toc14412"/>
      <w:r>
        <w:rPr>
          <w:rFonts w:hint="eastAsia"/>
          <w:lang w:val="en-US" w:eastAsia="zh-CN"/>
        </w:rPr>
        <w:t>诚信守法</w:t>
      </w:r>
      <w:bookmarkEnd w:id="58"/>
    </w:p>
    <w:p>
      <w:pPr>
        <w:pStyle w:val="57"/>
        <w:bidi w:val="0"/>
        <w:rPr>
          <w:rFonts w:hint="eastAsia"/>
          <w:lang w:val="en-US" w:eastAsia="zh-CN"/>
        </w:rPr>
      </w:pPr>
      <w:r>
        <w:rPr>
          <w:rFonts w:hint="eastAsia"/>
          <w:lang w:val="en-US" w:eastAsia="zh-CN"/>
        </w:rPr>
        <w:t>机构应坚持诚信经营，遵守国家法律法规和行业规范，杜绝虚假报告、数据造假等行为。</w:t>
      </w:r>
    </w:p>
    <w:p>
      <w:pPr>
        <w:pStyle w:val="66"/>
        <w:bidi w:val="0"/>
        <w:rPr>
          <w:rFonts w:hint="eastAsia" w:ascii="黑体" w:hAnsi="黑体" w:eastAsia="黑体" w:cs="黑体"/>
          <w:sz w:val="21"/>
          <w:szCs w:val="21"/>
          <w:lang w:val="en-US" w:eastAsia="zh-CN" w:bidi="ar-SA"/>
        </w:rPr>
      </w:pPr>
      <w:bookmarkStart w:id="59" w:name="_Toc16657"/>
      <w:r>
        <w:rPr>
          <w:rFonts w:hint="eastAsia" w:ascii="黑体" w:hAnsi="黑体" w:eastAsia="黑体" w:cs="黑体"/>
          <w:sz w:val="21"/>
          <w:szCs w:val="21"/>
          <w:lang w:val="en-US" w:eastAsia="zh-CN" w:bidi="ar-SA"/>
        </w:rPr>
        <w:t>质量为本</w:t>
      </w:r>
      <w:bookmarkEnd w:id="59"/>
    </w:p>
    <w:p>
      <w:pPr>
        <w:pStyle w:val="57"/>
        <w:bidi w:val="0"/>
        <w:rPr>
          <w:rFonts w:hint="eastAsia"/>
          <w:lang w:val="en-US" w:eastAsia="zh-CN"/>
        </w:rPr>
      </w:pPr>
      <w:r>
        <w:rPr>
          <w:rFonts w:hint="eastAsia"/>
          <w:lang w:val="en-US" w:eastAsia="zh-CN"/>
        </w:rPr>
        <w:t>机构应建立健全质量管理体系，确保检验检测结果的准确、可靠、公正。</w:t>
      </w:r>
    </w:p>
    <w:p>
      <w:pPr>
        <w:pStyle w:val="66"/>
        <w:bidi w:val="0"/>
        <w:rPr>
          <w:rFonts w:hint="eastAsia" w:ascii="黑体" w:hAnsi="黑体" w:eastAsia="黑体" w:cs="黑体"/>
          <w:sz w:val="21"/>
          <w:szCs w:val="21"/>
          <w:lang w:val="en-US" w:eastAsia="zh-CN" w:bidi="ar-SA"/>
        </w:rPr>
      </w:pPr>
      <w:bookmarkStart w:id="60" w:name="_Toc26714"/>
      <w:r>
        <w:rPr>
          <w:rFonts w:hint="eastAsia" w:ascii="黑体" w:hAnsi="黑体" w:eastAsia="黑体" w:cs="黑体"/>
          <w:sz w:val="21"/>
          <w:szCs w:val="21"/>
          <w:lang w:val="en-US" w:eastAsia="zh-CN" w:bidi="ar-SA"/>
        </w:rPr>
        <w:t>客户至上</w:t>
      </w:r>
      <w:bookmarkEnd w:id="60"/>
    </w:p>
    <w:p>
      <w:pPr>
        <w:pStyle w:val="57"/>
        <w:bidi w:val="0"/>
        <w:rPr>
          <w:rFonts w:hint="eastAsia" w:ascii="宋体" w:hAnsi="宋体" w:eastAsia="宋体" w:cs="宋体"/>
          <w:sz w:val="21"/>
          <w:lang w:val="en-US" w:eastAsia="zh-CN" w:bidi="ar-SA"/>
        </w:rPr>
      </w:pPr>
      <w:r>
        <w:rPr>
          <w:rFonts w:hint="eastAsia" w:hAnsi="宋体" w:cs="宋体"/>
          <w:sz w:val="21"/>
          <w:lang w:val="en-US" w:eastAsia="zh-CN" w:bidi="ar-SA"/>
        </w:rPr>
        <w:t>机构</w:t>
      </w:r>
      <w:r>
        <w:rPr>
          <w:rFonts w:hint="eastAsia" w:ascii="宋体" w:hAnsi="宋体" w:eastAsia="宋体" w:cs="宋体"/>
          <w:sz w:val="21"/>
          <w:lang w:val="en-US" w:eastAsia="zh-CN" w:bidi="ar-SA"/>
        </w:rPr>
        <w:t>应</w:t>
      </w:r>
      <w:r>
        <w:rPr>
          <w:rFonts w:hint="eastAsia" w:ascii="宋体" w:hAnsi="Times New Roman" w:eastAsia="宋体" w:cs="Times New Roman"/>
          <w:sz w:val="21"/>
          <w:lang w:val="en-US" w:eastAsia="zh-CN" w:bidi="ar-SA"/>
        </w:rPr>
        <w:t>坚</w:t>
      </w:r>
      <w:r>
        <w:rPr>
          <w:rFonts w:hint="eastAsia" w:ascii="宋体" w:hAnsi="宋体" w:eastAsia="宋体" w:cs="宋体"/>
          <w:sz w:val="21"/>
          <w:lang w:val="en-US" w:eastAsia="zh-CN" w:bidi="ar-SA"/>
        </w:rPr>
        <w:t>持以客户为中心，提供优质、高效、便捷的服务，不断提升客户满意度。</w:t>
      </w:r>
    </w:p>
    <w:p>
      <w:pPr>
        <w:pStyle w:val="66"/>
        <w:bidi w:val="0"/>
        <w:rPr>
          <w:rFonts w:hint="eastAsia" w:ascii="黑体" w:hAnsi="黑体" w:eastAsia="黑体" w:cs="黑体"/>
          <w:sz w:val="21"/>
          <w:szCs w:val="21"/>
          <w:lang w:val="en-US" w:eastAsia="zh-CN" w:bidi="ar-SA"/>
        </w:rPr>
      </w:pPr>
      <w:bookmarkStart w:id="61" w:name="_Toc28259"/>
      <w:r>
        <w:rPr>
          <w:rFonts w:hint="eastAsia" w:ascii="黑体" w:hAnsi="黑体" w:eastAsia="黑体" w:cs="黑体"/>
          <w:sz w:val="21"/>
          <w:szCs w:val="21"/>
          <w:lang w:val="en-US" w:eastAsia="zh-CN" w:bidi="ar-SA"/>
        </w:rPr>
        <w:t>创新发展</w:t>
      </w:r>
      <w:bookmarkEnd w:id="61"/>
    </w:p>
    <w:p>
      <w:pPr>
        <w:pStyle w:val="57"/>
        <w:bidi w:val="0"/>
        <w:rPr>
          <w:rFonts w:hint="eastAsia"/>
          <w:lang w:val="en-US" w:eastAsia="zh-CN"/>
        </w:rPr>
      </w:pPr>
      <w:r>
        <w:rPr>
          <w:rFonts w:hint="eastAsia"/>
          <w:lang w:val="en-US" w:eastAsia="zh-CN"/>
        </w:rPr>
        <w:t>机构应加强科技创新，提升检验检测技术水平，推动行业技术进步。</w:t>
      </w:r>
    </w:p>
    <w:p>
      <w:pPr>
        <w:pStyle w:val="66"/>
        <w:bidi w:val="0"/>
        <w:rPr>
          <w:rFonts w:hint="eastAsia" w:ascii="黑体" w:hAnsi="黑体" w:eastAsia="黑体" w:cs="黑体"/>
          <w:sz w:val="21"/>
          <w:szCs w:val="21"/>
          <w:lang w:val="en-US" w:eastAsia="zh-CN" w:bidi="ar-SA"/>
        </w:rPr>
      </w:pPr>
      <w:bookmarkStart w:id="62" w:name="_Toc26245"/>
      <w:r>
        <w:rPr>
          <w:rFonts w:hint="eastAsia" w:ascii="黑体" w:hAnsi="黑体" w:eastAsia="黑体" w:cs="黑体"/>
          <w:sz w:val="21"/>
          <w:szCs w:val="21"/>
          <w:lang w:val="en-US" w:eastAsia="zh-CN" w:bidi="ar-SA"/>
        </w:rPr>
        <w:t>社会责任</w:t>
      </w:r>
      <w:bookmarkEnd w:id="62"/>
    </w:p>
    <w:p>
      <w:pPr>
        <w:pStyle w:val="57"/>
        <w:bidi w:val="0"/>
        <w:rPr>
          <w:rFonts w:hint="eastAsia"/>
          <w:lang w:val="en-US" w:eastAsia="zh-CN"/>
        </w:rPr>
      </w:pPr>
      <w:r>
        <w:rPr>
          <w:rFonts w:hint="eastAsia"/>
          <w:lang w:val="en-US" w:eastAsia="zh-CN"/>
        </w:rPr>
        <w:t>机构应积极履行社会责任，参与社会公益事业，树立良好的社会形象。</w:t>
      </w:r>
    </w:p>
    <w:p>
      <w:pPr>
        <w:pStyle w:val="105"/>
        <w:bidi w:val="0"/>
        <w:rPr>
          <w:rFonts w:hint="eastAsia"/>
          <w:lang w:val="en-US" w:eastAsia="zh-CN"/>
        </w:rPr>
      </w:pPr>
      <w:bookmarkStart w:id="63" w:name="_Toc9630"/>
      <w:r>
        <w:rPr>
          <w:rFonts w:hint="eastAsia"/>
          <w:lang w:val="en-US" w:eastAsia="zh-CN"/>
        </w:rPr>
        <w:t>品牌培育的战略规划</w:t>
      </w:r>
      <w:bookmarkEnd w:id="63"/>
    </w:p>
    <w:p>
      <w:pPr>
        <w:pStyle w:val="106"/>
        <w:bidi w:val="0"/>
        <w:rPr>
          <w:rFonts w:hint="eastAsia"/>
          <w:lang w:val="en-US" w:eastAsia="zh-CN"/>
        </w:rPr>
      </w:pPr>
      <w:bookmarkStart w:id="64" w:name="_Toc24396"/>
      <w:r>
        <w:rPr>
          <w:rFonts w:hint="eastAsia"/>
          <w:lang w:val="en-US" w:eastAsia="zh-CN"/>
        </w:rPr>
        <w:t>总则</w:t>
      </w:r>
      <w:bookmarkEnd w:id="64"/>
    </w:p>
    <w:p>
      <w:pPr>
        <w:pStyle w:val="57"/>
        <w:bidi w:val="0"/>
        <w:rPr>
          <w:rFonts w:hint="eastAsia"/>
          <w:lang w:val="en-US" w:eastAsia="zh-CN"/>
        </w:rPr>
      </w:pPr>
      <w:r>
        <w:rPr>
          <w:rFonts w:hint="eastAsia"/>
          <w:lang w:val="en-US" w:eastAsia="zh-CN"/>
        </w:rPr>
        <w:t>机构通过适当的程序，制定品牌战略，确保品牌战略与机构战略协调一致。品牌战略通常包括以下内容:</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品牌愿景：</w:t>
      </w:r>
      <w:r>
        <w:rPr>
          <w:rFonts w:hint="eastAsia" w:ascii="宋体" w:hAnsi="宋体" w:cs="宋体"/>
          <w:sz w:val="21"/>
          <w:szCs w:val="24"/>
          <w:lang w:val="en-US" w:eastAsia="zh-CN" w:bidi="ar-SA"/>
        </w:rPr>
        <w:t>机构</w:t>
      </w:r>
      <w:r>
        <w:rPr>
          <w:rFonts w:hint="eastAsia" w:ascii="宋体" w:hAnsi="宋体" w:eastAsia="宋体" w:cs="宋体"/>
          <w:sz w:val="21"/>
          <w:szCs w:val="24"/>
          <w:lang w:val="en-US" w:eastAsia="zh-CN" w:bidi="ar-SA"/>
        </w:rPr>
        <w:t>长期发展的终极目标与理想蓝图，体现使命感与行业引领性；</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品牌培育目标：分阶段实现的量化或质化指标，支撑品牌愿景落地；</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品牌架构：如主品牌与子品牌的组合逻辑，明确品牌层级关系；</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品牌定位：在目标市场中确立差异化竞争地位；</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品牌核心价值：如公信力、创新力、责任意识等；</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品牌识别系统：品牌的外在表现与内在感知的综合体系；</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战略措施：明确实现品牌目标的具体行动方案；</w:t>
      </w:r>
    </w:p>
    <w:p>
      <w:pPr>
        <w:numPr>
          <w:ilvl w:val="0"/>
          <w:numId w:val="37"/>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资源保障：明确支撑品牌战略落地的资源投入与保障机制。</w:t>
      </w:r>
    </w:p>
    <w:p>
      <w:pPr>
        <w:pStyle w:val="106"/>
        <w:bidi w:val="0"/>
        <w:rPr>
          <w:rFonts w:hint="eastAsia" w:ascii="黑体" w:hAnsi="黑体" w:eastAsia="黑体" w:cs="Times New Roman"/>
          <w:sz w:val="21"/>
          <w:szCs w:val="21"/>
          <w:lang w:val="en-US" w:eastAsia="zh-CN" w:bidi="ar-SA"/>
        </w:rPr>
      </w:pPr>
      <w:bookmarkStart w:id="65" w:name="_Toc17666"/>
      <w:r>
        <w:rPr>
          <w:rFonts w:hint="eastAsia" w:ascii="黑体" w:hAnsi="黑体" w:eastAsia="黑体" w:cs="Times New Roman"/>
          <w:sz w:val="21"/>
          <w:szCs w:val="21"/>
          <w:lang w:val="en-US" w:eastAsia="zh-CN" w:bidi="ar-SA"/>
        </w:rPr>
        <w:t>品牌架构和品牌定位</w:t>
      </w:r>
      <w:bookmarkEnd w:id="65"/>
    </w:p>
    <w:p>
      <w:pPr>
        <w:pStyle w:val="166"/>
        <w:bidi w:val="0"/>
        <w:rPr>
          <w:rFonts w:hint="eastAsia"/>
          <w:lang w:val="en-US" w:eastAsia="zh-CN"/>
        </w:rPr>
      </w:pPr>
      <w:r>
        <w:rPr>
          <w:rFonts w:hint="eastAsia" w:hAnsi="宋体" w:cs="宋体"/>
          <w:szCs w:val="21"/>
          <w:lang w:val="en-US" w:eastAsia="zh-CN" w:bidi="ar-SA"/>
        </w:rPr>
        <w:t>机构</w:t>
      </w:r>
      <w:r>
        <w:rPr>
          <w:rFonts w:hint="eastAsia"/>
          <w:lang w:val="en-US" w:eastAsia="zh-CN"/>
        </w:rPr>
        <w:t>通过策划合理的品牌架构，确定机构品牌、服务品牌的角色、作用及相互关系，满足客户及其他相关方的差异化需求。</w:t>
      </w:r>
    </w:p>
    <w:p>
      <w:pPr>
        <w:pStyle w:val="166"/>
        <w:bidi w:val="0"/>
        <w:rPr>
          <w:rFonts w:hint="eastAsia" w:ascii="宋体" w:hAnsi="宋体" w:eastAsia="宋体" w:cs="宋体"/>
          <w:szCs w:val="21"/>
          <w:lang w:val="en-US" w:eastAsia="zh-CN" w:bidi="ar-SA"/>
        </w:rPr>
      </w:pPr>
      <w:r>
        <w:rPr>
          <w:rFonts w:hint="eastAsia"/>
          <w:lang w:val="en-US" w:eastAsia="zh-CN"/>
        </w:rPr>
        <w:t>机构通过对每个品牌进行定位，设计品牌的价值和形象，使其在客户及其他相关方意识中形成独特的印象和联想。品牌定位以便于客户及其他相关方理解的形式表述，并根据内外部环境变化以及机构</w:t>
      </w:r>
      <w:r>
        <w:rPr>
          <w:rFonts w:hint="eastAsia" w:ascii="宋体" w:hAnsi="宋体" w:eastAsia="宋体" w:cs="宋体"/>
          <w:szCs w:val="21"/>
          <w:lang w:val="en-US" w:eastAsia="zh-CN" w:bidi="ar-SA"/>
        </w:rPr>
        <w:t>自身需要适时进行调整。</w:t>
      </w:r>
    </w:p>
    <w:p>
      <w:pPr>
        <w:pStyle w:val="106"/>
        <w:bidi w:val="0"/>
        <w:rPr>
          <w:rFonts w:hint="default" w:ascii="黑体" w:hAnsi="黑体" w:eastAsia="黑体" w:cs="Times New Roman"/>
          <w:sz w:val="21"/>
          <w:szCs w:val="21"/>
          <w:lang w:val="en-US" w:eastAsia="zh-CN" w:bidi="ar-SA"/>
        </w:rPr>
      </w:pPr>
      <w:bookmarkStart w:id="66" w:name="_Toc13451"/>
      <w:r>
        <w:rPr>
          <w:rFonts w:hint="default" w:ascii="黑体" w:hAnsi="黑体" w:eastAsia="黑体" w:cs="Times New Roman"/>
          <w:sz w:val="21"/>
          <w:szCs w:val="21"/>
          <w:lang w:val="en-US" w:eastAsia="zh-CN" w:bidi="ar-SA"/>
        </w:rPr>
        <w:t>品牌</w:t>
      </w:r>
      <w:r>
        <w:rPr>
          <w:rFonts w:hint="default" w:hAnsi="Times New Roman" w:cs="Times New Roman"/>
          <w:lang w:val="en-US" w:eastAsia="zh-CN"/>
        </w:rPr>
        <w:t>核心</w:t>
      </w:r>
      <w:r>
        <w:rPr>
          <w:rFonts w:hint="default" w:ascii="黑体" w:hAnsi="黑体" w:eastAsia="黑体" w:cs="Times New Roman"/>
          <w:sz w:val="21"/>
          <w:szCs w:val="21"/>
          <w:lang w:val="en-US" w:eastAsia="zh-CN" w:bidi="ar-SA"/>
        </w:rPr>
        <w:t>价值</w:t>
      </w:r>
      <w:bookmarkEnd w:id="66"/>
    </w:p>
    <w:p>
      <w:pPr>
        <w:pStyle w:val="166"/>
        <w:bidi w:val="0"/>
        <w:rPr>
          <w:rFonts w:hint="default"/>
          <w:lang w:val="en-US" w:eastAsia="zh-CN"/>
        </w:rPr>
      </w:pPr>
      <w:r>
        <w:rPr>
          <w:rFonts w:hint="eastAsia" w:hAnsi="宋体" w:cs="宋体"/>
          <w:szCs w:val="21"/>
          <w:lang w:val="en-US" w:eastAsia="zh-CN" w:bidi="ar-SA"/>
        </w:rPr>
        <w:t>机构</w:t>
      </w:r>
      <w:r>
        <w:rPr>
          <w:rFonts w:hint="default"/>
          <w:lang w:val="en-US" w:eastAsia="zh-CN"/>
        </w:rPr>
        <w:t>识别并</w:t>
      </w:r>
      <w:r>
        <w:rPr>
          <w:rFonts w:hint="eastAsia"/>
          <w:lang w:val="en-US" w:eastAsia="zh-CN"/>
        </w:rPr>
        <w:t>清晰</w:t>
      </w:r>
      <w:r>
        <w:rPr>
          <w:rFonts w:hint="default"/>
          <w:lang w:val="en-US" w:eastAsia="zh-CN"/>
        </w:rPr>
        <w:t>地表达对</w:t>
      </w:r>
      <w:r>
        <w:rPr>
          <w:rFonts w:hint="eastAsia"/>
          <w:lang w:val="en-US" w:eastAsia="zh-CN"/>
        </w:rPr>
        <w:t>客户</w:t>
      </w:r>
      <w:r>
        <w:rPr>
          <w:rFonts w:hint="default"/>
          <w:lang w:val="en-US" w:eastAsia="zh-CN"/>
        </w:rPr>
        <w:t>及其他相关方重要而独特的</w:t>
      </w:r>
      <w:r>
        <w:rPr>
          <w:rFonts w:hint="eastAsia"/>
          <w:lang w:val="en-US" w:eastAsia="zh-CN"/>
        </w:rPr>
        <w:t>价值</w:t>
      </w:r>
      <w:r>
        <w:rPr>
          <w:rFonts w:hint="default"/>
          <w:lang w:val="en-US" w:eastAsia="zh-CN"/>
        </w:rPr>
        <w:t>内容</w:t>
      </w:r>
      <w:r>
        <w:rPr>
          <w:rFonts w:hint="eastAsia"/>
          <w:lang w:val="en-US" w:eastAsia="zh-CN"/>
        </w:rPr>
        <w:t>，以独立、客观、公正、科学等</w:t>
      </w:r>
      <w:r>
        <w:rPr>
          <w:rFonts w:hint="default"/>
          <w:lang w:val="en-US" w:eastAsia="zh-CN"/>
        </w:rPr>
        <w:t>作为品牌的核心价值。</w:t>
      </w:r>
    </w:p>
    <w:p>
      <w:pPr>
        <w:pStyle w:val="166"/>
        <w:bidi w:val="0"/>
        <w:rPr>
          <w:rFonts w:hint="default" w:ascii="宋体" w:hAnsi="宋体" w:eastAsia="宋体" w:cs="宋体"/>
          <w:szCs w:val="21"/>
          <w:lang w:val="en-US" w:eastAsia="zh-CN" w:bidi="ar-SA"/>
        </w:rPr>
      </w:pPr>
      <w:r>
        <w:rPr>
          <w:rFonts w:hint="eastAsia"/>
          <w:lang w:val="en-US" w:eastAsia="zh-CN"/>
        </w:rPr>
        <w:t>机构</w:t>
      </w:r>
      <w:r>
        <w:rPr>
          <w:rFonts w:hint="default"/>
          <w:lang w:val="en-US" w:eastAsia="zh-CN"/>
        </w:rPr>
        <w:t>宜做</w:t>
      </w:r>
      <w:r>
        <w:rPr>
          <w:rFonts w:hint="default" w:ascii="宋体" w:hAnsi="宋体" w:eastAsia="宋体" w:cs="宋体"/>
          <w:szCs w:val="21"/>
          <w:lang w:val="en-US" w:eastAsia="zh-CN" w:bidi="ar-SA"/>
        </w:rPr>
        <w:t>出与品牌核心价值相关的承诺并确保持续履行承诺</w:t>
      </w:r>
      <w:r>
        <w:rPr>
          <w:rFonts w:hint="eastAsia" w:ascii="黑体" w:hAnsi="宋体" w:eastAsia="宋体" w:cs="宋体"/>
          <w:szCs w:val="21"/>
          <w:lang w:val="en-US" w:eastAsia="zh-CN" w:bidi="ar-SA"/>
        </w:rPr>
        <w:t>，</w:t>
      </w:r>
      <w:r>
        <w:rPr>
          <w:rFonts w:hint="default" w:ascii="宋体" w:hAnsi="宋体" w:eastAsia="宋体" w:cs="宋体"/>
          <w:szCs w:val="21"/>
          <w:lang w:val="en-US" w:eastAsia="zh-CN" w:bidi="ar-SA"/>
        </w:rPr>
        <w:t>以获得</w:t>
      </w:r>
      <w:r>
        <w:rPr>
          <w:rFonts w:hint="eastAsia" w:ascii="黑体" w:hAnsi="宋体" w:eastAsia="宋体" w:cs="宋体"/>
          <w:szCs w:val="21"/>
          <w:lang w:val="en-US" w:eastAsia="zh-CN" w:bidi="ar-SA"/>
        </w:rPr>
        <w:t>客户</w:t>
      </w:r>
      <w:r>
        <w:rPr>
          <w:rFonts w:hint="default" w:ascii="宋体" w:hAnsi="宋体" w:eastAsia="宋体" w:cs="宋体"/>
          <w:szCs w:val="21"/>
          <w:lang w:val="en-US" w:eastAsia="zh-CN" w:bidi="ar-SA"/>
        </w:rPr>
        <w:t>及其他相关方的信任。</w:t>
      </w:r>
    </w:p>
    <w:p>
      <w:pPr>
        <w:pStyle w:val="105"/>
        <w:bidi w:val="0"/>
        <w:rPr>
          <w:rFonts w:hint="eastAsia"/>
          <w:lang w:val="en-US" w:eastAsia="zh-CN"/>
        </w:rPr>
      </w:pPr>
      <w:bookmarkStart w:id="67" w:name="_Toc14622"/>
      <w:r>
        <w:rPr>
          <w:rFonts w:hint="eastAsia"/>
          <w:lang w:val="en-US" w:eastAsia="zh-CN"/>
        </w:rPr>
        <w:t>品牌培育过程</w:t>
      </w:r>
      <w:bookmarkEnd w:id="67"/>
    </w:p>
    <w:p>
      <w:pPr>
        <w:pStyle w:val="106"/>
        <w:bidi w:val="0"/>
        <w:rPr>
          <w:rFonts w:hint="default"/>
          <w:lang w:val="en-US" w:eastAsia="zh-CN"/>
        </w:rPr>
      </w:pPr>
      <w:bookmarkStart w:id="68" w:name="_Toc21069"/>
      <w:r>
        <w:rPr>
          <w:rFonts w:hint="eastAsia"/>
          <w:lang w:val="en-US" w:eastAsia="zh-CN"/>
        </w:rPr>
        <w:t>品牌价值创造过程</w:t>
      </w:r>
      <w:bookmarkEnd w:id="68"/>
    </w:p>
    <w:p>
      <w:pPr>
        <w:pStyle w:val="66"/>
        <w:bidi w:val="0"/>
        <w:rPr>
          <w:rFonts w:hint="eastAsia"/>
          <w:lang w:val="en-US" w:eastAsia="zh-CN"/>
        </w:rPr>
      </w:pPr>
      <w:bookmarkStart w:id="69" w:name="_Toc28856"/>
      <w:r>
        <w:rPr>
          <w:rFonts w:hint="eastAsia"/>
          <w:lang w:val="en-US" w:eastAsia="zh-CN"/>
        </w:rPr>
        <w:t>总则</w:t>
      </w:r>
      <w:bookmarkEnd w:id="69"/>
    </w:p>
    <w:p>
      <w:pPr>
        <w:pStyle w:val="57"/>
        <w:bidi w:val="0"/>
        <w:rPr>
          <w:rFonts w:hint="eastAsia" w:ascii="宋体" w:hAnsi="宋体" w:eastAsia="宋体" w:cs="宋体"/>
          <w:szCs w:val="21"/>
          <w:lang w:val="en-US" w:eastAsia="zh-CN" w:bidi="ar-SA"/>
        </w:rPr>
      </w:pPr>
      <w:r>
        <w:rPr>
          <w:rFonts w:hint="eastAsia"/>
          <w:lang w:val="en-US" w:eastAsia="zh-CN"/>
        </w:rPr>
        <w:t>机构基于项目开发、采购和合作、项目实施、客户服务和售后支持等检验检测活动全过程，从有形要素、质量要素、创新要素、服务要素和无形要素等五要素，识别价值创造活动，并管理品牌价值创造过程。</w:t>
      </w:r>
    </w:p>
    <w:p>
      <w:pPr>
        <w:pStyle w:val="66"/>
        <w:bidi w:val="0"/>
        <w:rPr>
          <w:rFonts w:hint="eastAsia"/>
          <w:lang w:val="en-US" w:eastAsia="zh-CN"/>
        </w:rPr>
      </w:pPr>
      <w:bookmarkStart w:id="70" w:name="_Toc31616"/>
      <w:r>
        <w:rPr>
          <w:rFonts w:hint="eastAsia"/>
          <w:lang w:val="en-US" w:eastAsia="zh-CN"/>
        </w:rPr>
        <w:t>有形要素</w:t>
      </w:r>
      <w:bookmarkEnd w:id="70"/>
    </w:p>
    <w:p>
      <w:pPr>
        <w:pStyle w:val="57"/>
        <w:bidi w:val="0"/>
        <w:rPr>
          <w:rFonts w:hint="eastAsia"/>
          <w:lang w:val="en-US" w:eastAsia="zh-CN"/>
        </w:rPr>
      </w:pPr>
      <w:r>
        <w:rPr>
          <w:rFonts w:hint="eastAsia"/>
          <w:lang w:val="en-US" w:eastAsia="zh-CN"/>
        </w:rPr>
        <w:t>有形要素的价值创造活动包括但不限于以下方面：</w:t>
      </w:r>
    </w:p>
    <w:p>
      <w:pPr>
        <w:pStyle w:val="175"/>
        <w:bidi w:val="0"/>
        <w:ind w:left="851" w:leftChars="0" w:hanging="426" w:firstLineChars="0"/>
        <w:rPr>
          <w:rFonts w:hint="eastAsia"/>
          <w:lang w:val="en-US" w:eastAsia="zh-CN"/>
        </w:rPr>
      </w:pPr>
      <w:r>
        <w:rPr>
          <w:rFonts w:hint="eastAsia"/>
          <w:lang w:val="en-US" w:eastAsia="zh-CN"/>
        </w:rPr>
        <w:t>优化品牌培育所需的基础设施和设备，包括但不限于以下方面：</w:t>
      </w:r>
    </w:p>
    <w:p>
      <w:pPr>
        <w:pStyle w:val="110"/>
        <w:bidi w:val="0"/>
        <w:ind w:left="1276" w:leftChars="0" w:hanging="425" w:firstLineChars="0"/>
        <w:rPr>
          <w:rFonts w:hint="eastAsia"/>
          <w:lang w:val="en-US" w:eastAsia="zh-CN"/>
        </w:rPr>
      </w:pPr>
      <w:r>
        <w:rPr>
          <w:rFonts w:hint="eastAsia"/>
          <w:lang w:val="en-US" w:eastAsia="zh-CN"/>
        </w:rPr>
        <w:t>科学规划实验室功能分区，确保环境条件符合检测标准要求，配备安全可靠的实验室基础设施；</w:t>
      </w:r>
    </w:p>
    <w:p>
      <w:pPr>
        <w:pStyle w:val="110"/>
        <w:bidi w:val="0"/>
        <w:ind w:left="1276" w:leftChars="0" w:hanging="425" w:firstLineChars="0"/>
        <w:rPr>
          <w:rFonts w:hint="eastAsia"/>
          <w:lang w:val="en-US" w:eastAsia="zh-CN"/>
        </w:rPr>
      </w:pPr>
      <w:r>
        <w:rPr>
          <w:rFonts w:hint="eastAsia"/>
          <w:lang w:val="en-US" w:eastAsia="zh-CN"/>
        </w:rPr>
        <w:t>配置满足检验检测方法标准、量程精度匹配的先进仪器设备，建立设备全生命周期管理体系，确保设备状态可控、数据准确可追溯；</w:t>
      </w:r>
    </w:p>
    <w:p>
      <w:pPr>
        <w:pStyle w:val="110"/>
        <w:bidi w:val="0"/>
        <w:ind w:left="1276" w:leftChars="0" w:hanging="425" w:firstLineChars="0"/>
        <w:rPr>
          <w:rFonts w:hint="eastAsia"/>
          <w:lang w:val="en-US" w:eastAsia="zh-CN"/>
        </w:rPr>
      </w:pPr>
      <w:r>
        <w:rPr>
          <w:rFonts w:hint="eastAsia"/>
          <w:lang w:val="en-US" w:eastAsia="zh-CN"/>
        </w:rPr>
        <w:t>配备样品智能管理、数据管理、报告生成等信息化系统，引入人工智能辅助检测设备，提升检测效率、数据可靠性和报告可追溯性。</w:t>
      </w:r>
    </w:p>
    <w:p>
      <w:pPr>
        <w:pStyle w:val="175"/>
        <w:bidi w:val="0"/>
        <w:rPr>
          <w:rFonts w:hint="eastAsia"/>
          <w:lang w:val="en-US" w:eastAsia="zh-CN"/>
        </w:rPr>
      </w:pPr>
      <w:r>
        <w:rPr>
          <w:rFonts w:hint="eastAsia"/>
          <w:lang w:val="en-US" w:eastAsia="zh-CN"/>
        </w:rPr>
        <w:t>为品牌培育活动提供财务资源，包括但不限于以下方面：</w:t>
      </w:r>
    </w:p>
    <w:p>
      <w:pPr>
        <w:pStyle w:val="110"/>
        <w:bidi w:val="0"/>
        <w:rPr>
          <w:rFonts w:hint="eastAsia"/>
          <w:lang w:val="en-US" w:eastAsia="zh-CN"/>
        </w:rPr>
      </w:pPr>
      <w:r>
        <w:rPr>
          <w:rFonts w:hint="eastAsia"/>
          <w:lang w:val="en-US" w:eastAsia="zh-CN"/>
        </w:rPr>
        <w:t>设立专项预算用于设备升级、技术研发、能力验证、人员培训、资质扩项等品牌建设关键领域，确保资金投入与机构战略目标一致；</w:t>
      </w:r>
    </w:p>
    <w:p>
      <w:pPr>
        <w:pStyle w:val="110"/>
        <w:bidi w:val="0"/>
        <w:rPr>
          <w:rFonts w:hint="eastAsia"/>
          <w:lang w:val="en-US" w:eastAsia="zh-CN"/>
        </w:rPr>
      </w:pPr>
      <w:r>
        <w:rPr>
          <w:rFonts w:hint="eastAsia"/>
          <w:lang w:val="en-US" w:eastAsia="zh-CN"/>
        </w:rPr>
        <w:t>合理控制日常运营成本，同时优先保障实验室认可、认证费用、监管检查费用、环保安全投入等合规性支出；</w:t>
      </w:r>
    </w:p>
    <w:p>
      <w:pPr>
        <w:pStyle w:val="110"/>
        <w:bidi w:val="0"/>
        <w:rPr>
          <w:rFonts w:hint="eastAsia" w:ascii="宋体" w:hAnsi="宋体" w:eastAsia="宋体" w:cs="宋体"/>
          <w:szCs w:val="24"/>
          <w:lang w:val="en-US" w:eastAsia="zh-CN" w:bidi="ar-SA"/>
        </w:rPr>
      </w:pPr>
      <w:r>
        <w:rPr>
          <w:rFonts w:hint="eastAsia"/>
          <w:lang w:val="en-US" w:eastAsia="zh-CN"/>
        </w:rPr>
        <w:t>通过财务数据分析，持续优化资源配置，对高附加值检验检测项目加大投入，对老旧设备评估淘汰或更新</w:t>
      </w:r>
      <w:r>
        <w:rPr>
          <w:rFonts w:hint="eastAsia" w:ascii="宋体" w:hAnsi="宋体" w:eastAsia="宋体" w:cs="宋体"/>
          <w:szCs w:val="24"/>
          <w:lang w:val="en-US" w:eastAsia="zh-CN" w:bidi="ar-SA"/>
        </w:rPr>
        <w:t>。</w:t>
      </w:r>
    </w:p>
    <w:p>
      <w:pPr>
        <w:pStyle w:val="175"/>
        <w:bidi w:val="0"/>
        <w:rPr>
          <w:rFonts w:hint="eastAsia"/>
          <w:lang w:val="en-US" w:eastAsia="zh-CN"/>
        </w:rPr>
      </w:pPr>
      <w:r>
        <w:rPr>
          <w:rFonts w:hint="eastAsia"/>
          <w:lang w:val="en-US" w:eastAsia="zh-CN"/>
        </w:rPr>
        <w:t>为品牌培育活动提供充分和胜任的人力资源，重点建设以下能力：</w:t>
      </w:r>
    </w:p>
    <w:p>
      <w:pPr>
        <w:pStyle w:val="110"/>
        <w:bidi w:val="0"/>
        <w:rPr>
          <w:rFonts w:hint="eastAsia"/>
          <w:lang w:val="en-US" w:eastAsia="zh-CN"/>
        </w:rPr>
      </w:pPr>
      <w:r>
        <w:rPr>
          <w:rFonts w:hint="eastAsia"/>
          <w:lang w:val="en-US" w:eastAsia="zh-CN"/>
        </w:rPr>
        <w:t>组建涵盖检验检测技术、质量管理、客户服务、信息技术等领域的专业化队伍，关键岗位人员满足法定资质要求和具备丰富行业经验；</w:t>
      </w:r>
    </w:p>
    <w:p>
      <w:pPr>
        <w:pStyle w:val="110"/>
        <w:bidi w:val="0"/>
        <w:rPr>
          <w:rFonts w:hint="eastAsia"/>
          <w:lang w:val="en-US" w:eastAsia="zh-CN"/>
        </w:rPr>
      </w:pPr>
      <w:r>
        <w:rPr>
          <w:rFonts w:hint="eastAsia"/>
          <w:lang w:val="en-US" w:eastAsia="zh-CN"/>
        </w:rPr>
        <w:t>建立分层分类的培训体系，定期组织检验检测标准宣贯、设备操作实操等培训，实施“师徒制”人才培养模式，鼓励员工参与行业技术交流、学术研讨和国际合作；</w:t>
      </w:r>
    </w:p>
    <w:p>
      <w:pPr>
        <w:pStyle w:val="110"/>
        <w:bidi w:val="0"/>
        <w:rPr>
          <w:rFonts w:hint="eastAsia" w:ascii="宋体" w:hAnsi="宋体" w:eastAsia="宋体" w:cs="宋体"/>
          <w:szCs w:val="24"/>
          <w:lang w:val="en-US" w:eastAsia="zh-CN" w:bidi="ar-SA"/>
        </w:rPr>
      </w:pPr>
      <w:r>
        <w:rPr>
          <w:rFonts w:hint="eastAsia"/>
          <w:lang w:val="en-US" w:eastAsia="zh-CN"/>
        </w:rPr>
        <w:t>将员工绩效与检测质量、客户服务满意度、技术创新成果挂钩，设立品牌贡献奖励、实施创新成果转化奖励等</w:t>
      </w:r>
      <w:r>
        <w:rPr>
          <w:rFonts w:hint="eastAsia" w:ascii="宋体" w:hAnsi="宋体" w:eastAsia="宋体" w:cs="宋体"/>
          <w:szCs w:val="24"/>
          <w:lang w:val="en-US" w:eastAsia="zh-CN" w:bidi="ar-SA"/>
        </w:rPr>
        <w:t>。</w:t>
      </w:r>
    </w:p>
    <w:p>
      <w:pPr>
        <w:pStyle w:val="175"/>
        <w:bidi w:val="0"/>
        <w:rPr>
          <w:rFonts w:hint="eastAsia"/>
          <w:lang w:val="en-US" w:eastAsia="zh-CN"/>
        </w:rPr>
      </w:pPr>
      <w:r>
        <w:rPr>
          <w:rFonts w:hint="eastAsia"/>
          <w:lang w:val="en-US" w:eastAsia="zh-CN"/>
        </w:rPr>
        <w:t>保障有助于实现品牌核心价值的自然资源，为支撑检测活动可持续开展的生态与环境资源，以及合规利用的基础要素，包括但不限于以下方面：</w:t>
      </w:r>
    </w:p>
    <w:p>
      <w:pPr>
        <w:pStyle w:val="110"/>
        <w:bidi w:val="0"/>
        <w:rPr>
          <w:rFonts w:hint="eastAsia"/>
          <w:lang w:val="en-US" w:eastAsia="zh-CN"/>
        </w:rPr>
      </w:pPr>
      <w:r>
        <w:rPr>
          <w:rFonts w:hint="eastAsia"/>
          <w:lang w:val="en-US" w:eastAsia="zh-CN"/>
        </w:rPr>
        <w:t>合理利用自然资源维持实验室运行，通过节能技术降低能耗，确保样品采集、运输、存储过程符合生态保护要求；</w:t>
      </w:r>
    </w:p>
    <w:p>
      <w:pPr>
        <w:pStyle w:val="110"/>
        <w:bidi w:val="0"/>
        <w:rPr>
          <w:rFonts w:hint="eastAsia"/>
          <w:color w:val="auto"/>
          <w:lang w:val="en-US" w:eastAsia="zh-CN"/>
        </w:rPr>
      </w:pPr>
      <w:r>
        <w:rPr>
          <w:rFonts w:hint="eastAsia"/>
          <w:color w:val="auto"/>
          <w:lang w:val="en-US" w:eastAsia="zh-CN"/>
        </w:rPr>
        <w:t>通过数据资产化管理，推动原始检测数据由成本要素向驱动创新、构建壁垒与提升话语权的核心价值形态转变；</w:t>
      </w:r>
    </w:p>
    <w:p>
      <w:pPr>
        <w:pStyle w:val="110"/>
        <w:bidi w:val="0"/>
        <w:rPr>
          <w:rFonts w:hint="eastAsia" w:ascii="宋体" w:hAnsi="宋体" w:eastAsia="宋体" w:cs="宋体"/>
          <w:szCs w:val="24"/>
          <w:lang w:val="en-US" w:eastAsia="zh-CN" w:bidi="ar-SA"/>
        </w:rPr>
      </w:pPr>
      <w:r>
        <w:rPr>
          <w:rFonts w:hint="eastAsia"/>
          <w:lang w:val="en-US" w:eastAsia="zh-CN"/>
        </w:rPr>
        <w:t>体现社会责任与可持续性，贯彻绿色检测理念，减少一次性耗材使用，推广低碳检测方法，参与环保公益，发布可持续发展报告。</w:t>
      </w:r>
    </w:p>
    <w:p>
      <w:pPr>
        <w:pStyle w:val="66"/>
        <w:bidi w:val="0"/>
        <w:rPr>
          <w:rFonts w:hint="eastAsia" w:ascii="黑体" w:hAnsi="黑体" w:eastAsia="黑体" w:cs="黑体"/>
          <w:sz w:val="21"/>
          <w:szCs w:val="21"/>
          <w:lang w:val="en-US" w:eastAsia="zh-CN" w:bidi="ar-SA"/>
        </w:rPr>
      </w:pPr>
      <w:bookmarkStart w:id="71" w:name="_Toc32066"/>
      <w:r>
        <w:rPr>
          <w:rFonts w:hint="eastAsia" w:ascii="黑体" w:hAnsi="黑体" w:eastAsia="黑体" w:cs="黑体"/>
          <w:sz w:val="21"/>
          <w:szCs w:val="21"/>
          <w:lang w:val="en-US" w:eastAsia="zh-CN" w:bidi="ar-SA"/>
        </w:rPr>
        <w:t>质量要素</w:t>
      </w:r>
      <w:bookmarkEnd w:id="71"/>
    </w:p>
    <w:p>
      <w:pPr>
        <w:pStyle w:val="57"/>
        <w:bidi w:val="0"/>
        <w:rPr>
          <w:rFonts w:hint="eastAsia"/>
          <w:lang w:val="en-US" w:eastAsia="zh-CN"/>
        </w:rPr>
      </w:pPr>
      <w:r>
        <w:rPr>
          <w:rFonts w:hint="eastAsia"/>
          <w:lang w:val="en-US" w:eastAsia="zh-CN"/>
        </w:rPr>
        <w:t>质量要素的价值创造活动包括但不限于以下方面：</w:t>
      </w:r>
    </w:p>
    <w:p>
      <w:pPr>
        <w:pStyle w:val="175"/>
        <w:numPr>
          <w:ilvl w:val="0"/>
          <w:numId w:val="38"/>
        </w:numPr>
        <w:bidi w:val="0"/>
        <w:rPr>
          <w:rFonts w:hint="eastAsia"/>
          <w:lang w:val="en-US" w:eastAsia="zh-CN"/>
        </w:rPr>
      </w:pPr>
      <w:r>
        <w:rPr>
          <w:rFonts w:hint="eastAsia"/>
          <w:lang w:val="en-US" w:eastAsia="zh-CN"/>
        </w:rPr>
        <w:t>开展服务质量设计</w:t>
      </w:r>
      <w:r>
        <w:rPr>
          <w:rFonts w:hint="eastAsia" w:ascii="宋体" w:hAnsi="宋体" w:eastAsia="宋体" w:cs="宋体"/>
          <w:sz w:val="21"/>
          <w:szCs w:val="24"/>
          <w:lang w:val="en-US" w:eastAsia="zh-CN" w:bidi="ar-SA"/>
        </w:rPr>
        <w:t>，围绕客户需求设计科学、规范的</w:t>
      </w:r>
      <w:r>
        <w:rPr>
          <w:rFonts w:hint="eastAsia" w:hAnsi="宋体" w:cs="宋体"/>
          <w:sz w:val="21"/>
          <w:szCs w:val="24"/>
          <w:lang w:val="en-US" w:eastAsia="zh-CN" w:bidi="ar-SA"/>
        </w:rPr>
        <w:t>检验</w:t>
      </w:r>
      <w:r>
        <w:rPr>
          <w:rFonts w:hint="eastAsia" w:ascii="宋体" w:hAnsi="宋体" w:eastAsia="宋体" w:cs="宋体"/>
          <w:sz w:val="21"/>
          <w:szCs w:val="24"/>
          <w:lang w:val="en-US" w:eastAsia="zh-CN" w:bidi="ar-SA"/>
        </w:rPr>
        <w:t>检测服务体系，包括但不限于以下方面：</w:t>
      </w:r>
    </w:p>
    <w:p>
      <w:pPr>
        <w:pStyle w:val="110"/>
        <w:numPr>
          <w:ilvl w:val="1"/>
          <w:numId w:val="38"/>
        </w:numPr>
        <w:bidi w:val="0"/>
        <w:rPr>
          <w:rFonts w:hint="eastAsia"/>
          <w:lang w:val="en-US" w:eastAsia="zh-CN"/>
        </w:rPr>
      </w:pPr>
      <w:r>
        <w:rPr>
          <w:rFonts w:hint="eastAsia"/>
          <w:lang w:val="en-US" w:eastAsia="zh-CN"/>
        </w:rPr>
        <w:t>根据客户行业、检验检测目的定制检验检测服务方案，明确检验检测项目、方法、周期及交付标准；</w:t>
      </w:r>
    </w:p>
    <w:p>
      <w:pPr>
        <w:pStyle w:val="110"/>
        <w:numPr>
          <w:ilvl w:val="1"/>
          <w:numId w:val="38"/>
        </w:numPr>
        <w:bidi w:val="0"/>
        <w:rPr>
          <w:rFonts w:hint="eastAsia"/>
          <w:lang w:val="en-US" w:eastAsia="zh-CN"/>
        </w:rPr>
      </w:pPr>
      <w:r>
        <w:rPr>
          <w:rFonts w:hint="eastAsia"/>
          <w:lang w:val="en-US" w:eastAsia="zh-CN"/>
        </w:rPr>
        <w:t>流程优化设计，引入精益管理理念，建立覆盖样品接收、检验检测实施、数据审核、报告出具全流程的服务流程；</w:t>
      </w:r>
    </w:p>
    <w:p>
      <w:pPr>
        <w:pStyle w:val="110"/>
        <w:numPr>
          <w:ilvl w:val="1"/>
          <w:numId w:val="38"/>
        </w:numPr>
        <w:bidi w:val="0"/>
        <w:rPr>
          <w:rFonts w:hint="eastAsia" w:ascii="宋体" w:hAnsi="宋体" w:eastAsia="宋体" w:cs="宋体"/>
          <w:szCs w:val="21"/>
          <w:lang w:val="en-US" w:eastAsia="zh-CN" w:bidi="ar-SA"/>
        </w:rPr>
      </w:pPr>
      <w:r>
        <w:rPr>
          <w:rFonts w:hint="eastAsia"/>
          <w:lang w:val="en-US" w:eastAsia="zh-CN"/>
        </w:rPr>
        <w:t>结合行业发展趋势，提前布局前沿检验检测技术</w:t>
      </w:r>
      <w:r>
        <w:rPr>
          <w:rFonts w:hint="eastAsia" w:ascii="宋体" w:hAnsi="宋体" w:eastAsia="宋体" w:cs="宋体"/>
          <w:szCs w:val="24"/>
          <w:lang w:val="en-US" w:eastAsia="zh-CN" w:bidi="ar-SA"/>
        </w:rPr>
        <w:t>研究与服务能力扩展，形成技术领先优势。</w:t>
      </w:r>
    </w:p>
    <w:p>
      <w:pPr>
        <w:pStyle w:val="175"/>
        <w:numPr>
          <w:ilvl w:val="0"/>
          <w:numId w:val="38"/>
        </w:numPr>
        <w:bidi w:val="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完善质量管理机制，保障质量承诺</w:t>
      </w:r>
      <w:r>
        <w:rPr>
          <w:rFonts w:hint="eastAsia" w:ascii="宋体" w:hAnsi="宋体" w:eastAsia="宋体" w:cs="宋体"/>
          <w:sz w:val="21"/>
          <w:lang w:val="en-US" w:eastAsia="zh-CN" w:bidi="ar-SA"/>
        </w:rPr>
        <w:t>，具体包括但不限于以下方面：</w:t>
      </w:r>
    </w:p>
    <w:p>
      <w:pPr>
        <w:pStyle w:val="110"/>
        <w:numPr>
          <w:ilvl w:val="1"/>
          <w:numId w:val="38"/>
        </w:numPr>
        <w:bidi w:val="0"/>
        <w:rPr>
          <w:rFonts w:hint="eastAsia" w:ascii="宋体" w:hAnsi="宋体" w:eastAsia="宋体" w:cs="宋体"/>
          <w:szCs w:val="24"/>
          <w:lang w:val="en-US" w:eastAsia="zh-CN" w:bidi="ar-SA"/>
        </w:rPr>
      </w:pPr>
      <w:r>
        <w:rPr>
          <w:rFonts w:hint="eastAsia" w:ascii="宋体" w:hAnsi="宋体" w:eastAsia="宋体" w:cs="宋体"/>
          <w:sz w:val="21"/>
          <w:szCs w:val="24"/>
          <w:lang w:val="en-US" w:eastAsia="zh-CN" w:bidi="ar-SA"/>
        </w:rPr>
        <w:t>体系化</w:t>
      </w:r>
      <w:r>
        <w:rPr>
          <w:rFonts w:hint="eastAsia" w:ascii="宋体" w:hAnsi="宋体" w:eastAsia="宋体" w:cs="宋体"/>
          <w:szCs w:val="24"/>
          <w:lang w:val="en-US" w:eastAsia="zh-CN" w:bidi="ar-SA"/>
        </w:rPr>
        <w:t>质量管理</w:t>
      </w:r>
      <w:r>
        <w:rPr>
          <w:rFonts w:hint="eastAsia" w:hAnsi="宋体" w:cs="宋体"/>
          <w:szCs w:val="24"/>
          <w:lang w:val="en-US" w:eastAsia="zh-CN" w:bidi="ar-SA"/>
        </w:rPr>
        <w:t>，</w:t>
      </w:r>
      <w:r>
        <w:rPr>
          <w:rFonts w:hint="eastAsia" w:ascii="宋体" w:hAnsi="宋体" w:eastAsia="宋体" w:cs="宋体"/>
          <w:szCs w:val="24"/>
          <w:lang w:val="en-US" w:eastAsia="zh-CN" w:bidi="ar-SA"/>
        </w:rPr>
        <w:t>建立涵盖人员、设备、方法、环境、记录的标准化管理文件，定期开展内部审核、管理评审及能力验证，确保体系有效运行</w:t>
      </w:r>
      <w:r>
        <w:rPr>
          <w:rFonts w:hint="eastAsia" w:hAnsi="宋体" w:cs="宋体"/>
          <w:szCs w:val="24"/>
          <w:lang w:val="en-US" w:eastAsia="zh-CN" w:bidi="ar-SA"/>
        </w:rPr>
        <w:t>，</w:t>
      </w:r>
      <w:r>
        <w:rPr>
          <w:rFonts w:hint="eastAsia" w:ascii="宋体" w:hAnsi="宋体" w:eastAsia="宋体" w:cs="宋体"/>
          <w:szCs w:val="24"/>
          <w:lang w:val="en-US" w:eastAsia="zh-CN" w:bidi="ar-SA"/>
        </w:rPr>
        <w:t>杜绝数据造假、违规操作等行为；</w:t>
      </w:r>
    </w:p>
    <w:p>
      <w:pPr>
        <w:pStyle w:val="110"/>
        <w:numPr>
          <w:ilvl w:val="1"/>
          <w:numId w:val="38"/>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客户沟通机制</w:t>
      </w:r>
      <w:r>
        <w:rPr>
          <w:rFonts w:hint="eastAsia" w:hAnsi="宋体" w:cs="宋体"/>
          <w:szCs w:val="24"/>
          <w:lang w:val="en-US" w:eastAsia="zh-CN" w:bidi="ar-SA"/>
        </w:rPr>
        <w:t>，</w:t>
      </w:r>
      <w:r>
        <w:rPr>
          <w:rFonts w:hint="eastAsia" w:ascii="宋体" w:hAnsi="宋体" w:eastAsia="宋体" w:cs="宋体"/>
          <w:szCs w:val="24"/>
          <w:lang w:val="en-US" w:eastAsia="zh-CN" w:bidi="ar-SA"/>
        </w:rPr>
        <w:t>通过服务前需求确认、过程中进度反馈等环节，向客户公开质量承诺</w:t>
      </w:r>
      <w:r>
        <w:rPr>
          <w:rFonts w:hint="eastAsia" w:ascii="宋体" w:hAnsi="宋体" w:eastAsia="宋体" w:cs="宋体"/>
          <w:szCs w:val="24"/>
          <w:lang w:val="en-US" w:eastAsia="zh-CN"/>
        </w:rPr>
        <w:t>，并主动接受客户监督。</w:t>
      </w:r>
    </w:p>
    <w:p>
      <w:pPr>
        <w:pStyle w:val="175"/>
        <w:numPr>
          <w:ilvl w:val="0"/>
          <w:numId w:val="38"/>
        </w:numPr>
        <w:bidi w:val="0"/>
        <w:rPr>
          <w:rFonts w:hint="eastAsia" w:ascii="宋体" w:hAnsi="宋体" w:eastAsia="宋体" w:cs="宋体"/>
          <w:szCs w:val="24"/>
          <w:lang w:val="en-US" w:eastAsia="zh-CN" w:bidi="ar-SA"/>
        </w:rPr>
      </w:pPr>
      <w:r>
        <w:rPr>
          <w:rFonts w:hint="eastAsia" w:ascii="宋体" w:hAnsi="宋体" w:eastAsia="宋体" w:cs="宋体"/>
          <w:sz w:val="21"/>
          <w:szCs w:val="21"/>
          <w:lang w:val="en-US" w:eastAsia="zh-CN" w:bidi="ar-SA"/>
        </w:rPr>
        <w:t>宜建立全流程数字化追溯，实现全生命周期质量追溯，</w:t>
      </w:r>
      <w:r>
        <w:rPr>
          <w:rFonts w:hint="eastAsia" w:ascii="宋体" w:hAnsi="宋体" w:eastAsia="宋体" w:cs="宋体"/>
          <w:szCs w:val="24"/>
          <w:lang w:val="en-US" w:eastAsia="zh-CN" w:bidi="ar-SA"/>
        </w:rPr>
        <w:t>通过记录样品唯一性标识、检验检测任务分配、人员操作记录、设备校准状态等信息，实现从样品接受到报告归档的全流程可追溯</w:t>
      </w:r>
      <w:r>
        <w:rPr>
          <w:rFonts w:hint="eastAsia" w:hAnsi="宋体" w:cs="宋体"/>
          <w:szCs w:val="24"/>
          <w:lang w:val="en-US" w:eastAsia="zh-CN" w:bidi="ar-SA"/>
        </w:rPr>
        <w:t>，树立行业公信力；</w:t>
      </w:r>
    </w:p>
    <w:p>
      <w:pPr>
        <w:pStyle w:val="175"/>
        <w:numPr>
          <w:ilvl w:val="0"/>
          <w:numId w:val="38"/>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追求超越客户期望的质量水平，</w:t>
      </w:r>
      <w:r>
        <w:rPr>
          <w:rFonts w:hint="eastAsia" w:ascii="宋体" w:hAnsi="宋体" w:eastAsia="宋体" w:cs="宋体"/>
          <w:sz w:val="21"/>
          <w:lang w:val="en-US" w:eastAsia="zh-CN" w:bidi="ar-SA"/>
        </w:rPr>
        <w:t>具体包括但不限于以下方面：</w:t>
      </w:r>
    </w:p>
    <w:p>
      <w:pPr>
        <w:pStyle w:val="110"/>
        <w:numPr>
          <w:ilvl w:val="1"/>
          <w:numId w:val="38"/>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在常规检验检测基础上，提供检验检测数据深度解读、风险分析报告、整改建议等增值服务，帮助客户挖掘检验检测数据背后的管理或技术改进方向；</w:t>
      </w:r>
    </w:p>
    <w:p>
      <w:pPr>
        <w:pStyle w:val="110"/>
        <w:numPr>
          <w:ilvl w:val="1"/>
          <w:numId w:val="38"/>
        </w:numPr>
        <w:bidi w:val="0"/>
        <w:rPr>
          <w:rFonts w:hint="eastAsia" w:ascii="宋体" w:hAnsi="宋体" w:eastAsia="宋体" w:cs="宋体"/>
          <w:color w:val="auto"/>
          <w:szCs w:val="24"/>
          <w:lang w:val="en-US" w:eastAsia="zh-CN" w:bidi="ar-SA"/>
        </w:rPr>
      </w:pPr>
      <w:r>
        <w:rPr>
          <w:rFonts w:hint="eastAsia" w:ascii="宋体" w:hAnsi="宋体" w:eastAsia="宋体" w:cs="宋体"/>
          <w:color w:val="auto"/>
          <w:szCs w:val="24"/>
          <w:lang w:val="en-US" w:eastAsia="zh-CN" w:bidi="ar-SA"/>
        </w:rPr>
        <w:t>针对高端客户提供定制化服务，通过灵活服务模式满足多样化需求；</w:t>
      </w:r>
    </w:p>
    <w:p>
      <w:pPr>
        <w:pStyle w:val="110"/>
        <w:numPr>
          <w:ilvl w:val="1"/>
          <w:numId w:val="38"/>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通过客户满意度调查、投诉闭环管理、行业对标分析等渠道收集反馈，</w:t>
      </w:r>
      <w:r>
        <w:rPr>
          <w:rFonts w:hint="eastAsia" w:hAnsi="宋体" w:cs="宋体"/>
          <w:szCs w:val="24"/>
          <w:lang w:val="en-US" w:eastAsia="zh-CN" w:bidi="ar-SA"/>
        </w:rPr>
        <w:t>构建高效</w:t>
      </w:r>
      <w:r>
        <w:rPr>
          <w:rFonts w:hint="eastAsia" w:ascii="宋体" w:hAnsi="宋体" w:eastAsia="宋体" w:cs="宋体"/>
          <w:szCs w:val="24"/>
          <w:lang w:val="en-US" w:eastAsia="zh-CN" w:bidi="ar-SA"/>
        </w:rPr>
        <w:t>持续改进</w:t>
      </w:r>
      <w:r>
        <w:rPr>
          <w:rFonts w:hint="eastAsia" w:hAnsi="宋体" w:cs="宋体"/>
          <w:szCs w:val="24"/>
          <w:lang w:val="en-US" w:eastAsia="zh-CN" w:bidi="ar-SA"/>
        </w:rPr>
        <w:t>机制</w:t>
      </w:r>
      <w:r>
        <w:rPr>
          <w:rFonts w:hint="eastAsia" w:ascii="宋体" w:hAnsi="宋体" w:eastAsia="宋体" w:cs="宋体"/>
          <w:szCs w:val="24"/>
          <w:lang w:val="en-US" w:eastAsia="zh-CN"/>
        </w:rPr>
        <w:t>。</w:t>
      </w:r>
    </w:p>
    <w:p>
      <w:pPr>
        <w:pStyle w:val="66"/>
        <w:bidi w:val="0"/>
        <w:rPr>
          <w:rFonts w:hint="eastAsia" w:ascii="黑体" w:hAnsi="黑体" w:eastAsia="黑体" w:cs="黑体"/>
          <w:sz w:val="21"/>
          <w:szCs w:val="21"/>
          <w:lang w:val="en-US" w:eastAsia="zh-CN" w:bidi="ar-SA"/>
        </w:rPr>
      </w:pPr>
      <w:bookmarkStart w:id="72" w:name="_Toc21790"/>
      <w:r>
        <w:rPr>
          <w:rFonts w:hint="eastAsia" w:ascii="黑体" w:hAnsi="黑体" w:eastAsia="黑体" w:cs="黑体"/>
          <w:sz w:val="21"/>
          <w:szCs w:val="21"/>
          <w:lang w:val="en-US" w:eastAsia="zh-CN" w:bidi="ar-SA"/>
        </w:rPr>
        <w:t>创新要素</w:t>
      </w:r>
      <w:bookmarkEnd w:id="72"/>
    </w:p>
    <w:p>
      <w:pPr>
        <w:pStyle w:val="57"/>
        <w:bidi w:val="0"/>
        <w:rPr>
          <w:rFonts w:hint="eastAsia"/>
          <w:lang w:val="en-US" w:eastAsia="zh-CN"/>
        </w:rPr>
      </w:pPr>
      <w:r>
        <w:rPr>
          <w:rFonts w:hint="eastAsia"/>
          <w:lang w:val="en-US" w:eastAsia="zh-CN"/>
        </w:rPr>
        <w:t>创新要素的价值创造活动包括但不限于以下方面：</w:t>
      </w:r>
    </w:p>
    <w:p>
      <w:pPr>
        <w:pStyle w:val="175"/>
        <w:numPr>
          <w:ilvl w:val="0"/>
          <w:numId w:val="39"/>
        </w:numPr>
        <w:bidi w:val="0"/>
        <w:rPr>
          <w:rFonts w:hint="eastAsia" w:ascii="宋体" w:hAnsi="宋体" w:eastAsia="宋体" w:cs="宋体"/>
          <w:sz w:val="21"/>
          <w:lang w:val="en-US" w:eastAsia="zh-CN" w:bidi="ar-SA"/>
        </w:rPr>
      </w:pPr>
      <w:r>
        <w:rPr>
          <w:rFonts w:hint="eastAsia" w:ascii="宋体" w:hAnsi="宋体" w:eastAsia="宋体" w:cs="宋体"/>
          <w:lang w:val="en-US" w:eastAsia="zh-CN"/>
        </w:rPr>
        <w:t>开发</w:t>
      </w:r>
      <w:r>
        <w:rPr>
          <w:rFonts w:hint="eastAsia" w:ascii="宋体" w:hAnsi="宋体" w:eastAsia="宋体" w:cs="宋体"/>
          <w:sz w:val="21"/>
          <w:szCs w:val="21"/>
          <w:lang w:val="en-US" w:eastAsia="zh-CN" w:bidi="ar-SA"/>
        </w:rPr>
        <w:t>检验检测新项目，</w:t>
      </w:r>
      <w:r>
        <w:rPr>
          <w:rFonts w:hint="eastAsia" w:ascii="宋体" w:hAnsi="宋体" w:eastAsia="宋体" w:cs="宋体"/>
          <w:sz w:val="21"/>
          <w:lang w:val="en-US" w:eastAsia="zh-CN" w:bidi="ar-SA"/>
        </w:rPr>
        <w:t>通过拓展检验检测领域与创新服务模式实现价值创造，具体如下：</w:t>
      </w:r>
    </w:p>
    <w:p>
      <w:pPr>
        <w:pStyle w:val="110"/>
        <w:numPr>
          <w:ilvl w:val="1"/>
          <w:numId w:val="39"/>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针对新能源、新材料、人工智能、生物医药等新兴领域开发检验检测服务，填补市场空白；</w:t>
      </w:r>
    </w:p>
    <w:p>
      <w:pPr>
        <w:pStyle w:val="110"/>
        <w:numPr>
          <w:ilvl w:val="1"/>
          <w:numId w:val="39"/>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开发智能化检测工具、在线检测平台</w:t>
      </w:r>
      <w:r>
        <w:rPr>
          <w:rFonts w:hint="eastAsia" w:hAnsi="宋体" w:cs="宋体"/>
          <w:szCs w:val="24"/>
          <w:lang w:val="en-US" w:eastAsia="zh-CN" w:bidi="ar-SA"/>
        </w:rPr>
        <w:t>、</w:t>
      </w:r>
      <w:r>
        <w:rPr>
          <w:rFonts w:hint="eastAsia" w:ascii="宋体" w:hAnsi="宋体" w:eastAsia="宋体" w:cs="宋体"/>
          <w:szCs w:val="24"/>
          <w:lang w:val="en-US" w:eastAsia="zh-CN" w:bidi="ar-SA"/>
        </w:rPr>
        <w:t>移动端数字化检验检测服务</w:t>
      </w:r>
      <w:r>
        <w:rPr>
          <w:rFonts w:hint="eastAsia" w:hAnsi="宋体" w:cs="宋体"/>
          <w:szCs w:val="24"/>
          <w:lang w:val="en-US" w:eastAsia="zh-CN" w:bidi="ar-SA"/>
        </w:rPr>
        <w:t>，构建检测过程可视化系统</w:t>
      </w:r>
      <w:r>
        <w:rPr>
          <w:rFonts w:hint="eastAsia" w:ascii="宋体" w:hAnsi="宋体" w:eastAsia="宋体" w:cs="宋体"/>
          <w:szCs w:val="24"/>
          <w:lang w:val="en-US" w:eastAsia="zh-CN" w:bidi="ar-SA"/>
        </w:rPr>
        <w:t>；</w:t>
      </w:r>
    </w:p>
    <w:p>
      <w:pPr>
        <w:pStyle w:val="110"/>
        <w:numPr>
          <w:ilvl w:val="1"/>
          <w:numId w:val="39"/>
        </w:numPr>
        <w:bidi w:val="0"/>
        <w:rPr>
          <w:rFonts w:hint="eastAsia" w:ascii="宋体" w:hAnsi="宋体" w:eastAsia="宋体" w:cs="宋体"/>
          <w:szCs w:val="24"/>
          <w:lang w:val="en-US" w:eastAsia="zh-CN" w:bidi="ar-SA"/>
        </w:rPr>
      </w:pPr>
      <w:r>
        <w:rPr>
          <w:rFonts w:hint="eastAsia" w:hAnsi="宋体" w:cs="宋体"/>
          <w:szCs w:val="24"/>
          <w:lang w:val="en-US" w:eastAsia="zh-CN" w:bidi="ar-SA"/>
        </w:rPr>
        <w:t>使用</w:t>
      </w:r>
      <w:r>
        <w:rPr>
          <w:rFonts w:hint="eastAsia" w:ascii="宋体" w:hAnsi="宋体" w:eastAsia="宋体" w:cs="宋体"/>
          <w:szCs w:val="24"/>
          <w:lang w:val="en-US" w:eastAsia="zh-CN" w:bidi="ar-SA"/>
        </w:rPr>
        <w:t>基于区块链技术的检测数据存证系统，增强数据可信度和公信力</w:t>
      </w:r>
      <w:r>
        <w:rPr>
          <w:rFonts w:hint="eastAsia" w:hAnsi="宋体" w:cs="宋体"/>
          <w:szCs w:val="24"/>
          <w:lang w:val="en-US" w:eastAsia="zh-CN" w:bidi="ar-SA"/>
        </w:rPr>
        <w:t>；</w:t>
      </w:r>
    </w:p>
    <w:p>
      <w:pPr>
        <w:pStyle w:val="110"/>
        <w:numPr>
          <w:ilvl w:val="1"/>
          <w:numId w:val="39"/>
        </w:numPr>
        <w:bidi w:val="0"/>
        <w:rPr>
          <w:rFonts w:hint="eastAsia" w:ascii="宋体" w:hAnsi="宋体" w:eastAsia="宋体" w:cs="宋体"/>
          <w:szCs w:val="24"/>
          <w:lang w:val="en-US" w:eastAsia="zh-CN" w:bidi="ar-SA"/>
        </w:rPr>
      </w:pPr>
      <w:r>
        <w:rPr>
          <w:rFonts w:hint="eastAsia" w:hAnsi="宋体" w:cs="宋体"/>
          <w:szCs w:val="24"/>
          <w:lang w:val="en-US" w:eastAsia="zh-CN" w:bidi="ar-SA"/>
        </w:rPr>
        <w:t>提供API接口服务，实现与客户系统的无缝对接和数据共享；</w:t>
      </w:r>
    </w:p>
    <w:p>
      <w:pPr>
        <w:pStyle w:val="110"/>
        <w:numPr>
          <w:ilvl w:val="1"/>
          <w:numId w:val="39"/>
        </w:numPr>
        <w:bidi w:val="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bidi="ar-SA"/>
        </w:rPr>
        <w:t>定制化</w:t>
      </w:r>
      <w:r>
        <w:rPr>
          <w:rFonts w:hint="eastAsia" w:hAnsi="宋体" w:cs="宋体"/>
          <w:color w:val="auto"/>
          <w:szCs w:val="24"/>
          <w:lang w:val="en-US" w:eastAsia="zh-CN" w:bidi="ar-SA"/>
        </w:rPr>
        <w:t>检验</w:t>
      </w:r>
      <w:r>
        <w:rPr>
          <w:rFonts w:hint="eastAsia" w:ascii="宋体" w:hAnsi="宋体" w:eastAsia="宋体" w:cs="宋体"/>
          <w:color w:val="auto"/>
          <w:szCs w:val="24"/>
          <w:lang w:val="en-US" w:eastAsia="zh-CN" w:bidi="ar-SA"/>
        </w:rPr>
        <w:t>检测解决方案</w:t>
      </w:r>
      <w:r>
        <w:rPr>
          <w:rFonts w:hint="eastAsia" w:hAnsi="宋体" w:cs="宋体"/>
          <w:color w:val="auto"/>
          <w:szCs w:val="24"/>
          <w:lang w:val="en-US" w:eastAsia="zh-CN" w:bidi="ar-SA"/>
        </w:rPr>
        <w:t>，</w:t>
      </w:r>
      <w:r>
        <w:rPr>
          <w:rFonts w:hint="eastAsia" w:ascii="宋体" w:hAnsi="宋体" w:eastAsia="宋体" w:cs="宋体"/>
          <w:color w:val="auto"/>
          <w:szCs w:val="24"/>
          <w:lang w:val="en-US" w:eastAsia="zh-CN" w:bidi="ar-SA"/>
        </w:rPr>
        <w:t>为高端制造业提供全流程质量管控方案，或为中小检验检测机构提供“检验检测+认证+技术咨询”一体化服务</w:t>
      </w:r>
      <w:r>
        <w:rPr>
          <w:rFonts w:hint="eastAsia" w:ascii="宋体" w:hAnsi="宋体" w:eastAsia="宋体" w:cs="宋体"/>
          <w:color w:val="auto"/>
          <w:szCs w:val="24"/>
          <w:lang w:val="en-US" w:eastAsia="zh-CN"/>
        </w:rPr>
        <w:t>，延伸服务链条。</w:t>
      </w:r>
    </w:p>
    <w:p>
      <w:pPr>
        <w:pStyle w:val="175"/>
        <w:numPr>
          <w:ilvl w:val="0"/>
          <w:numId w:val="39"/>
        </w:numPr>
        <w:bidi w:val="0"/>
        <w:rPr>
          <w:rFonts w:hint="eastAsia" w:ascii="宋体" w:hAnsi="宋体" w:eastAsia="宋体" w:cs="宋体"/>
          <w:sz w:val="21"/>
          <w:lang w:val="en-US" w:eastAsia="zh-CN" w:bidi="ar-SA"/>
        </w:rPr>
      </w:pPr>
      <w:r>
        <w:rPr>
          <w:rFonts w:hint="eastAsia" w:ascii="宋体" w:hAnsi="宋体" w:eastAsia="宋体" w:cs="宋体"/>
          <w:lang w:val="en-US" w:eastAsia="zh-CN"/>
        </w:rPr>
        <w:t>提高</w:t>
      </w:r>
      <w:r>
        <w:rPr>
          <w:rFonts w:hint="eastAsia" w:ascii="宋体" w:hAnsi="宋体" w:eastAsia="宋体" w:cs="宋体"/>
          <w:sz w:val="21"/>
          <w:szCs w:val="21"/>
          <w:lang w:val="en-US" w:eastAsia="zh-CN" w:bidi="ar-SA"/>
        </w:rPr>
        <w:t>价值创造过程的效率，</w:t>
      </w:r>
      <w:r>
        <w:rPr>
          <w:rFonts w:hint="eastAsia" w:ascii="宋体" w:hAnsi="宋体" w:eastAsia="宋体" w:cs="宋体"/>
          <w:sz w:val="21"/>
          <w:lang w:val="en-US" w:eastAsia="zh-CN" w:bidi="ar-SA"/>
        </w:rPr>
        <w:t>通过技术升级与管理优化，实现</w:t>
      </w:r>
      <w:r>
        <w:rPr>
          <w:rFonts w:hint="eastAsia" w:hAnsi="宋体" w:cs="宋体"/>
          <w:sz w:val="21"/>
          <w:lang w:val="en-US" w:eastAsia="zh-CN" w:bidi="ar-SA"/>
        </w:rPr>
        <w:t>检验</w:t>
      </w:r>
      <w:r>
        <w:rPr>
          <w:rFonts w:hint="eastAsia" w:ascii="宋体" w:hAnsi="宋体" w:eastAsia="宋体" w:cs="宋体"/>
          <w:sz w:val="21"/>
          <w:lang w:val="en-US" w:eastAsia="zh-CN" w:bidi="ar-SA"/>
        </w:rPr>
        <w:t>检测流程的降本、增效、提质</w:t>
      </w:r>
      <w:r>
        <w:rPr>
          <w:rFonts w:hint="eastAsia" w:hAnsi="宋体" w:cs="宋体"/>
          <w:sz w:val="21"/>
          <w:lang w:val="en-US" w:eastAsia="zh-CN" w:bidi="ar-SA"/>
        </w:rPr>
        <w:t>；</w:t>
      </w:r>
    </w:p>
    <w:p>
      <w:pPr>
        <w:pStyle w:val="175"/>
        <w:numPr>
          <w:ilvl w:val="0"/>
          <w:numId w:val="39"/>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获得自主知识产权，</w:t>
      </w:r>
      <w:r>
        <w:rPr>
          <w:rFonts w:hint="eastAsia" w:ascii="宋体" w:hAnsi="宋体" w:eastAsia="宋体" w:cs="宋体"/>
          <w:sz w:val="21"/>
          <w:lang w:val="en-US" w:eastAsia="zh-CN" w:bidi="ar-SA"/>
        </w:rPr>
        <w:t>通过技术研发与成果转化，构建</w:t>
      </w:r>
      <w:r>
        <w:rPr>
          <w:rFonts w:hint="eastAsia" w:hAnsi="宋体" w:cs="宋体"/>
          <w:sz w:val="21"/>
          <w:lang w:val="en-US" w:eastAsia="zh-CN" w:bidi="ar-SA"/>
        </w:rPr>
        <w:t>机构</w:t>
      </w:r>
      <w:r>
        <w:rPr>
          <w:rFonts w:hint="eastAsia" w:ascii="宋体" w:hAnsi="宋体" w:eastAsia="宋体" w:cs="宋体"/>
          <w:sz w:val="21"/>
          <w:lang w:val="en-US" w:eastAsia="zh-CN" w:bidi="ar-SA"/>
        </w:rPr>
        <w:t>的核心竞争力，具体如下：</w:t>
      </w:r>
    </w:p>
    <w:p>
      <w:pPr>
        <w:pStyle w:val="110"/>
        <w:numPr>
          <w:ilvl w:val="1"/>
          <w:numId w:val="39"/>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针对传统检验检测技术的瓶颈（如高污染、低精度），研发具有自主知识产权的新方法，并申请发明专利或软件著作权；</w:t>
      </w:r>
    </w:p>
    <w:p>
      <w:pPr>
        <w:pStyle w:val="110"/>
        <w:numPr>
          <w:ilvl w:val="1"/>
          <w:numId w:val="39"/>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自主研制高精度标准样品、智能化检测仪器</w:t>
      </w:r>
      <w:r>
        <w:rPr>
          <w:rFonts w:hint="eastAsia" w:hAnsi="宋体" w:cs="宋体"/>
          <w:szCs w:val="24"/>
          <w:lang w:val="en-US" w:eastAsia="zh-CN" w:bidi="ar-SA"/>
        </w:rPr>
        <w:t>等</w:t>
      </w:r>
      <w:r>
        <w:rPr>
          <w:rFonts w:hint="eastAsia" w:ascii="宋体" w:hAnsi="宋体" w:eastAsia="宋体" w:cs="宋体"/>
          <w:szCs w:val="24"/>
          <w:lang w:val="en-US" w:eastAsia="zh-CN" w:bidi="ar-SA"/>
        </w:rPr>
        <w:t>；</w:t>
      </w:r>
    </w:p>
    <w:p>
      <w:pPr>
        <w:pStyle w:val="110"/>
        <w:numPr>
          <w:ilvl w:val="1"/>
          <w:numId w:val="39"/>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参与国际</w:t>
      </w:r>
      <w:r>
        <w:rPr>
          <w:rFonts w:hint="eastAsia" w:hAnsi="宋体" w:cs="宋体"/>
          <w:szCs w:val="24"/>
          <w:lang w:val="en-US" w:eastAsia="zh-CN" w:bidi="ar-SA"/>
        </w:rPr>
        <w:t>、</w:t>
      </w:r>
      <w:r>
        <w:rPr>
          <w:rFonts w:hint="eastAsia" w:ascii="宋体" w:hAnsi="宋体" w:eastAsia="宋体" w:cs="宋体"/>
          <w:szCs w:val="24"/>
          <w:lang w:val="en-US" w:eastAsia="zh-CN" w:bidi="ar-SA"/>
        </w:rPr>
        <w:t>国家标准制修订，将自主技术方案</w:t>
      </w:r>
      <w:r>
        <w:rPr>
          <w:rFonts w:hint="eastAsia" w:ascii="宋体" w:hAnsi="宋体" w:eastAsia="宋体" w:cs="宋体"/>
          <w:szCs w:val="24"/>
          <w:lang w:val="en-US" w:eastAsia="zh-CN"/>
        </w:rPr>
        <w:t>转化为行业标准，提升在全球检验检测规则制定中的影响力。</w:t>
      </w:r>
    </w:p>
    <w:p>
      <w:pPr>
        <w:pStyle w:val="175"/>
        <w:numPr>
          <w:ilvl w:val="0"/>
          <w:numId w:val="39"/>
        </w:numPr>
        <w:bidi w:val="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通过精准定位客户根本需求与期望，</w:t>
      </w:r>
      <w:r>
        <w:rPr>
          <w:rFonts w:hint="eastAsia" w:ascii="宋体" w:hAnsi="宋体" w:eastAsia="宋体" w:cs="宋体"/>
          <w:sz w:val="21"/>
          <w:szCs w:val="21"/>
          <w:lang w:val="en-US" w:eastAsia="zh-CN" w:bidi="ar-SA"/>
        </w:rPr>
        <w:t>增强满足客户个性化需求的能力，</w:t>
      </w:r>
      <w:r>
        <w:rPr>
          <w:rFonts w:hint="eastAsia" w:ascii="宋体" w:hAnsi="宋体" w:eastAsia="宋体" w:cs="宋体"/>
          <w:sz w:val="21"/>
          <w:lang w:val="en-US" w:eastAsia="zh-CN" w:bidi="ar-SA"/>
        </w:rPr>
        <w:t>具体如下：</w:t>
      </w:r>
    </w:p>
    <w:p>
      <w:pPr>
        <w:pStyle w:val="110"/>
        <w:numPr>
          <w:ilvl w:val="1"/>
          <w:numId w:val="39"/>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rPr>
        <w:t>面向汽车、消费电子等特定行业，提供专项检测服务</w:t>
      </w:r>
      <w:r>
        <w:rPr>
          <w:rFonts w:hint="eastAsia" w:hAnsi="宋体" w:cs="宋体"/>
          <w:szCs w:val="24"/>
          <w:lang w:val="en-US" w:eastAsia="zh-CN"/>
        </w:rPr>
        <w:t>，建立行业专家团队，提供深度技术支持和咨询服务</w:t>
      </w:r>
      <w:r>
        <w:rPr>
          <w:rFonts w:hint="eastAsia" w:ascii="宋体" w:hAnsi="宋体" w:eastAsia="宋体" w:cs="宋体"/>
          <w:szCs w:val="24"/>
          <w:lang w:val="en-US" w:eastAsia="zh-CN" w:bidi="ar-SA"/>
        </w:rPr>
        <w:t>；</w:t>
      </w:r>
    </w:p>
    <w:p>
      <w:pPr>
        <w:pStyle w:val="110"/>
        <w:numPr>
          <w:ilvl w:val="1"/>
          <w:numId w:val="39"/>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设立快速响应小组，为紧急需求开设绿色通道，通过灵活资源调度保障时效，增强客户服务体验与合作粘性</w:t>
      </w:r>
      <w:r>
        <w:rPr>
          <w:rFonts w:hint="eastAsia" w:ascii="宋体" w:hAnsi="宋体" w:eastAsia="宋体" w:cs="宋体"/>
          <w:szCs w:val="24"/>
          <w:lang w:val="en-US" w:eastAsia="zh-CN"/>
        </w:rPr>
        <w:t>。</w:t>
      </w:r>
    </w:p>
    <w:p>
      <w:pPr>
        <w:pStyle w:val="66"/>
        <w:bidi w:val="0"/>
        <w:rPr>
          <w:rFonts w:hint="eastAsia" w:ascii="黑体" w:hAnsi="黑体" w:eastAsia="黑体" w:cs="黑体"/>
          <w:sz w:val="21"/>
          <w:szCs w:val="21"/>
          <w:lang w:val="en-US" w:eastAsia="zh-CN" w:bidi="ar-SA"/>
        </w:rPr>
      </w:pPr>
      <w:bookmarkStart w:id="73" w:name="_Toc11219"/>
      <w:bookmarkStart w:id="74" w:name="OLE_LINK1"/>
      <w:bookmarkStart w:id="75" w:name="_Toc27588"/>
      <w:r>
        <w:rPr>
          <w:rFonts w:hint="eastAsia" w:ascii="黑体" w:hAnsi="黑体" w:eastAsia="黑体" w:cs="黑体"/>
          <w:sz w:val="21"/>
          <w:szCs w:val="21"/>
          <w:lang w:val="en-US" w:eastAsia="zh-CN" w:bidi="ar-SA"/>
        </w:rPr>
        <w:t>服务要素</w:t>
      </w:r>
      <w:bookmarkEnd w:id="73"/>
    </w:p>
    <w:p>
      <w:pPr>
        <w:pStyle w:val="57"/>
        <w:bidi w:val="0"/>
        <w:rPr>
          <w:rFonts w:hint="eastAsia"/>
          <w:lang w:val="en-US" w:eastAsia="zh-CN"/>
        </w:rPr>
      </w:pPr>
      <w:r>
        <w:rPr>
          <w:rFonts w:hint="eastAsia"/>
          <w:lang w:val="en-US" w:eastAsia="zh-CN"/>
        </w:rPr>
        <w:t>服务要素的价值创造活动包括但不限于以下方面：</w:t>
      </w:r>
    </w:p>
    <w:p>
      <w:pPr>
        <w:pStyle w:val="175"/>
        <w:numPr>
          <w:ilvl w:val="0"/>
          <w:numId w:val="40"/>
        </w:numPr>
        <w:bidi w:val="0"/>
        <w:rPr>
          <w:rFonts w:hint="eastAsia" w:ascii="宋体" w:hAnsi="宋体" w:eastAsia="宋体" w:cs="宋体"/>
          <w:sz w:val="21"/>
          <w:lang w:val="en-US" w:eastAsia="zh-CN" w:bidi="ar-SA"/>
        </w:rPr>
      </w:pPr>
      <w:r>
        <w:rPr>
          <w:rFonts w:hint="eastAsia" w:ascii="宋体" w:hAnsi="宋体" w:eastAsia="宋体" w:cs="宋体"/>
          <w:lang w:val="en-US" w:eastAsia="zh-CN"/>
        </w:rPr>
        <w:t>创造</w:t>
      </w:r>
      <w:r>
        <w:rPr>
          <w:rFonts w:hint="eastAsia" w:ascii="宋体" w:hAnsi="宋体" w:eastAsia="宋体" w:cs="宋体"/>
          <w:sz w:val="21"/>
          <w:szCs w:val="21"/>
          <w:lang w:val="en-US" w:eastAsia="zh-CN" w:bidi="ar-SA"/>
        </w:rPr>
        <w:t>基于服务的差异化竞争优势，</w:t>
      </w:r>
      <w:r>
        <w:rPr>
          <w:rFonts w:hint="eastAsia" w:ascii="宋体" w:hAnsi="宋体" w:eastAsia="宋体" w:cs="宋体"/>
          <w:sz w:val="21"/>
          <w:lang w:val="en-US" w:eastAsia="zh-CN" w:bidi="ar-SA"/>
        </w:rPr>
        <w:t>通过服务模式的创新与服务内容的特色化，形成区别于同行的核心优势，具体</w:t>
      </w:r>
      <w:r>
        <w:rPr>
          <w:rFonts w:hint="eastAsia" w:hAnsi="宋体" w:cs="宋体"/>
          <w:sz w:val="21"/>
          <w:lang w:val="en-US" w:eastAsia="zh-CN" w:bidi="ar-SA"/>
        </w:rPr>
        <w:t>包括但不限于以下方面</w:t>
      </w:r>
      <w:r>
        <w:rPr>
          <w:rFonts w:hint="eastAsia" w:ascii="宋体" w:hAnsi="宋体" w:eastAsia="宋体" w:cs="宋体"/>
          <w:sz w:val="21"/>
          <w:lang w:val="en-US" w:eastAsia="zh-CN" w:bidi="ar-SA"/>
        </w:rPr>
        <w:t>：</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结合机构技术特长，推出</w:t>
      </w:r>
      <w:bookmarkStart w:id="76" w:name="OLE_LINK3"/>
      <w:r>
        <w:rPr>
          <w:rFonts w:hint="eastAsia" w:ascii="宋体" w:hAnsi="宋体" w:eastAsia="宋体" w:cs="宋体"/>
          <w:szCs w:val="24"/>
          <w:lang w:val="en-US" w:eastAsia="zh-CN" w:bidi="ar-SA"/>
        </w:rPr>
        <w:t>“独家检验检测服务包”</w:t>
      </w:r>
      <w:bookmarkEnd w:id="76"/>
      <w:r>
        <w:rPr>
          <w:rFonts w:hint="eastAsia" w:ascii="宋体" w:hAnsi="宋体" w:eastAsia="宋体" w:cs="宋体"/>
          <w:szCs w:val="24"/>
          <w:lang w:val="en-US" w:eastAsia="zh-CN" w:bidi="ar-SA"/>
        </w:rPr>
        <w:t>，</w:t>
      </w:r>
      <w:r>
        <w:rPr>
          <w:rFonts w:hint="eastAsia" w:hAnsi="宋体" w:cs="宋体"/>
          <w:szCs w:val="24"/>
          <w:lang w:val="en-US" w:eastAsia="zh-CN" w:bidi="ar-SA"/>
        </w:rPr>
        <w:t>提供</w:t>
      </w:r>
      <w:r>
        <w:rPr>
          <w:rFonts w:hint="eastAsia" w:ascii="宋体" w:hAnsi="宋体" w:eastAsia="宋体" w:cs="宋体"/>
          <w:szCs w:val="24"/>
          <w:lang w:val="en-US" w:eastAsia="zh-CN" w:bidi="ar-SA"/>
        </w:rPr>
        <w:t>“人无我有”的特色服务；</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增值延伸服务，在基础检测之外，提供数据分析、技术培训及质量诊断等深度服务，协助客户优化质量体系，提升服务附加值；</w:t>
      </w:r>
    </w:p>
    <w:p>
      <w:pPr>
        <w:pStyle w:val="110"/>
        <w:numPr>
          <w:ilvl w:val="1"/>
          <w:numId w:val="40"/>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针对不同客户类型</w:t>
      </w:r>
      <w:r>
        <w:rPr>
          <w:rFonts w:hint="eastAsia" w:hAnsi="宋体" w:cs="宋体"/>
          <w:szCs w:val="24"/>
          <w:lang w:val="en-US" w:eastAsia="zh-CN" w:bidi="ar-SA"/>
        </w:rPr>
        <w:t>，</w:t>
      </w:r>
      <w:r>
        <w:rPr>
          <w:rFonts w:hint="eastAsia" w:ascii="宋体" w:hAnsi="宋体" w:eastAsia="宋体" w:cs="宋体"/>
          <w:szCs w:val="24"/>
          <w:lang w:val="en-US" w:eastAsia="zh-CN" w:bidi="ar-SA"/>
        </w:rPr>
        <w:t>设计差异化服务场景</w:t>
      </w:r>
      <w:r>
        <w:rPr>
          <w:rFonts w:hint="eastAsia" w:ascii="宋体" w:hAnsi="宋体" w:eastAsia="宋体" w:cs="宋体"/>
          <w:szCs w:val="24"/>
          <w:lang w:val="en-US" w:eastAsia="zh-CN"/>
        </w:rPr>
        <w:t>。</w:t>
      </w:r>
    </w:p>
    <w:p>
      <w:pPr>
        <w:pStyle w:val="175"/>
        <w:numPr>
          <w:ilvl w:val="0"/>
          <w:numId w:val="40"/>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优化客户体验，</w:t>
      </w:r>
      <w:r>
        <w:rPr>
          <w:rFonts w:hint="eastAsia" w:ascii="宋体" w:hAnsi="宋体" w:eastAsia="宋体" w:cs="宋体"/>
          <w:sz w:val="21"/>
          <w:lang w:val="en-US" w:eastAsia="zh-CN" w:bidi="ar-SA"/>
        </w:rPr>
        <w:t>以客户为中心，优化服务流程、沟通方式及服务细节，提升客户对服务质量的感知与满意度，具体措施包括：</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向客户开放检验检测进度查询，并提供检验检测报告关键指标解读，减少信息不对称；</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建立客户分级管理机制，针对重点客户提供“一对一”技术顾问服务，增强客户归属感；</w:t>
      </w:r>
    </w:p>
    <w:p>
      <w:pPr>
        <w:pStyle w:val="110"/>
        <w:numPr>
          <w:ilvl w:val="1"/>
          <w:numId w:val="40"/>
        </w:numPr>
        <w:bidi w:val="0"/>
        <w:rPr>
          <w:rFonts w:hint="eastAsia" w:ascii="宋体" w:hAnsi="宋体" w:eastAsia="宋体" w:cs="宋体"/>
          <w:szCs w:val="24"/>
          <w:lang w:val="en-US" w:eastAsia="zh-CN"/>
        </w:rPr>
      </w:pPr>
      <w:r>
        <w:rPr>
          <w:rFonts w:hint="eastAsia" w:ascii="宋体" w:hAnsi="宋体" w:eastAsia="宋体" w:cs="宋体"/>
          <w:szCs w:val="24"/>
          <w:lang w:val="en-US" w:eastAsia="zh-CN"/>
        </w:rPr>
        <w:t>优化样品寄送流程、报告交付形式、投诉响应机制，提升客户体验。</w:t>
      </w:r>
    </w:p>
    <w:p>
      <w:pPr>
        <w:pStyle w:val="175"/>
        <w:numPr>
          <w:ilvl w:val="0"/>
          <w:numId w:val="40"/>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提高客户获取服务的便捷性，</w:t>
      </w:r>
      <w:r>
        <w:rPr>
          <w:rFonts w:hint="eastAsia" w:hAnsi="宋体" w:cs="宋体"/>
          <w:sz w:val="21"/>
          <w:lang w:val="en-US" w:eastAsia="zh-CN" w:bidi="ar-SA"/>
        </w:rPr>
        <w:t>包括但不限于以下方面</w:t>
      </w:r>
      <w:r>
        <w:rPr>
          <w:rFonts w:hint="eastAsia" w:ascii="宋体" w:hAnsi="宋体" w:eastAsia="宋体" w:cs="宋体"/>
          <w:sz w:val="21"/>
          <w:lang w:val="en-US" w:eastAsia="zh-CN" w:bidi="ar-SA"/>
        </w:rPr>
        <w:t>：</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开发“一站式检测服务平台”，支持客户在线提交委托、实时追踪进度、下载电子报告；</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提供智能客服系统，7×24小时解答客户疑问</w:t>
      </w:r>
      <w:r>
        <w:rPr>
          <w:rFonts w:hint="eastAsia" w:hAnsi="宋体" w:cs="宋体"/>
          <w:szCs w:val="24"/>
          <w:lang w:val="en-US" w:eastAsia="zh-CN" w:bidi="ar-SA"/>
        </w:rPr>
        <w:t>。</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简化服务流程</w:t>
      </w:r>
      <w:r>
        <w:rPr>
          <w:rFonts w:hint="eastAsia" w:hAnsi="宋体" w:cs="宋体"/>
          <w:szCs w:val="24"/>
          <w:lang w:val="en-US" w:eastAsia="zh-CN" w:bidi="ar-SA"/>
        </w:rPr>
        <w:t>，</w:t>
      </w:r>
      <w:r>
        <w:rPr>
          <w:rFonts w:hint="eastAsia" w:ascii="宋体" w:hAnsi="宋体" w:eastAsia="宋体" w:cs="宋体"/>
          <w:szCs w:val="24"/>
          <w:lang w:val="en-US" w:eastAsia="zh-CN" w:bidi="ar-SA"/>
        </w:rPr>
        <w:t>推行“一窗受理”模式、“免填单”服务，减少客户操作步骤；</w:t>
      </w:r>
    </w:p>
    <w:p>
      <w:pPr>
        <w:pStyle w:val="110"/>
        <w:numPr>
          <w:ilvl w:val="1"/>
          <w:numId w:val="40"/>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优化报告格式和内容呈现，提供数据解读</w:t>
      </w:r>
      <w:r>
        <w:rPr>
          <w:rFonts w:hint="eastAsia" w:hAnsi="宋体" w:cs="宋体"/>
          <w:szCs w:val="24"/>
          <w:lang w:val="en-US" w:eastAsia="zh-CN" w:bidi="ar-SA"/>
        </w:rPr>
        <w:t>服务；</w:t>
      </w:r>
    </w:p>
    <w:p>
      <w:pPr>
        <w:pStyle w:val="110"/>
        <w:numPr>
          <w:ilvl w:val="1"/>
          <w:numId w:val="40"/>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提供“上门检验检测”“现场快检”</w:t>
      </w:r>
      <w:r>
        <w:rPr>
          <w:rFonts w:hint="eastAsia" w:ascii="宋体" w:hAnsi="宋体" w:eastAsia="宋体" w:cs="宋体"/>
          <w:szCs w:val="24"/>
          <w:lang w:val="en-US" w:eastAsia="zh-CN"/>
        </w:rPr>
        <w:t>等灵活服务模式，满足客户多样化场景需求。</w:t>
      </w:r>
    </w:p>
    <w:p>
      <w:pPr>
        <w:pStyle w:val="66"/>
        <w:bidi w:val="0"/>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无形要素</w:t>
      </w:r>
      <w:bookmarkEnd w:id="74"/>
      <w:bookmarkEnd w:id="75"/>
    </w:p>
    <w:p>
      <w:pPr>
        <w:pStyle w:val="57"/>
        <w:bidi w:val="0"/>
        <w:rPr>
          <w:rFonts w:hint="eastAsia"/>
          <w:lang w:val="en-US" w:eastAsia="zh-CN"/>
        </w:rPr>
      </w:pPr>
      <w:r>
        <w:rPr>
          <w:rFonts w:hint="eastAsia"/>
          <w:lang w:val="en-US" w:eastAsia="zh-CN"/>
        </w:rPr>
        <w:t>无形要素的价值创造活动包括但不限于以下方面：</w:t>
      </w:r>
    </w:p>
    <w:p>
      <w:pPr>
        <w:pStyle w:val="175"/>
        <w:numPr>
          <w:ilvl w:val="0"/>
          <w:numId w:val="41"/>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基于历史积淀与专业传承，塑造机构品牌价值内涵，</w:t>
      </w:r>
      <w:r>
        <w:rPr>
          <w:rFonts w:hint="eastAsia" w:ascii="宋体" w:hAnsi="宋体" w:eastAsia="宋体" w:cs="宋体"/>
          <w:sz w:val="21"/>
          <w:lang w:val="en-US" w:eastAsia="zh-CN" w:bidi="ar-SA"/>
        </w:rPr>
        <w:t>其历史积淀</w:t>
      </w:r>
      <w:r>
        <w:rPr>
          <w:rFonts w:hint="eastAsia" w:hAnsi="宋体" w:cs="宋体"/>
          <w:sz w:val="21"/>
          <w:lang w:val="en-US" w:eastAsia="zh-CN" w:bidi="ar-SA"/>
        </w:rPr>
        <w:t>包括但不限于以下方面</w:t>
      </w:r>
      <w:r>
        <w:rPr>
          <w:rFonts w:hint="eastAsia" w:ascii="宋体" w:hAnsi="宋体" w:eastAsia="宋体" w:cs="宋体"/>
          <w:sz w:val="21"/>
          <w:lang w:val="en-US" w:eastAsia="zh-CN" w:bidi="ar-SA"/>
        </w:rPr>
        <w:t>：</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rPr>
        <w:t>长期持有CNAS、CMA等资质，并</w:t>
      </w:r>
      <w:r>
        <w:rPr>
          <w:rFonts w:hint="eastAsia" w:hAnsi="宋体" w:cs="宋体"/>
          <w:szCs w:val="24"/>
          <w:lang w:val="en-US" w:eastAsia="zh-CN"/>
        </w:rPr>
        <w:t>主导或</w:t>
      </w:r>
      <w:r>
        <w:rPr>
          <w:rFonts w:hint="eastAsia" w:ascii="宋体" w:hAnsi="宋体" w:eastAsia="宋体" w:cs="宋体"/>
          <w:szCs w:val="24"/>
          <w:lang w:val="en-US" w:eastAsia="zh-CN"/>
        </w:rPr>
        <w:t>参与国家</w:t>
      </w:r>
      <w:r>
        <w:rPr>
          <w:rFonts w:hint="eastAsia" w:hAnsi="宋体" w:cs="宋体"/>
          <w:szCs w:val="24"/>
          <w:lang w:val="en-US" w:eastAsia="zh-CN"/>
        </w:rPr>
        <w:t>、</w:t>
      </w:r>
      <w:r>
        <w:rPr>
          <w:rFonts w:hint="eastAsia" w:ascii="宋体" w:hAnsi="宋体" w:eastAsia="宋体" w:cs="宋体"/>
          <w:szCs w:val="24"/>
          <w:lang w:val="en-US" w:eastAsia="zh-CN"/>
        </w:rPr>
        <w:t>行业标准的制修订工作</w:t>
      </w:r>
      <w:r>
        <w:rPr>
          <w:rFonts w:hint="eastAsia" w:ascii="宋体" w:hAnsi="宋体" w:eastAsia="宋体" w:cs="宋体"/>
          <w:szCs w:val="24"/>
          <w:lang w:val="en-US" w:eastAsia="zh-CN" w:bidi="ar-SA"/>
        </w:rPr>
        <w:t>；</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沉淀技术经验</w:t>
      </w:r>
      <w:r>
        <w:rPr>
          <w:rFonts w:hint="eastAsia" w:hAnsi="宋体" w:cs="宋体"/>
          <w:szCs w:val="24"/>
          <w:lang w:val="en-US" w:eastAsia="zh-CN" w:bidi="ar-SA"/>
        </w:rPr>
        <w:t>，</w:t>
      </w:r>
      <w:r>
        <w:rPr>
          <w:rFonts w:hint="eastAsia" w:ascii="宋体" w:hAnsi="宋体" w:eastAsia="宋体" w:cs="宋体"/>
          <w:szCs w:val="24"/>
          <w:lang w:val="en-US" w:eastAsia="zh-CN" w:bidi="ar-SA"/>
        </w:rPr>
        <w:t>积累并形成独具特色的技术解决方案库，形成差异化竞争优势；</w:t>
      </w:r>
    </w:p>
    <w:p>
      <w:pPr>
        <w:pStyle w:val="110"/>
        <w:numPr>
          <w:ilvl w:val="1"/>
          <w:numId w:val="41"/>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确立以“科学、公正、准确、高效”为核心的质量方针，将其全面融入检验检测全过程，确保持续、稳定的高质量服务输出</w:t>
      </w:r>
      <w:r>
        <w:rPr>
          <w:rFonts w:hint="eastAsia" w:ascii="宋体" w:hAnsi="宋体" w:eastAsia="宋体" w:cs="宋体"/>
          <w:szCs w:val="24"/>
          <w:lang w:val="en-US" w:eastAsia="zh-CN"/>
        </w:rPr>
        <w:t>。</w:t>
      </w:r>
    </w:p>
    <w:p>
      <w:pPr>
        <w:pStyle w:val="175"/>
        <w:numPr>
          <w:ilvl w:val="0"/>
          <w:numId w:val="41"/>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强化知识产权布局，守护技术创新成果，</w:t>
      </w:r>
      <w:r>
        <w:rPr>
          <w:rFonts w:hint="eastAsia" w:hAnsi="宋体" w:cs="宋体"/>
          <w:sz w:val="21"/>
          <w:lang w:val="en-US" w:eastAsia="zh-CN" w:bidi="ar-SA"/>
        </w:rPr>
        <w:t>机构</w:t>
      </w:r>
      <w:r>
        <w:rPr>
          <w:rFonts w:hint="eastAsia" w:ascii="宋体" w:hAnsi="宋体" w:eastAsia="宋体" w:cs="宋体"/>
          <w:sz w:val="21"/>
          <w:lang w:val="en-US" w:eastAsia="zh-CN" w:bidi="ar-SA"/>
        </w:rPr>
        <w:t>的知识产权保护聚焦于技术能力与方法创新，具体如下：</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针对新兴领域开发专属检验检测方法，申请发明专利或实用新型专利；</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自主研发的智能化检验检测系统、检验检测数据库纳入知识产权管理体系；</w:t>
      </w:r>
    </w:p>
    <w:p>
      <w:pPr>
        <w:pStyle w:val="110"/>
        <w:numPr>
          <w:ilvl w:val="1"/>
          <w:numId w:val="41"/>
        </w:numPr>
        <w:bidi w:val="0"/>
        <w:rPr>
          <w:rFonts w:hint="eastAsia" w:ascii="宋体" w:hAnsi="宋体" w:eastAsia="宋体" w:cs="宋体"/>
          <w:szCs w:val="24"/>
          <w:lang w:val="en-US" w:eastAsia="zh-CN"/>
        </w:rPr>
      </w:pPr>
      <w:r>
        <w:rPr>
          <w:rFonts w:hint="eastAsia" w:hAnsi="宋体" w:cs="宋体"/>
          <w:sz w:val="21"/>
          <w:szCs w:val="24"/>
          <w:lang w:val="en-US" w:eastAsia="zh-CN" w:bidi="ar-SA"/>
        </w:rPr>
        <w:t>对</w:t>
      </w:r>
      <w:r>
        <w:rPr>
          <w:rFonts w:hint="eastAsia" w:ascii="宋体" w:hAnsi="宋体" w:eastAsia="宋体" w:cs="宋体"/>
          <w:sz w:val="21"/>
          <w:szCs w:val="24"/>
          <w:lang w:val="en-US" w:eastAsia="zh-CN" w:bidi="ar-SA"/>
        </w:rPr>
        <w:t>引进技术</w:t>
      </w:r>
      <w:r>
        <w:rPr>
          <w:rFonts w:hint="eastAsia" w:hAnsi="宋体" w:cs="宋体"/>
          <w:sz w:val="21"/>
          <w:szCs w:val="24"/>
          <w:lang w:val="en-US" w:eastAsia="zh-CN" w:bidi="ar-SA"/>
        </w:rPr>
        <w:t>开展</w:t>
      </w:r>
      <w:r>
        <w:rPr>
          <w:rFonts w:hint="eastAsia" w:ascii="宋体" w:hAnsi="宋体" w:eastAsia="宋体" w:cs="宋体"/>
          <w:sz w:val="21"/>
          <w:szCs w:val="24"/>
          <w:lang w:val="en-US" w:eastAsia="zh-CN" w:bidi="ar-SA"/>
        </w:rPr>
        <w:t>本土化改良，针对改良所形成的核心技术，以技术秘密等形式对进行保护，确保技术优势</w:t>
      </w:r>
      <w:r>
        <w:rPr>
          <w:rFonts w:hint="eastAsia" w:ascii="宋体" w:hAnsi="宋体" w:eastAsia="宋体" w:cs="宋体"/>
          <w:szCs w:val="24"/>
          <w:lang w:val="en-US" w:eastAsia="zh-CN"/>
        </w:rPr>
        <w:t>。</w:t>
      </w:r>
    </w:p>
    <w:p>
      <w:pPr>
        <w:pStyle w:val="175"/>
        <w:numPr>
          <w:ilvl w:val="0"/>
          <w:numId w:val="41"/>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构建多维品牌传播体系，传递专业价值主张，</w:t>
      </w:r>
      <w:r>
        <w:rPr>
          <w:rFonts w:hint="eastAsia" w:ascii="宋体" w:hAnsi="宋体" w:eastAsia="宋体" w:cs="宋体"/>
          <w:sz w:val="21"/>
          <w:lang w:val="en-US" w:eastAsia="zh-CN" w:bidi="ar-SA"/>
        </w:rPr>
        <w:t>具体如下：</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通过在国际国内学术期刊发表论文、主办或参与高层次学术会议、定期发布行业研究报告等举措，系统提升机构的学术影响力与专业声誉；</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通过服务国家级重点项目的成果公示，展现应急响应能力与技术精度；</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开放实验室参观</w:t>
      </w:r>
      <w:r>
        <w:rPr>
          <w:rFonts w:hint="eastAsia" w:hAnsi="宋体" w:cs="宋体"/>
          <w:szCs w:val="24"/>
          <w:lang w:val="en-US" w:eastAsia="zh-CN" w:bidi="ar-SA"/>
        </w:rPr>
        <w:t>，</w:t>
      </w:r>
      <w:r>
        <w:rPr>
          <w:rFonts w:hint="eastAsia" w:ascii="宋体" w:hAnsi="宋体" w:eastAsia="宋体" w:cs="宋体"/>
          <w:szCs w:val="24"/>
          <w:lang w:val="en-US" w:eastAsia="zh-CN" w:bidi="ar-SA"/>
        </w:rPr>
        <w:t>举办“检验检测开放日”活动，普及检验检测知识</w:t>
      </w:r>
      <w:r>
        <w:rPr>
          <w:rFonts w:hint="eastAsia" w:hAnsi="宋体" w:cs="宋体"/>
          <w:szCs w:val="24"/>
          <w:lang w:val="en-US" w:eastAsia="zh-CN" w:bidi="ar-SA"/>
        </w:rPr>
        <w:t>，</w:t>
      </w:r>
      <w:r>
        <w:rPr>
          <w:rFonts w:hint="eastAsia" w:ascii="宋体" w:hAnsi="宋体" w:eastAsia="宋体" w:cs="宋体"/>
          <w:szCs w:val="24"/>
          <w:lang w:val="en-US" w:eastAsia="zh-CN" w:bidi="ar-SA"/>
        </w:rPr>
        <w:t>向公众展示检验检测流程标准化与数据可追溯机制，降低客户信任成本；</w:t>
      </w:r>
    </w:p>
    <w:p>
      <w:pPr>
        <w:pStyle w:val="110"/>
        <w:numPr>
          <w:ilvl w:val="1"/>
          <w:numId w:val="41"/>
        </w:numPr>
        <w:bidi w:val="0"/>
        <w:rPr>
          <w:rFonts w:hint="eastAsia" w:ascii="宋体" w:hAnsi="宋体" w:eastAsia="宋体" w:cs="宋体"/>
          <w:szCs w:val="24"/>
          <w:lang w:val="en-US" w:eastAsia="zh-CN"/>
        </w:rPr>
      </w:pPr>
      <w:r>
        <w:rPr>
          <w:rFonts w:hint="eastAsia" w:ascii="宋体" w:hAnsi="宋体" w:eastAsia="宋体" w:cs="宋体"/>
          <w:szCs w:val="24"/>
          <w:lang w:val="en-US" w:eastAsia="zh-CN" w:bidi="ar-SA"/>
        </w:rPr>
        <w:t>通过</w:t>
      </w:r>
      <w:r>
        <w:rPr>
          <w:rFonts w:hint="eastAsia" w:hAnsi="宋体" w:cs="宋体"/>
          <w:szCs w:val="24"/>
          <w:lang w:val="en-US" w:eastAsia="zh-CN" w:bidi="ar-SA"/>
        </w:rPr>
        <w:t>机构</w:t>
      </w:r>
      <w:r>
        <w:rPr>
          <w:rFonts w:hint="eastAsia" w:ascii="宋体" w:hAnsi="宋体" w:eastAsia="宋体" w:cs="宋体"/>
          <w:szCs w:val="24"/>
          <w:lang w:val="en-US" w:eastAsia="zh-CN" w:bidi="ar-SA"/>
        </w:rPr>
        <w:t>官网、行业垂直媒体专栏，实时更新资质范围、检测项目参</w:t>
      </w:r>
      <w:r>
        <w:rPr>
          <w:rFonts w:hint="eastAsia" w:ascii="宋体" w:hAnsi="宋体" w:eastAsia="宋体" w:cs="宋体"/>
          <w:sz w:val="21"/>
          <w:szCs w:val="24"/>
          <w:lang w:val="en-US" w:eastAsia="zh-CN" w:bidi="ar-SA"/>
        </w:rPr>
        <w:t>数、</w:t>
      </w:r>
      <w:r>
        <w:rPr>
          <w:rFonts w:hint="eastAsia" w:ascii="宋体" w:hAnsi="宋体" w:eastAsia="宋体" w:cs="宋体"/>
          <w:szCs w:val="24"/>
          <w:lang w:val="en-US" w:eastAsia="zh-CN"/>
        </w:rPr>
        <w:t>典型客户案例，增强信息对称性</w:t>
      </w:r>
      <w:r>
        <w:rPr>
          <w:rFonts w:hint="eastAsia" w:hAnsi="宋体" w:cs="宋体"/>
          <w:szCs w:val="24"/>
          <w:lang w:val="en-US" w:eastAsia="zh-CN"/>
        </w:rPr>
        <w:t>；</w:t>
      </w:r>
    </w:p>
    <w:p>
      <w:pPr>
        <w:pStyle w:val="110"/>
        <w:numPr>
          <w:ilvl w:val="1"/>
          <w:numId w:val="41"/>
        </w:numPr>
        <w:bidi w:val="0"/>
        <w:rPr>
          <w:rFonts w:hint="eastAsia" w:ascii="宋体" w:hAnsi="宋体" w:eastAsia="宋体" w:cs="宋体"/>
          <w:szCs w:val="24"/>
          <w:lang w:val="en-US" w:eastAsia="zh-CN"/>
        </w:rPr>
      </w:pPr>
      <w:r>
        <w:rPr>
          <w:rFonts w:hint="eastAsia" w:ascii="宋体" w:hAnsi="宋体" w:eastAsia="宋体" w:cs="宋体"/>
          <w:szCs w:val="24"/>
          <w:lang w:val="en-US" w:eastAsia="zh-CN"/>
        </w:rPr>
        <w:t>利用短视频平台、专业社群等新媒体渠道，传播专业知识和品牌价值。</w:t>
      </w:r>
    </w:p>
    <w:p>
      <w:pPr>
        <w:pStyle w:val="175"/>
        <w:numPr>
          <w:ilvl w:val="0"/>
          <w:numId w:val="41"/>
        </w:numPr>
        <w:bidi w:val="0"/>
        <w:rPr>
          <w:rFonts w:hint="eastAsia" w:ascii="宋体" w:hAnsi="宋体" w:eastAsia="宋体" w:cs="宋体"/>
          <w:sz w:val="21"/>
          <w:lang w:val="en-US" w:eastAsia="zh-CN" w:bidi="ar-SA"/>
        </w:rPr>
      </w:pPr>
      <w:r>
        <w:rPr>
          <w:rFonts w:hint="eastAsia" w:ascii="宋体" w:hAnsi="宋体" w:eastAsia="宋体" w:cs="宋体"/>
          <w:sz w:val="21"/>
          <w:szCs w:val="21"/>
          <w:lang w:val="en-US" w:eastAsia="zh-CN" w:bidi="ar-SA"/>
        </w:rPr>
        <w:t>践行</w:t>
      </w:r>
      <w:r>
        <w:rPr>
          <w:rFonts w:hint="eastAsia" w:ascii="宋体" w:hAnsi="宋体" w:eastAsia="宋体" w:cs="宋体"/>
          <w:lang w:val="en-US" w:eastAsia="zh-CN"/>
        </w:rPr>
        <w:t>社会</w:t>
      </w:r>
      <w:r>
        <w:rPr>
          <w:rFonts w:hint="eastAsia" w:ascii="宋体" w:hAnsi="宋体" w:eastAsia="宋体" w:cs="宋体"/>
          <w:sz w:val="21"/>
          <w:szCs w:val="21"/>
          <w:lang w:val="en-US" w:eastAsia="zh-CN" w:bidi="ar-SA"/>
        </w:rPr>
        <w:t>责任，夯实品牌美誉度根基</w:t>
      </w:r>
      <w:r>
        <w:rPr>
          <w:rFonts w:hint="eastAsia" w:ascii="宋体" w:hAnsi="宋体" w:eastAsia="宋体" w:cs="宋体"/>
          <w:sz w:val="21"/>
          <w:lang w:val="en-US" w:eastAsia="zh-CN" w:bidi="ar-SA"/>
        </w:rPr>
        <w:t>，具体包括但不限于以下方面：</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杜绝虚假</w:t>
      </w:r>
      <w:r>
        <w:rPr>
          <w:rFonts w:hint="eastAsia" w:hAnsi="宋体" w:cs="宋体"/>
          <w:szCs w:val="24"/>
          <w:lang w:val="en-US" w:eastAsia="zh-CN" w:bidi="ar-SA"/>
        </w:rPr>
        <w:t>检验</w:t>
      </w:r>
      <w:r>
        <w:rPr>
          <w:rFonts w:hint="eastAsia" w:ascii="宋体" w:hAnsi="宋体" w:eastAsia="宋体" w:cs="宋体"/>
          <w:szCs w:val="24"/>
          <w:lang w:val="en-US" w:eastAsia="zh-CN" w:bidi="ar-SA"/>
        </w:rPr>
        <w:t>检测报告，建立内部合规审查机制，避免因数据造假损害行业生态；</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开展“消费品质量安全检测进社区”“中小检验检测机构免费检测帮扶”等活动，降低小微检验检测机构检测成本，履行社会责任；</w:t>
      </w:r>
    </w:p>
    <w:p>
      <w:pPr>
        <w:pStyle w:val="110"/>
        <w:numPr>
          <w:ilvl w:val="1"/>
          <w:numId w:val="41"/>
        </w:numPr>
        <w:bidi w:val="0"/>
        <w:rPr>
          <w:rFonts w:hint="eastAsia" w:ascii="宋体" w:hAnsi="宋体" w:eastAsia="宋体" w:cs="宋体"/>
          <w:szCs w:val="24"/>
          <w:lang w:val="en-US" w:eastAsia="zh-CN" w:bidi="ar-SA"/>
        </w:rPr>
      </w:pPr>
      <w:r>
        <w:rPr>
          <w:rFonts w:hint="eastAsia" w:ascii="宋体" w:hAnsi="宋体" w:eastAsia="宋体" w:cs="宋体"/>
          <w:szCs w:val="24"/>
          <w:lang w:val="en-US" w:eastAsia="zh-CN" w:bidi="ar-SA"/>
        </w:rPr>
        <w:t>在环境检测领域推动绿色制造标准研究，为高耗能检验检测机构提供碳足迹核算技术支持，助力“双碳”目标实现，提升品牌ESG（环境、社会、治理）价值；</w:t>
      </w:r>
    </w:p>
    <w:p>
      <w:pPr>
        <w:pStyle w:val="110"/>
        <w:numPr>
          <w:ilvl w:val="1"/>
          <w:numId w:val="41"/>
        </w:numPr>
        <w:bidi w:val="0"/>
        <w:rPr>
          <w:rFonts w:hint="eastAsia" w:ascii="宋体" w:hAnsi="宋体" w:eastAsia="宋体" w:cs="宋体"/>
          <w:szCs w:val="24"/>
          <w:lang w:val="en-US" w:eastAsia="zh-CN"/>
        </w:rPr>
      </w:pPr>
      <w:r>
        <w:rPr>
          <w:rFonts w:hint="eastAsia" w:ascii="宋体" w:hAnsi="宋体" w:eastAsia="宋体" w:cs="宋体"/>
          <w:szCs w:val="24"/>
          <w:lang w:val="en-US" w:eastAsia="zh-CN"/>
        </w:rPr>
        <w:t>建立突发公共事件检验检测应急预案，纳入政府应急物资检测指定机构，强化“社会公共服务者”角色认知。</w:t>
      </w:r>
    </w:p>
    <w:p>
      <w:pPr>
        <w:pStyle w:val="106"/>
        <w:bidi w:val="0"/>
        <w:rPr>
          <w:rFonts w:hint="eastAsia"/>
          <w:lang w:val="en-US" w:eastAsia="zh-CN"/>
        </w:rPr>
      </w:pPr>
      <w:bookmarkStart w:id="77" w:name="_Toc756"/>
      <w:r>
        <w:rPr>
          <w:rFonts w:hint="eastAsia"/>
          <w:lang w:val="en-US" w:eastAsia="zh-CN"/>
        </w:rPr>
        <w:t>品牌价值传递与维护</w:t>
      </w:r>
      <w:bookmarkEnd w:id="77"/>
    </w:p>
    <w:p>
      <w:pPr>
        <w:pStyle w:val="66"/>
        <w:bidi w:val="0"/>
        <w:rPr>
          <w:rFonts w:hint="eastAsia"/>
          <w:lang w:val="en-US" w:eastAsia="zh-CN"/>
        </w:rPr>
      </w:pPr>
      <w:bookmarkStart w:id="78" w:name="_Toc3786"/>
      <w:r>
        <w:rPr>
          <w:rFonts w:hint="eastAsia"/>
          <w:lang w:val="en-US" w:eastAsia="zh-CN"/>
        </w:rPr>
        <w:t>概述</w:t>
      </w:r>
      <w:bookmarkEnd w:id="78"/>
    </w:p>
    <w:p>
      <w:pPr>
        <w:bidi w:val="0"/>
        <w:adjustRightInd/>
        <w:spacing w:line="240" w:lineRule="auto"/>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机构通过识别、策划和管理品牌价值传递与维护过程，以保证品牌价值完整、准确地被客户及其他粗关方认知，并有效地保护和维护品牌价值。</w:t>
      </w:r>
    </w:p>
    <w:p>
      <w:pPr>
        <w:pStyle w:val="66"/>
        <w:bidi w:val="0"/>
        <w:rPr>
          <w:rFonts w:hint="eastAsia" w:ascii="黑体" w:hAnsi="黑体" w:eastAsia="黑体" w:cs="黑体"/>
          <w:sz w:val="21"/>
          <w:szCs w:val="21"/>
          <w:lang w:val="en-US" w:eastAsia="zh-CN" w:bidi="ar-SA"/>
        </w:rPr>
      </w:pPr>
      <w:bookmarkStart w:id="79" w:name="_Toc13250"/>
      <w:r>
        <w:rPr>
          <w:rFonts w:hint="eastAsia"/>
          <w:lang w:val="en-US" w:eastAsia="zh-CN"/>
        </w:rPr>
        <w:t>品牌</w:t>
      </w:r>
      <w:r>
        <w:rPr>
          <w:rFonts w:hint="eastAsia" w:ascii="黑体" w:hAnsi="黑体" w:eastAsia="黑体" w:cs="黑体"/>
          <w:sz w:val="21"/>
          <w:szCs w:val="21"/>
          <w:lang w:val="en-US" w:eastAsia="zh-CN" w:bidi="ar-SA"/>
        </w:rPr>
        <w:t>识别</w:t>
      </w:r>
      <w:bookmarkEnd w:id="79"/>
    </w:p>
    <w:p>
      <w:pPr>
        <w:pStyle w:val="57"/>
        <w:bidi w:val="0"/>
        <w:rPr>
          <w:rFonts w:hint="eastAsia"/>
          <w:lang w:val="en-US" w:eastAsia="zh-CN"/>
        </w:rPr>
      </w:pPr>
      <w:r>
        <w:rPr>
          <w:rFonts w:hint="eastAsia"/>
          <w:lang w:val="en-US" w:eastAsia="zh-CN"/>
        </w:rPr>
        <w:t>机构依据品牌定位、品牌核心价值、客户及其他相关方的需求和期望开展品牌设计，确定品牌识别体系。品牌识别体系宜体现品牌的有形特性和无形特性，品牌识别体系可体现但不限于以下信息:</w:t>
      </w:r>
    </w:p>
    <w:p>
      <w:pPr>
        <w:numPr>
          <w:ilvl w:val="0"/>
          <w:numId w:val="42"/>
        </w:numPr>
        <w:tabs>
          <w:tab w:val="left" w:pos="840"/>
        </w:tabs>
        <w:bidi w:val="0"/>
        <w:adjustRightInd/>
        <w:spacing w:line="240" w:lineRule="auto"/>
        <w:ind w:left="839" w:leftChars="0" w:hanging="419" w:firstLineChars="0"/>
        <w:jc w:val="both"/>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与项目开发相关的：检验检测技术研发、方法创新及项目规划等；</w:t>
      </w:r>
    </w:p>
    <w:p>
      <w:pPr>
        <w:numPr>
          <w:ilvl w:val="0"/>
          <w:numId w:val="42"/>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Times New Roman" w:hAnsi="Times New Roman" w:cs="Times New Roman"/>
          <w:szCs w:val="24"/>
          <w:lang w:val="en-US" w:eastAsia="zh-CN"/>
        </w:rPr>
        <w:t>与采购和合</w:t>
      </w:r>
      <w:r>
        <w:rPr>
          <w:rFonts w:hint="eastAsia" w:ascii="宋体" w:hAnsi="宋体" w:eastAsia="宋体" w:cs="宋体"/>
          <w:sz w:val="21"/>
          <w:szCs w:val="24"/>
          <w:lang w:val="en-US" w:eastAsia="zh-CN" w:bidi="ar-SA"/>
        </w:rPr>
        <w:t>作相关的：检测设备、试剂耗材的采购标准及合作方的筛选机制等；</w:t>
      </w:r>
    </w:p>
    <w:p>
      <w:pPr>
        <w:numPr>
          <w:ilvl w:val="0"/>
          <w:numId w:val="42"/>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与检验检测项目实施有关的：设备运行稳定性、</w:t>
      </w:r>
      <w:r>
        <w:rPr>
          <w:rFonts w:hint="eastAsia" w:ascii="宋体" w:hAnsi="宋体" w:cs="宋体"/>
          <w:sz w:val="21"/>
          <w:szCs w:val="24"/>
          <w:lang w:val="en-US" w:eastAsia="zh-CN" w:bidi="ar-SA"/>
        </w:rPr>
        <w:t>检验</w:t>
      </w:r>
      <w:r>
        <w:rPr>
          <w:rFonts w:hint="eastAsia" w:ascii="宋体" w:hAnsi="宋体" w:eastAsia="宋体" w:cs="宋体"/>
          <w:sz w:val="21"/>
          <w:szCs w:val="24"/>
          <w:lang w:val="en-US" w:eastAsia="zh-CN" w:bidi="ar-SA"/>
        </w:rPr>
        <w:t>检测环境合规性、数据处理准确性、人员操作规范性等；</w:t>
      </w:r>
    </w:p>
    <w:p>
      <w:pPr>
        <w:numPr>
          <w:ilvl w:val="0"/>
          <w:numId w:val="42"/>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与客户服务相关的：效率、质量稳定性与可靠性等；</w:t>
      </w:r>
    </w:p>
    <w:p>
      <w:pPr>
        <w:numPr>
          <w:ilvl w:val="0"/>
          <w:numId w:val="42"/>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与营销相关的：品牌名称、品牌标识、价格、品牌个性等；</w:t>
      </w:r>
    </w:p>
    <w:p>
      <w:pPr>
        <w:numPr>
          <w:ilvl w:val="0"/>
          <w:numId w:val="42"/>
        </w:numPr>
        <w:tabs>
          <w:tab w:val="left" w:pos="840"/>
        </w:tabs>
        <w:bidi w:val="0"/>
        <w:adjustRightInd/>
        <w:spacing w:line="240" w:lineRule="auto"/>
        <w:ind w:left="839" w:leftChars="0" w:hanging="419" w:firstLineChars="0"/>
        <w:jc w:val="both"/>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与交付相关的：报告出具周期、数据交付形式（纸质</w:t>
      </w:r>
      <w:r>
        <w:rPr>
          <w:rFonts w:hint="eastAsia" w:ascii="宋体" w:hAnsi="宋体" w:cs="宋体"/>
          <w:sz w:val="21"/>
          <w:szCs w:val="24"/>
          <w:lang w:val="en-US" w:eastAsia="zh-CN" w:bidi="ar-SA"/>
        </w:rPr>
        <w:t>或</w:t>
      </w:r>
      <w:r>
        <w:rPr>
          <w:rFonts w:hint="eastAsia" w:ascii="宋体" w:hAnsi="宋体" w:eastAsia="宋体" w:cs="宋体"/>
          <w:sz w:val="21"/>
          <w:szCs w:val="24"/>
          <w:lang w:val="en-US" w:eastAsia="zh-CN" w:bidi="ar-SA"/>
        </w:rPr>
        <w:t>电子）、报告格式标准化程度、交付渠道便捷性等；</w:t>
      </w:r>
    </w:p>
    <w:p>
      <w:pPr>
        <w:numPr>
          <w:ilvl w:val="0"/>
          <w:numId w:val="42"/>
        </w:numPr>
        <w:tabs>
          <w:tab w:val="left" w:pos="840"/>
        </w:tabs>
        <w:bidi w:val="0"/>
        <w:adjustRightInd/>
        <w:spacing w:line="240" w:lineRule="auto"/>
        <w:ind w:left="839" w:leftChars="0" w:hanging="419" w:firstLineChars="0"/>
        <w:jc w:val="both"/>
        <w:rPr>
          <w:rFonts w:hint="eastAsia" w:ascii="Times New Roman" w:hAnsi="Times New Roman" w:cs="Times New Roman"/>
          <w:szCs w:val="24"/>
          <w:lang w:val="en-US" w:eastAsia="zh-CN"/>
        </w:rPr>
      </w:pPr>
      <w:r>
        <w:rPr>
          <w:rFonts w:hint="eastAsia" w:ascii="宋体" w:hAnsi="宋体" w:eastAsia="宋体" w:cs="宋体"/>
          <w:sz w:val="21"/>
          <w:szCs w:val="24"/>
          <w:lang w:val="en-US" w:eastAsia="zh-CN" w:bidi="ar-SA"/>
        </w:rPr>
        <w:t>与售后支持</w:t>
      </w:r>
      <w:r>
        <w:rPr>
          <w:rFonts w:hint="eastAsia" w:ascii="Times New Roman" w:hAnsi="Times New Roman" w:cs="Times New Roman"/>
          <w:szCs w:val="24"/>
          <w:lang w:val="en-US" w:eastAsia="zh-CN"/>
        </w:rPr>
        <w:t>相关的：检验检测报告答疑、异议处理流程、客户投诉响应机制、后续技术支持等。</w:t>
      </w:r>
    </w:p>
    <w:p>
      <w:pPr>
        <w:pStyle w:val="66"/>
        <w:bidi w:val="0"/>
        <w:rPr>
          <w:rFonts w:hint="eastAsia" w:ascii="黑体" w:hAnsi="黑体" w:eastAsia="黑体" w:cs="黑体"/>
          <w:sz w:val="21"/>
          <w:szCs w:val="21"/>
          <w:lang w:val="en-US" w:eastAsia="zh-CN" w:bidi="ar-SA"/>
        </w:rPr>
      </w:pPr>
      <w:bookmarkStart w:id="80" w:name="_Toc30046"/>
      <w:r>
        <w:rPr>
          <w:rFonts w:hint="eastAsia"/>
          <w:lang w:val="en-US" w:eastAsia="zh-CN"/>
        </w:rPr>
        <w:t>品牌</w:t>
      </w:r>
      <w:r>
        <w:rPr>
          <w:rFonts w:hint="eastAsia" w:ascii="黑体" w:hAnsi="黑体" w:eastAsia="黑体" w:cs="黑体"/>
          <w:sz w:val="21"/>
          <w:szCs w:val="21"/>
          <w:lang w:val="en-US" w:eastAsia="zh-CN" w:bidi="ar-SA"/>
        </w:rPr>
        <w:t>传播</w:t>
      </w:r>
      <w:bookmarkEnd w:id="80"/>
    </w:p>
    <w:p>
      <w:pPr>
        <w:pStyle w:val="165"/>
        <w:bidi w:val="0"/>
        <w:rPr>
          <w:rFonts w:hint="eastAsia"/>
          <w:lang w:val="en-US" w:eastAsia="zh-CN"/>
        </w:rPr>
      </w:pPr>
      <w:r>
        <w:rPr>
          <w:rFonts w:hint="eastAsia" w:hAnsi="宋体" w:cs="宋体"/>
          <w:szCs w:val="21"/>
          <w:lang w:val="en-US" w:eastAsia="zh-CN" w:bidi="ar-SA"/>
        </w:rPr>
        <w:t>机构</w:t>
      </w:r>
      <w:r>
        <w:rPr>
          <w:rFonts w:hint="eastAsia"/>
          <w:lang w:val="en-US" w:eastAsia="zh-CN"/>
        </w:rPr>
        <w:t>通过选择适当的品牌传播方式，有效地传达品牌形象和品牌核心价值。</w:t>
      </w:r>
    </w:p>
    <w:p>
      <w:pPr>
        <w:pStyle w:val="165"/>
        <w:bidi w:val="0"/>
        <w:rPr>
          <w:rFonts w:hint="eastAsia"/>
          <w:lang w:val="en-US" w:eastAsia="zh-CN"/>
        </w:rPr>
      </w:pPr>
      <w:r>
        <w:rPr>
          <w:rFonts w:hint="eastAsia"/>
          <w:lang w:val="en-US" w:eastAsia="zh-CN"/>
        </w:rPr>
        <w:t>品牌传播的方式宜适合客户及其他相关方获取相关信息。传播的内容真实反映机构可以履行的承诺，并在发布前由授权人员审批。</w:t>
      </w:r>
    </w:p>
    <w:p>
      <w:pPr>
        <w:pStyle w:val="165"/>
        <w:bidi w:val="0"/>
        <w:rPr>
          <w:rFonts w:hint="eastAsia" w:ascii="宋体" w:hAnsi="宋体" w:eastAsia="宋体" w:cs="宋体"/>
          <w:szCs w:val="21"/>
          <w:lang w:val="en-US" w:eastAsia="zh-CN" w:bidi="ar-SA"/>
        </w:rPr>
      </w:pPr>
      <w:r>
        <w:rPr>
          <w:rFonts w:hint="eastAsia"/>
          <w:lang w:val="en-US" w:eastAsia="zh-CN"/>
        </w:rPr>
        <w:t>机构</w:t>
      </w:r>
      <w:r>
        <w:rPr>
          <w:rFonts w:hint="eastAsia" w:ascii="宋体" w:hAnsi="宋体" w:eastAsia="宋体" w:cs="宋体"/>
          <w:szCs w:val="21"/>
          <w:lang w:val="en-US" w:eastAsia="zh-CN" w:bidi="ar-SA"/>
        </w:rPr>
        <w:t>宜对传播效果进行评价，并对传播方式进行改进与创新。</w:t>
      </w:r>
    </w:p>
    <w:p>
      <w:pPr>
        <w:pStyle w:val="66"/>
        <w:bidi w:val="0"/>
        <w:rPr>
          <w:rFonts w:hint="eastAsia" w:ascii="黑体" w:hAnsi="黑体" w:eastAsia="黑体" w:cs="黑体"/>
          <w:sz w:val="21"/>
          <w:szCs w:val="21"/>
          <w:lang w:val="en-US" w:eastAsia="zh-CN" w:bidi="ar-SA"/>
        </w:rPr>
      </w:pPr>
      <w:bookmarkStart w:id="81" w:name="_Toc16691"/>
      <w:r>
        <w:rPr>
          <w:rFonts w:hint="eastAsia" w:ascii="黑体" w:hAnsi="黑体" w:eastAsia="黑体" w:cs="黑体"/>
          <w:sz w:val="21"/>
          <w:szCs w:val="21"/>
          <w:lang w:val="en-US" w:eastAsia="zh-CN" w:bidi="ar-SA"/>
        </w:rPr>
        <w:t>品牌保护</w:t>
      </w:r>
      <w:bookmarkEnd w:id="81"/>
    </w:p>
    <w:p>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cs="Times New Roman"/>
          <w:sz w:val="21"/>
          <w:lang w:val="en-US" w:eastAsia="zh-CN" w:bidi="ar-SA"/>
        </w:rPr>
        <w:t>机构</w:t>
      </w:r>
      <w:r>
        <w:rPr>
          <w:rFonts w:hint="eastAsia" w:ascii="宋体" w:hAnsi="Times New Roman" w:eastAsia="宋体" w:cs="Times New Roman"/>
          <w:sz w:val="21"/>
          <w:lang w:val="en-US" w:eastAsia="zh-CN" w:bidi="ar-SA"/>
        </w:rPr>
        <w:t>宜确保品牌资产的识别、使用、保护和处置处于受控状态。品牌资产保护过程可包括但不限于以下内容:</w:t>
      </w:r>
    </w:p>
    <w:p>
      <w:pPr>
        <w:numPr>
          <w:ilvl w:val="0"/>
          <w:numId w:val="43"/>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评估品牌资产保护状态</w:t>
      </w:r>
      <w:r>
        <w:rPr>
          <w:rFonts w:hint="eastAsia" w:ascii="Times New Roman" w:hAnsi="Times New Roman" w:cs="Times New Roman"/>
          <w:szCs w:val="24"/>
          <w:lang w:val="en-US" w:eastAsia="zh-CN"/>
        </w:rPr>
        <w:t>，</w:t>
      </w:r>
      <w:r>
        <w:rPr>
          <w:rFonts w:hint="eastAsia" w:ascii="Times New Roman" w:hAnsi="Times New Roman" w:eastAsia="宋体" w:cs="Times New Roman"/>
          <w:szCs w:val="24"/>
          <w:lang w:val="en-US" w:eastAsia="zh-CN"/>
        </w:rPr>
        <w:t>系统梳理品牌资产构成、保护措施有效性及潜在风险（如资质、标识、技术、数据等资产的保护现状与侵权隐患），量化品牌价值受损风险等级；</w:t>
      </w:r>
    </w:p>
    <w:p>
      <w:pPr>
        <w:numPr>
          <w:ilvl w:val="0"/>
          <w:numId w:val="43"/>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针对品牌资产面临的风险制定应急预案</w:t>
      </w:r>
      <w:r>
        <w:rPr>
          <w:rFonts w:hint="eastAsia" w:ascii="Times New Roman" w:hAnsi="Times New Roman" w:cs="Times New Roman"/>
          <w:szCs w:val="24"/>
          <w:lang w:val="en-US" w:eastAsia="zh-CN"/>
        </w:rPr>
        <w:t>，</w:t>
      </w:r>
      <w:r>
        <w:rPr>
          <w:rFonts w:hint="eastAsia" w:ascii="Times New Roman" w:hAnsi="Times New Roman" w:eastAsia="宋体" w:cs="Times New Roman"/>
          <w:szCs w:val="24"/>
          <w:lang w:val="en-US" w:eastAsia="zh-CN"/>
        </w:rPr>
        <w:t>针对品牌资产面临的法律、技术、舆情、合规等风险，分类分级制定快速响应流程、资源储备方案及动态演练机制，明确责任分工与处置步骤；</w:t>
      </w:r>
    </w:p>
    <w:p>
      <w:pPr>
        <w:numPr>
          <w:ilvl w:val="0"/>
          <w:numId w:val="43"/>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处理侵害品牌资产权益的事件</w:t>
      </w:r>
      <w:r>
        <w:rPr>
          <w:rFonts w:hint="eastAsia" w:ascii="Times New Roman" w:hAnsi="Times New Roman" w:cs="Times New Roman"/>
          <w:szCs w:val="24"/>
          <w:lang w:val="en-US" w:eastAsia="zh-CN"/>
        </w:rPr>
        <w:t>，</w:t>
      </w:r>
      <w:r>
        <w:rPr>
          <w:rFonts w:hint="eastAsia" w:ascii="Times New Roman" w:hAnsi="Times New Roman" w:eastAsia="宋体" w:cs="Times New Roman"/>
          <w:szCs w:val="24"/>
          <w:lang w:val="en-US" w:eastAsia="zh-CN"/>
        </w:rPr>
        <w:t>通过监测识别侵权行为并完成证据固定，依风险等级采取分级处置措施，同步修复品牌信誉并完善内控漏洞；</w:t>
      </w:r>
    </w:p>
    <w:p>
      <w:pPr>
        <w:numPr>
          <w:ilvl w:val="0"/>
          <w:numId w:val="43"/>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沟通品牌资产保护事宜</w:t>
      </w:r>
      <w:r>
        <w:rPr>
          <w:rFonts w:hint="eastAsia" w:ascii="Times New Roman" w:hAnsi="Times New Roman" w:cs="Times New Roman"/>
          <w:szCs w:val="24"/>
          <w:lang w:val="en-US" w:eastAsia="zh-CN"/>
        </w:rPr>
        <w:t>，</w:t>
      </w:r>
      <w:r>
        <w:rPr>
          <w:rFonts w:hint="eastAsia" w:ascii="Times New Roman" w:hAnsi="Times New Roman" w:eastAsia="宋体" w:cs="Times New Roman"/>
          <w:szCs w:val="24"/>
          <w:lang w:val="en-US" w:eastAsia="zh-CN"/>
        </w:rPr>
        <w:t>建立跨部门协作与全员培训机制强化内部共识，同时向监管机构、合作伙伴、客户及公众公开保护措施、进展及成果，确保信息对称与信任维护；</w:t>
      </w:r>
    </w:p>
    <w:p>
      <w:pPr>
        <w:numPr>
          <w:ilvl w:val="0"/>
          <w:numId w:val="43"/>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制定和完善品牌资产保护措施</w:t>
      </w:r>
      <w:r>
        <w:rPr>
          <w:rFonts w:hint="eastAsia" w:ascii="Times New Roman" w:hAnsi="Times New Roman" w:cs="Times New Roman"/>
          <w:szCs w:val="24"/>
          <w:lang w:val="en-US" w:eastAsia="zh-CN"/>
        </w:rPr>
        <w:t>，</w:t>
      </w:r>
      <w:r>
        <w:rPr>
          <w:rFonts w:hint="eastAsia" w:ascii="Times New Roman" w:hAnsi="Times New Roman" w:eastAsia="宋体" w:cs="Times New Roman"/>
          <w:szCs w:val="24"/>
          <w:lang w:val="en-US" w:eastAsia="zh-CN"/>
        </w:rPr>
        <w:t>将品牌保护纳入管理体系，通过制度建设、技术防护（如专利申请、数据加密）及动态优化（结合法规更新、案例经验），形成长效可控的品牌资产保护机制。</w:t>
      </w:r>
    </w:p>
    <w:p>
      <w:pPr>
        <w:pStyle w:val="66"/>
        <w:bidi w:val="0"/>
        <w:rPr>
          <w:rFonts w:hint="eastAsia" w:ascii="黑体" w:hAnsi="黑体" w:eastAsia="黑体" w:cs="黑体"/>
          <w:sz w:val="21"/>
          <w:szCs w:val="21"/>
          <w:lang w:val="en-US" w:eastAsia="zh-CN" w:bidi="ar-SA"/>
        </w:rPr>
      </w:pPr>
      <w:bookmarkStart w:id="82" w:name="_Toc1324"/>
      <w:r>
        <w:rPr>
          <w:rFonts w:hint="eastAsia" w:ascii="黑体" w:hAnsi="黑体" w:eastAsia="黑体" w:cs="黑体"/>
          <w:sz w:val="21"/>
          <w:szCs w:val="21"/>
          <w:lang w:val="en-US" w:eastAsia="zh-CN" w:bidi="ar-SA"/>
        </w:rPr>
        <w:t>品牌更新和品牌延伸</w:t>
      </w:r>
      <w:bookmarkEnd w:id="82"/>
    </w:p>
    <w:p>
      <w:pPr>
        <w:pStyle w:val="165"/>
        <w:bidi w:val="0"/>
        <w:rPr>
          <w:rFonts w:hint="eastAsia"/>
          <w:lang w:val="en-US" w:eastAsia="zh-CN"/>
        </w:rPr>
      </w:pPr>
      <w:r>
        <w:rPr>
          <w:rFonts w:hint="eastAsia" w:hAnsi="宋体" w:cs="宋体"/>
          <w:szCs w:val="21"/>
          <w:lang w:val="en-US" w:eastAsia="zh-CN" w:bidi="ar-SA"/>
        </w:rPr>
        <w:t>机构</w:t>
      </w:r>
      <w:r>
        <w:rPr>
          <w:rFonts w:hint="eastAsia"/>
          <w:lang w:val="en-US" w:eastAsia="zh-CN"/>
        </w:rPr>
        <w:t>在内外部环境发生变化时，宜评估品牌更新或品牌延伸的可行性，做出决策并制定行动方案。</w:t>
      </w:r>
    </w:p>
    <w:p>
      <w:pPr>
        <w:pStyle w:val="165"/>
        <w:bidi w:val="0"/>
        <w:rPr>
          <w:rFonts w:hint="eastAsia"/>
          <w:lang w:val="en-US" w:eastAsia="zh-CN"/>
        </w:rPr>
      </w:pPr>
      <w:r>
        <w:rPr>
          <w:rFonts w:hint="eastAsia"/>
          <w:lang w:val="en-US" w:eastAsia="zh-CN"/>
        </w:rPr>
        <w:t>品牌更新和品牌延伸宜与品牌战略保持一致。需要时，机构可对品牌战略进行评审和调整。</w:t>
      </w:r>
    </w:p>
    <w:p>
      <w:pPr>
        <w:pStyle w:val="165"/>
        <w:bidi w:val="0"/>
        <w:rPr>
          <w:rFonts w:hint="eastAsia" w:ascii="宋体" w:hAnsi="宋体" w:eastAsia="宋体" w:cs="宋体"/>
          <w:szCs w:val="21"/>
          <w:lang w:val="en-US" w:eastAsia="zh-CN" w:bidi="ar-SA"/>
        </w:rPr>
      </w:pPr>
      <w:r>
        <w:rPr>
          <w:rFonts w:hint="eastAsia"/>
          <w:lang w:val="en-US" w:eastAsia="zh-CN"/>
        </w:rPr>
        <w:t>实施品牌更</w:t>
      </w:r>
      <w:r>
        <w:rPr>
          <w:rFonts w:hint="eastAsia" w:ascii="宋体" w:hAnsi="宋体" w:eastAsia="宋体" w:cs="宋体"/>
          <w:szCs w:val="21"/>
          <w:lang w:val="en-US" w:eastAsia="zh-CN" w:bidi="ar-SA"/>
        </w:rPr>
        <w:t>新或品牌延伸时，</w:t>
      </w:r>
      <w:r>
        <w:rPr>
          <w:rFonts w:hint="eastAsia" w:hAnsi="宋体" w:cs="宋体"/>
          <w:szCs w:val="21"/>
          <w:lang w:val="en-US" w:eastAsia="zh-CN" w:bidi="ar-SA"/>
        </w:rPr>
        <w:t>机构</w:t>
      </w:r>
      <w:r>
        <w:rPr>
          <w:rFonts w:hint="eastAsia" w:ascii="宋体" w:hAnsi="宋体" w:eastAsia="宋体" w:cs="宋体"/>
          <w:szCs w:val="21"/>
          <w:lang w:val="en-US" w:eastAsia="zh-CN" w:bidi="ar-SA"/>
        </w:rPr>
        <w:t>保持履行对已有客户的承诺是至关重要的。</w:t>
      </w:r>
    </w:p>
    <w:p>
      <w:pPr>
        <w:pStyle w:val="105"/>
        <w:bidi w:val="0"/>
        <w:rPr>
          <w:rFonts w:hint="eastAsia"/>
          <w:lang w:val="en-US" w:eastAsia="zh-CN"/>
        </w:rPr>
      </w:pPr>
      <w:bookmarkStart w:id="83" w:name="_Toc30341"/>
      <w:r>
        <w:rPr>
          <w:rFonts w:hint="eastAsia"/>
          <w:lang w:val="en-US" w:eastAsia="zh-CN"/>
        </w:rPr>
        <w:t>品牌培育的测量评价</w:t>
      </w:r>
      <w:bookmarkEnd w:id="83"/>
    </w:p>
    <w:p>
      <w:pPr>
        <w:pStyle w:val="106"/>
        <w:bidi w:val="0"/>
        <w:rPr>
          <w:rFonts w:hint="eastAsia" w:ascii="黑体" w:hAnsi="黑体" w:eastAsia="黑体" w:cs="黑体"/>
          <w:sz w:val="21"/>
          <w:szCs w:val="21"/>
          <w:lang w:val="en-US" w:eastAsia="zh-CN" w:bidi="ar-SA"/>
        </w:rPr>
      </w:pPr>
      <w:bookmarkStart w:id="84" w:name="_Toc3997"/>
      <w:r>
        <w:rPr>
          <w:rFonts w:hint="eastAsia" w:ascii="黑体" w:hAnsi="黑体" w:eastAsia="黑体" w:cs="黑体"/>
          <w:sz w:val="21"/>
          <w:szCs w:val="21"/>
          <w:lang w:val="en-US" w:eastAsia="zh-CN" w:bidi="ar-SA"/>
        </w:rPr>
        <w:t>总则</w:t>
      </w:r>
      <w:bookmarkEnd w:id="84"/>
    </w:p>
    <w:p>
      <w:pPr>
        <w:pStyle w:val="166"/>
        <w:bidi w:val="0"/>
        <w:rPr>
          <w:rFonts w:hint="default"/>
          <w:lang w:val="en-US" w:eastAsia="zh-CN"/>
        </w:rPr>
      </w:pPr>
      <w:r>
        <w:rPr>
          <w:rFonts w:hint="eastAsia"/>
          <w:lang w:val="en-US" w:eastAsia="zh-CN"/>
        </w:rPr>
        <w:t>机构宜对品牌培育的过程及其结果进行测量评价，包括但不限于：</w:t>
      </w:r>
    </w:p>
    <w:p>
      <w:pPr>
        <w:numPr>
          <w:ilvl w:val="0"/>
          <w:numId w:val="44"/>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cs="Times New Roman"/>
          <w:szCs w:val="24"/>
          <w:lang w:val="en-US" w:eastAsia="zh-CN"/>
        </w:rPr>
        <w:t>品牌培育</w:t>
      </w:r>
      <w:r>
        <w:rPr>
          <w:rFonts w:hint="eastAsia" w:ascii="Times New Roman" w:hAnsi="Times New Roman" w:eastAsia="宋体" w:cs="Times New Roman"/>
          <w:szCs w:val="24"/>
          <w:lang w:val="en-US" w:eastAsia="zh-CN"/>
        </w:rPr>
        <w:t>过程及其实现预期目标的情况；</w:t>
      </w:r>
    </w:p>
    <w:p>
      <w:pPr>
        <w:numPr>
          <w:ilvl w:val="0"/>
          <w:numId w:val="44"/>
        </w:numPr>
        <w:tabs>
          <w:tab w:val="left" w:pos="840"/>
        </w:tabs>
        <w:bidi w:val="0"/>
        <w:adjustRightInd/>
        <w:spacing w:line="240" w:lineRule="auto"/>
        <w:ind w:left="839" w:leftChars="0" w:hanging="419" w:firstLineChars="0"/>
        <w:jc w:val="both"/>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品牌培育能力；</w:t>
      </w:r>
    </w:p>
    <w:p>
      <w:pPr>
        <w:numPr>
          <w:ilvl w:val="0"/>
          <w:numId w:val="44"/>
        </w:numPr>
        <w:tabs>
          <w:tab w:val="left" w:pos="840"/>
        </w:tabs>
        <w:bidi w:val="0"/>
        <w:adjustRightInd/>
        <w:spacing w:line="240" w:lineRule="auto"/>
        <w:ind w:left="839" w:leftChars="0" w:hanging="419" w:firstLineChars="0"/>
        <w:jc w:val="both"/>
        <w:rPr>
          <w:rFonts w:hint="eastAsia" w:ascii="Times New Roman" w:hAnsi="Times New Roman" w:cs="Times New Roman"/>
          <w:szCs w:val="24"/>
          <w:lang w:val="en-US" w:eastAsia="zh-CN"/>
        </w:rPr>
      </w:pPr>
      <w:r>
        <w:rPr>
          <w:rFonts w:hint="eastAsia" w:ascii="Times New Roman" w:hAnsi="Times New Roman" w:eastAsia="宋体" w:cs="Times New Roman"/>
          <w:szCs w:val="24"/>
          <w:lang w:val="en-US" w:eastAsia="zh-CN"/>
        </w:rPr>
        <w:t>品牌价值。</w:t>
      </w:r>
    </w:p>
    <w:p>
      <w:pPr>
        <w:pStyle w:val="166"/>
        <w:bidi w:val="0"/>
        <w:rPr>
          <w:rFonts w:hint="eastAsia"/>
          <w:lang w:val="en-US" w:eastAsia="zh-CN"/>
        </w:rPr>
      </w:pPr>
      <w:r>
        <w:rPr>
          <w:rFonts w:hint="eastAsia" w:ascii="宋体" w:hAnsi="宋体" w:eastAsia="宋体" w:cs="宋体"/>
          <w:szCs w:val="21"/>
          <w:lang w:val="en-US" w:eastAsia="zh-CN" w:bidi="ar-SA"/>
        </w:rPr>
        <w:t>需</w:t>
      </w:r>
      <w:r>
        <w:rPr>
          <w:rFonts w:hint="eastAsia"/>
          <w:lang w:val="en-US" w:eastAsia="zh-CN"/>
        </w:rPr>
        <w:t>要时，机构可确定适当的关键绩效指标，作为测量评价的重要依据。</w:t>
      </w:r>
    </w:p>
    <w:p>
      <w:pPr>
        <w:pStyle w:val="166"/>
        <w:bidi w:val="0"/>
        <w:rPr>
          <w:rFonts w:hint="eastAsia" w:ascii="宋体" w:hAnsi="宋体" w:eastAsia="宋体" w:cs="宋体"/>
          <w:szCs w:val="21"/>
          <w:lang w:val="en-US" w:eastAsia="zh-CN" w:bidi="ar-SA"/>
        </w:rPr>
      </w:pPr>
      <w:r>
        <w:rPr>
          <w:rFonts w:hint="eastAsia"/>
          <w:lang w:val="en-US" w:eastAsia="zh-CN"/>
        </w:rPr>
        <w:t>测量</w:t>
      </w:r>
      <w:r>
        <w:rPr>
          <w:rFonts w:hint="eastAsia" w:ascii="宋体" w:hAnsi="宋体" w:eastAsia="宋体" w:cs="宋体"/>
          <w:szCs w:val="21"/>
          <w:lang w:val="en-US" w:eastAsia="zh-CN" w:bidi="ar-SA"/>
        </w:rPr>
        <w:t>评价活动包括内部审核（</w:t>
      </w:r>
      <w:r>
        <w:rPr>
          <w:rFonts w:hint="eastAsia" w:hAnsi="宋体" w:cs="宋体"/>
          <w:szCs w:val="21"/>
          <w:lang w:val="en-US" w:eastAsia="zh-CN" w:bidi="ar-SA"/>
        </w:rPr>
        <w:t>内部审核</w:t>
      </w:r>
      <w:r>
        <w:rPr>
          <w:rFonts w:hint="eastAsia" w:ascii="宋体" w:hAnsi="宋体" w:eastAsia="宋体" w:cs="宋体"/>
          <w:szCs w:val="21"/>
          <w:lang w:val="en-US" w:eastAsia="zh-CN" w:bidi="ar-SA"/>
        </w:rPr>
        <w:t>指标体系参见附录A）、关键绩效指标评价、过程成熟度评价和品牌价值评价等形式。</w:t>
      </w:r>
    </w:p>
    <w:p>
      <w:pPr>
        <w:pStyle w:val="106"/>
        <w:bidi w:val="0"/>
        <w:rPr>
          <w:rFonts w:hint="eastAsia" w:ascii="黑体" w:hAnsi="黑体" w:eastAsia="黑体" w:cs="黑体"/>
          <w:sz w:val="21"/>
          <w:szCs w:val="21"/>
          <w:lang w:val="en-US" w:eastAsia="zh-CN" w:bidi="ar-SA"/>
        </w:rPr>
      </w:pPr>
      <w:bookmarkStart w:id="85" w:name="_Toc19998"/>
      <w:r>
        <w:rPr>
          <w:rFonts w:hint="eastAsia" w:ascii="黑体" w:hAnsi="黑体" w:eastAsia="黑体" w:cs="黑体"/>
          <w:sz w:val="21"/>
          <w:szCs w:val="21"/>
          <w:lang w:val="en-US" w:eastAsia="zh-CN" w:bidi="ar-SA"/>
        </w:rPr>
        <w:t>过程成熟度评价</w:t>
      </w:r>
      <w:bookmarkEnd w:id="85"/>
    </w:p>
    <w:p>
      <w:pPr>
        <w:pStyle w:val="57"/>
        <w:bidi w:val="0"/>
        <w:rPr>
          <w:rFonts w:hint="eastAsia"/>
          <w:lang w:val="en-US" w:eastAsia="zh-CN"/>
        </w:rPr>
      </w:pPr>
      <w:r>
        <w:rPr>
          <w:rFonts w:hint="eastAsia"/>
          <w:lang w:val="en-US" w:eastAsia="zh-CN"/>
        </w:rPr>
        <w:t>机构定期开展品牌培育过程成熟度评价，识别品牌培育过程中存在的问题，采取必要的改进措施，增强品牌培育能力。</w:t>
      </w:r>
    </w:p>
    <w:p>
      <w:pPr>
        <w:pStyle w:val="106"/>
        <w:bidi w:val="0"/>
        <w:rPr>
          <w:rFonts w:hint="eastAsia" w:ascii="黑体" w:hAnsi="黑体" w:eastAsia="黑体" w:cs="黑体"/>
          <w:sz w:val="21"/>
          <w:szCs w:val="21"/>
          <w:lang w:val="en-US" w:eastAsia="zh-CN" w:bidi="ar-SA"/>
        </w:rPr>
      </w:pPr>
      <w:bookmarkStart w:id="86" w:name="_Toc16817"/>
      <w:r>
        <w:rPr>
          <w:rFonts w:hint="eastAsia" w:ascii="黑体" w:hAnsi="黑体" w:eastAsia="黑体" w:cs="黑体"/>
          <w:sz w:val="21"/>
          <w:szCs w:val="21"/>
          <w:lang w:val="en-US" w:eastAsia="zh-CN" w:bidi="ar-SA"/>
        </w:rPr>
        <w:t>品牌价值评价</w:t>
      </w:r>
      <w:bookmarkEnd w:id="86"/>
    </w:p>
    <w:p>
      <w:pPr>
        <w:pStyle w:val="166"/>
        <w:bidi w:val="0"/>
        <w:rPr>
          <w:rFonts w:hint="eastAsia"/>
          <w:lang w:val="en-US" w:eastAsia="zh-CN"/>
        </w:rPr>
      </w:pPr>
      <w:r>
        <w:rPr>
          <w:rFonts w:hint="eastAsia" w:hAnsi="宋体" w:cs="宋体"/>
          <w:szCs w:val="21"/>
          <w:lang w:val="en-US" w:eastAsia="zh-CN" w:bidi="ar-SA"/>
        </w:rPr>
        <w:t>机构</w:t>
      </w:r>
      <w:r>
        <w:rPr>
          <w:rFonts w:hint="eastAsia"/>
          <w:lang w:val="en-US" w:eastAsia="zh-CN"/>
        </w:rPr>
        <w:t>可定期开展品牌价值评价，对不同时期的评价结果进行分析，发现提升品牌价值的机会。机构应按照GB/T 29187、GB/T 29188、GB/T 39654等品牌评价标准的要求开展品牌价值评价活动。</w:t>
      </w:r>
    </w:p>
    <w:p>
      <w:pPr>
        <w:pStyle w:val="166"/>
        <w:bidi w:val="0"/>
        <w:rPr>
          <w:rFonts w:hint="eastAsia"/>
          <w:lang w:val="en-US" w:eastAsia="zh-CN"/>
        </w:rPr>
      </w:pPr>
      <w:r>
        <w:rPr>
          <w:rFonts w:hint="eastAsia"/>
          <w:lang w:val="en-US" w:eastAsia="zh-CN"/>
        </w:rPr>
        <w:t>机构委托专业机构开展过程成熟度评价和(或)品牌价值评价，有助于通过标杆对比，发现改进机会。</w:t>
      </w:r>
    </w:p>
    <w:p>
      <w:pPr>
        <w:pStyle w:val="105"/>
        <w:bidi w:val="0"/>
        <w:rPr>
          <w:rFonts w:hint="eastAsia"/>
          <w:lang w:val="en-US" w:eastAsia="zh-CN"/>
        </w:rPr>
      </w:pPr>
      <w:bookmarkStart w:id="87" w:name="_Toc13410"/>
      <w:r>
        <w:rPr>
          <w:rFonts w:hint="eastAsia"/>
          <w:lang w:val="en-US" w:eastAsia="zh-CN"/>
        </w:rPr>
        <w:t>品牌培育的改进创新</w:t>
      </w:r>
      <w:bookmarkEnd w:id="87"/>
    </w:p>
    <w:p>
      <w:pPr>
        <w:pStyle w:val="57"/>
        <w:bidi w:val="0"/>
        <w:rPr>
          <w:rFonts w:hint="default"/>
          <w:lang w:val="en-US" w:eastAsia="zh-CN"/>
        </w:rPr>
      </w:pPr>
      <w:r>
        <w:rPr>
          <w:rFonts w:hint="eastAsia"/>
          <w:lang w:val="en-US" w:eastAsia="zh-CN"/>
        </w:rPr>
        <w:t>机构品牌培育的改进创新按照GB/T 38372相关要求执行。</w:t>
      </w:r>
    </w:p>
    <w:p>
      <w:pPr>
        <w:pStyle w:val="57"/>
        <w:ind w:firstLine="420"/>
      </w:pPr>
    </w:p>
    <w:p>
      <w:pPr>
        <w:pStyle w:val="110"/>
        <w:numPr>
          <w:ilvl w:val="1"/>
          <w:numId w:val="0"/>
        </w:numPr>
        <w:bidi w:val="0"/>
      </w:pPr>
    </w:p>
    <w:p>
      <w:pPr>
        <w:pStyle w:val="110"/>
        <w:numPr>
          <w:ilvl w:val="1"/>
          <w:numId w:val="0"/>
        </w:numPr>
        <w:bidi w:val="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p>
    <w:bookmarkEnd w:id="22"/>
    <w:p>
      <w:pPr>
        <w:pStyle w:val="199"/>
        <w:bidi w:val="0"/>
      </w:pPr>
      <w:bookmarkStart w:id="88" w:name="BookMark5"/>
    </w:p>
    <w:p>
      <w:pPr>
        <w:pStyle w:val="200"/>
        <w:bidi w:val="0"/>
      </w:pPr>
    </w:p>
    <w:p>
      <w:pPr>
        <w:pStyle w:val="77"/>
        <w:bidi w:val="0"/>
      </w:pPr>
      <w:bookmarkStart w:id="89" w:name="_Toc27098"/>
      <w:r>
        <w:br w:type="textWrapping"/>
      </w:r>
      <w:r>
        <w:rPr>
          <w:rFonts w:hint="eastAsia"/>
          <w:lang w:eastAsia="zh-CN"/>
        </w:rPr>
        <w:t>（资料性）</w:t>
      </w:r>
      <w:r>
        <w:rPr>
          <w:rFonts w:hint="eastAsia"/>
          <w:lang w:eastAsia="zh-CN"/>
        </w:rPr>
        <w:br w:type="textWrapping"/>
      </w:r>
      <w:r>
        <w:rPr>
          <w:rFonts w:hint="eastAsia"/>
          <w:lang w:eastAsia="zh-CN"/>
        </w:rPr>
        <w:t>检验检测机构品牌培育</w:t>
      </w:r>
      <w:r>
        <w:rPr>
          <w:rFonts w:hint="eastAsia"/>
          <w:lang w:val="en-US" w:eastAsia="zh-CN"/>
        </w:rPr>
        <w:t>内部审核</w:t>
      </w:r>
      <w:r>
        <w:rPr>
          <w:rFonts w:hint="eastAsia"/>
          <w:lang w:eastAsia="zh-CN"/>
        </w:rPr>
        <w:t>指标体系</w:t>
      </w:r>
      <w:bookmarkEnd w:id="89"/>
    </w:p>
    <w:p>
      <w:pPr>
        <w:numPr>
          <w:ilvl w:val="0"/>
          <w:numId w:val="0"/>
        </w:numPr>
        <w:bidi w:val="0"/>
        <w:ind w:left="420" w:leftChars="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检验检测机构品牌培育</w:t>
      </w:r>
      <w:r>
        <w:rPr>
          <w:rFonts w:hint="eastAsia" w:ascii="宋体" w:hAnsi="宋体" w:cs="宋体"/>
          <w:sz w:val="21"/>
          <w:lang w:val="en-US" w:eastAsia="zh-CN" w:bidi="ar-SA"/>
        </w:rPr>
        <w:t>内部审核</w:t>
      </w:r>
      <w:r>
        <w:rPr>
          <w:rFonts w:hint="eastAsia" w:ascii="宋体" w:hAnsi="宋体" w:eastAsia="宋体" w:cs="宋体"/>
          <w:sz w:val="21"/>
          <w:lang w:val="en-US" w:eastAsia="zh-CN" w:bidi="ar-SA"/>
        </w:rPr>
        <w:t>指标体系见表A.1。</w:t>
      </w:r>
    </w:p>
    <w:p>
      <w:pPr>
        <w:pStyle w:val="78"/>
        <w:spacing w:before="156" w:after="156"/>
        <w:ind w:left="0" w:firstLine="0"/>
        <w:rPr>
          <w:rFonts w:hint="default" w:hAnsi="宋体" w:eastAsia="宋体" w:cs="宋体"/>
          <w:lang w:val="en-US" w:eastAsia="zh-CN"/>
        </w:rPr>
      </w:pPr>
      <w:r>
        <w:rPr>
          <w:rFonts w:hint="default"/>
          <w:lang w:val="en-US" w:eastAsia="zh-CN"/>
        </w:rPr>
        <w:t>检验检测机构品牌培育</w:t>
      </w:r>
      <w:r>
        <w:rPr>
          <w:rFonts w:hint="eastAsia"/>
          <w:lang w:val="en-US" w:eastAsia="zh-CN"/>
        </w:rPr>
        <w:t>内部审核</w:t>
      </w:r>
      <w:r>
        <w:rPr>
          <w:rFonts w:hint="default"/>
          <w:lang w:val="en-US" w:eastAsia="zh-CN"/>
        </w:rPr>
        <w:t>指标体系</w:t>
      </w:r>
    </w:p>
    <w:tbl>
      <w:tblPr>
        <w:tblStyle w:val="2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82"/>
        <w:gridCol w:w="1256"/>
        <w:gridCol w:w="3694"/>
        <w:gridCol w:w="1706"/>
        <w:gridCol w:w="7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82" w:type="dxa"/>
            <w:tcBorders>
              <w:bottom w:val="single" w:color="auto" w:sz="8" w:space="0"/>
            </w:tcBorders>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一级指标</w:t>
            </w:r>
          </w:p>
        </w:tc>
        <w:tc>
          <w:tcPr>
            <w:tcW w:w="1256" w:type="dxa"/>
            <w:tcBorders>
              <w:bottom w:val="single" w:color="auto" w:sz="8" w:space="0"/>
            </w:tcBorders>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二级指标</w:t>
            </w:r>
          </w:p>
        </w:tc>
        <w:tc>
          <w:tcPr>
            <w:tcW w:w="3694" w:type="dxa"/>
            <w:tcBorders>
              <w:bottom w:val="single" w:color="auto" w:sz="8" w:space="0"/>
            </w:tcBorders>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评价内容</w:t>
            </w:r>
          </w:p>
        </w:tc>
        <w:tc>
          <w:tcPr>
            <w:tcW w:w="1706" w:type="dxa"/>
            <w:tcBorders>
              <w:bottom w:val="single" w:color="auto" w:sz="8" w:space="0"/>
            </w:tcBorders>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评价记录</w:t>
            </w:r>
          </w:p>
        </w:tc>
        <w:tc>
          <w:tcPr>
            <w:tcW w:w="788" w:type="dxa"/>
            <w:tcBorders>
              <w:bottom w:val="single" w:color="auto" w:sz="8" w:space="0"/>
            </w:tcBorders>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 品牌战略规划​​</w:t>
            </w: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 品牌愿景与定位</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是否明确品牌长期发展目标（如“全球质量服务引领者”）</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品牌定位是否体现差异化竞争优势（如“公信力+技术创新”双驱动）</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是否定期评估市场环境并调整战略</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 品牌架构设计</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主品牌与子品牌（如检测服务、认证服务）的层级关系是否清晰</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品牌组合是否覆盖不同客户群体需求（如企业客户、政府监管）</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是否建立品牌危机管理预案</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 品牌核心价值</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是否以“独立、客观、公正、科学”为核心价值主张</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是否通过资质</w:t>
            </w:r>
            <w:r>
              <w:rPr>
                <w:rFonts w:hint="eastAsia" w:hAnsi="宋体" w:cs="宋体"/>
                <w:sz w:val="18"/>
                <w:szCs w:val="18"/>
                <w:lang w:val="en-US" w:eastAsia="zh-CN"/>
              </w:rPr>
              <w:t>认定认可</w:t>
            </w:r>
            <w:r>
              <w:rPr>
                <w:rFonts w:hint="eastAsia" w:ascii="宋体" w:hAnsi="宋体" w:eastAsia="宋体" w:cs="宋体"/>
                <w:sz w:val="18"/>
                <w:szCs w:val="18"/>
                <w:lang w:val="en-US" w:eastAsia="zh-CN"/>
              </w:rPr>
              <w:t>（CNAS/CMA）、技术专利等支撑价值承诺</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是否定期开展品牌价值一致性审查</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 品牌价值创造​​</w:t>
            </w: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 有形要素管理</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实验室基础设施是否符合标准（如分区隔离、环境温湿度控制）</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设备先进性（如高精度仪器占比）</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信息化系统覆盖率（如LIMS系统、区块链存证应用）</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 质量要素保障</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质量管理体系通过认证</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hAnsi="宋体" w:cs="宋体"/>
                <w:sz w:val="18"/>
                <w:szCs w:val="18"/>
                <w:lang w:val="en-US" w:eastAsia="zh-CN"/>
              </w:rPr>
              <w:t>检验</w:t>
            </w:r>
            <w:r>
              <w:rPr>
                <w:rFonts w:hint="eastAsia" w:ascii="宋体" w:hAnsi="宋体" w:eastAsia="宋体" w:cs="宋体"/>
                <w:sz w:val="18"/>
                <w:szCs w:val="18"/>
                <w:lang w:val="en-US" w:eastAsia="zh-CN"/>
              </w:rPr>
              <w:t>检测报告差错率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客户投诉响应时效（如24小时内受理、7个工作日内闭环）</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 创新要素投入</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新技术</w:t>
            </w:r>
            <w:r>
              <w:rPr>
                <w:rFonts w:hint="eastAsia" w:hAnsi="宋体" w:cs="宋体"/>
                <w:sz w:val="18"/>
                <w:szCs w:val="18"/>
                <w:lang w:val="en-US" w:eastAsia="zh-CN"/>
              </w:rPr>
              <w:t>、</w:t>
            </w:r>
            <w:r>
              <w:rPr>
                <w:rFonts w:hint="eastAsia" w:ascii="宋体" w:hAnsi="宋体" w:eastAsia="宋体" w:cs="宋体"/>
                <w:sz w:val="18"/>
                <w:szCs w:val="18"/>
                <w:lang w:val="en-US" w:eastAsia="zh-CN"/>
              </w:rPr>
              <w:t>方法研发投入占比</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年度专利/标准制定数量</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智能</w:t>
            </w:r>
            <w:r>
              <w:rPr>
                <w:rFonts w:hint="eastAsia" w:hAnsi="宋体" w:cs="宋体"/>
                <w:sz w:val="18"/>
                <w:szCs w:val="18"/>
                <w:lang w:val="en-US" w:eastAsia="zh-CN"/>
              </w:rPr>
              <w:t>检验</w:t>
            </w:r>
            <w:r>
              <w:rPr>
                <w:rFonts w:hint="eastAsia" w:ascii="宋体" w:hAnsi="宋体" w:eastAsia="宋体" w:cs="宋体"/>
                <w:sz w:val="18"/>
                <w:szCs w:val="18"/>
                <w:lang w:val="en-US" w:eastAsia="zh-CN"/>
              </w:rPr>
              <w:t>检测设备应用率（如AI图像识别质检覆盖率）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 服务要素优化</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客户满意度</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检测周期压缩率（较行业平均缩短）</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增值服务覆盖率（如数据解读、整改建议提供率）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 无形要素建设</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行业资质覆盖率（如CNAS认可项目数/总检测项目数）</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品牌文化认同度（员工知晓率）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社会责任履行（如公益检测频次）</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 品牌价值传递​​</w:t>
            </w: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 品牌识别系统</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品牌标识（LOGO、VI系统）标准化应用率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品牌故事完整性（含历史沿革、技术优势、社会责任）</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传播内容合规性（无虚假宣传记录）</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 品牌传播效果</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年度品牌曝光量</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媒体合作覆盖率（主流媒体）</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客户口碑传播率（客户主动推荐率）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 品牌保护机制</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商标注册覆盖率（核心标识注册率）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数据安全防护（区块链存证应用率）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侵权事件响应时效（24小时内启动调查）</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 品牌价值实现​​</w:t>
            </w: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 市场竞争力</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行业排名（如区域前三）</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高端客户占比（如外资企业、上市公司客户占比）</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hAnsi="宋体" w:cs="宋体"/>
                <w:sz w:val="18"/>
                <w:szCs w:val="18"/>
                <w:lang w:val="en-US" w:eastAsia="zh-CN"/>
              </w:rPr>
              <w:t>检验</w:t>
            </w:r>
            <w:r>
              <w:rPr>
                <w:rFonts w:hint="eastAsia" w:ascii="宋体" w:hAnsi="宋体" w:eastAsia="宋体" w:cs="宋体"/>
                <w:sz w:val="18"/>
                <w:szCs w:val="18"/>
                <w:lang w:val="en-US" w:eastAsia="zh-CN"/>
              </w:rPr>
              <w:t>检测项目覆盖率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4.2 经济效益产出</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品牌溢价率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检测业务收入增长率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客单价提升率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4.3 社会效益贡献</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参与国际</w:t>
            </w:r>
            <w:r>
              <w:rPr>
                <w:rFonts w:hint="eastAsia" w:hAnsi="宋体" w:cs="宋体"/>
                <w:sz w:val="18"/>
                <w:szCs w:val="18"/>
                <w:lang w:val="en-US" w:eastAsia="zh-CN"/>
              </w:rPr>
              <w:t>、</w:t>
            </w:r>
            <w:r>
              <w:rPr>
                <w:rFonts w:hint="eastAsia" w:ascii="宋体" w:hAnsi="宋体" w:eastAsia="宋体" w:cs="宋体"/>
                <w:sz w:val="18"/>
                <w:szCs w:val="18"/>
                <w:lang w:val="en-US" w:eastAsia="zh-CN"/>
              </w:rPr>
              <w:t>国家标准制修订数量</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公益</w:t>
            </w:r>
            <w:r>
              <w:rPr>
                <w:rFonts w:hint="eastAsia" w:hAnsi="宋体" w:cs="宋体"/>
                <w:sz w:val="18"/>
                <w:szCs w:val="18"/>
                <w:lang w:val="en-US" w:eastAsia="zh-CN"/>
              </w:rPr>
              <w:t>检验</w:t>
            </w:r>
            <w:r>
              <w:rPr>
                <w:rFonts w:hint="eastAsia" w:ascii="宋体" w:hAnsi="宋体" w:eastAsia="宋体" w:cs="宋体"/>
                <w:sz w:val="18"/>
                <w:szCs w:val="18"/>
                <w:lang w:val="en-US" w:eastAsia="zh-CN"/>
              </w:rPr>
              <w:t>检测服务覆盖人群</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环保检测减排贡献（如年检测温室气体排放量数据支持减排决策）</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 品牌持续改进​​</w:t>
            </w: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 过程成熟度评价</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成熟度等级（如达到“优化级”或“标杆级”）</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关键过程改进项数量</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资源投入产出比（如每元品牌投入带来收益）</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 创新能力提升</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新技术商业化转化率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知识产权储备量（专利</w:t>
            </w:r>
            <w:r>
              <w:rPr>
                <w:rFonts w:hint="eastAsia" w:hAnsi="宋体" w:cs="宋体"/>
                <w:sz w:val="18"/>
                <w:szCs w:val="18"/>
                <w:lang w:val="en-US" w:eastAsia="zh-CN"/>
              </w:rPr>
              <w:t>、</w:t>
            </w:r>
            <w:r>
              <w:rPr>
                <w:rFonts w:hint="eastAsia" w:ascii="宋体" w:hAnsi="宋体" w:eastAsia="宋体" w:cs="宋体"/>
                <w:sz w:val="18"/>
                <w:szCs w:val="18"/>
                <w:lang w:val="en-US" w:eastAsia="zh-CN"/>
              </w:rPr>
              <w:t>软著项）</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行业技术引领案例（牵头制定标准或方法）</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restart"/>
            <w:noWrap w:val="0"/>
            <w:vAlign w:val="center"/>
          </w:tcPr>
          <w:p>
            <w:pPr>
              <w:pStyle w:val="57"/>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5.3 品牌价值提升</w:t>
            </w: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品牌价值增长率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客户复购率</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82"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1256" w:type="dxa"/>
            <w:vMerge w:val="continue"/>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3694" w:type="dxa"/>
            <w:noWrap w:val="0"/>
            <w:vAlign w:val="center"/>
          </w:tcPr>
          <w:p>
            <w:pPr>
              <w:pStyle w:val="57"/>
              <w:ind w:left="0" w:leftChars="0" w:firstLine="0" w:firstLineChars="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第三方评价认可度（如入选行业推荐名录）</w:t>
            </w:r>
          </w:p>
        </w:tc>
        <w:tc>
          <w:tcPr>
            <w:tcW w:w="1706"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c>
          <w:tcPr>
            <w:tcW w:w="788" w:type="dxa"/>
            <w:noWrap w:val="0"/>
            <w:vAlign w:val="center"/>
          </w:tcPr>
          <w:p>
            <w:pPr>
              <w:pStyle w:val="57"/>
              <w:ind w:left="0" w:leftChars="0" w:firstLine="0" w:firstLineChars="0"/>
              <w:jc w:val="center"/>
              <w:rPr>
                <w:rFonts w:hint="eastAsia" w:ascii="宋体" w:hAnsi="宋体" w:eastAsia="宋体" w:cs="宋体"/>
                <w:sz w:val="18"/>
                <w:szCs w:val="18"/>
                <w:lang w:val="en-US" w:eastAsia="zh-CN"/>
              </w:rPr>
            </w:pPr>
          </w:p>
        </w:tc>
      </w:tr>
    </w:tbl>
    <w:p>
      <w:pPr>
        <w:pStyle w:val="57"/>
        <w:bidi w:val="0"/>
        <w:ind w:left="0" w:leftChars="0" w:firstLine="0" w:firstLineChars="0"/>
      </w:pPr>
    </w:p>
    <w:p>
      <w:pPr>
        <w:pStyle w:val="57"/>
        <w:bidi w:val="0"/>
      </w:pPr>
    </w:p>
    <w:p>
      <w:pPr>
        <w:pStyle w:val="57"/>
        <w:bidi w:val="0"/>
      </w:pPr>
    </w:p>
    <w:p>
      <w:pPr>
        <w:pStyle w:val="57"/>
        <w:bidi w:val="0"/>
      </w:pPr>
    </w:p>
    <w:bookmarkEnd w:id="88"/>
    <w:p>
      <w:pPr>
        <w:pStyle w:val="57"/>
        <w:bidi w:val="0"/>
        <w:sectPr>
          <w:headerReference r:id="rId23" w:type="default"/>
          <w:footerReference r:id="rId25" w:type="default"/>
          <w:headerReference r:id="rId24" w:type="even"/>
          <w:footerReference r:id="rId26" w:type="even"/>
          <w:pgSz w:w="11906" w:h="16838"/>
          <w:pgMar w:top="1928" w:right="1134" w:bottom="1134" w:left="1134" w:header="1418" w:footer="1134" w:gutter="284"/>
          <w:pgNumType w:fmt="decimal"/>
          <w:cols w:space="425" w:num="1"/>
          <w:formProt w:val="0"/>
          <w:docGrid w:linePitch="312" w:charSpace="0"/>
        </w:sectPr>
      </w:pPr>
      <w:bookmarkStart w:id="90" w:name="BookMark6"/>
    </w:p>
    <w:p>
      <w:pPr>
        <w:pStyle w:val="64"/>
        <w:bidi w:val="0"/>
        <w:rPr>
          <w:rFonts w:hint="eastAsia"/>
          <w:lang w:eastAsia="zh-CN"/>
        </w:rPr>
      </w:pPr>
      <w:bookmarkStart w:id="91" w:name="_Toc8273"/>
      <w:r>
        <w:rPr>
          <w:rFonts w:hint="eastAsia"/>
          <w:spacing w:val="105"/>
          <w:lang w:eastAsia="zh-CN"/>
        </w:rPr>
        <w:t>参考文</w:t>
      </w:r>
      <w:r>
        <w:rPr>
          <w:rFonts w:hint="eastAsia"/>
          <w:lang w:eastAsia="zh-CN"/>
        </w:rPr>
        <w:t>献</w:t>
      </w:r>
      <w:bookmarkEnd w:id="91"/>
    </w:p>
    <w:p>
      <w:pPr>
        <w:numPr>
          <w:ilvl w:val="0"/>
          <w:numId w:val="45"/>
        </w:numPr>
        <w:autoSpaceDE w:val="0"/>
        <w:autoSpaceDN w:val="0"/>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 xml:space="preserve"> GB/T 31880  检验检测机构诚信基本要求</w:t>
      </w:r>
    </w:p>
    <w:p>
      <w:pPr>
        <w:numPr>
          <w:ilvl w:val="0"/>
          <w:numId w:val="45"/>
        </w:numPr>
        <w:autoSpaceDE w:val="0"/>
        <w:autoSpaceDN w:val="0"/>
        <w:ind w:firstLine="420" w:firstLineChars="200"/>
        <w:jc w:val="both"/>
        <w:rPr>
          <w:rFonts w:hint="eastAsia" w:ascii="宋体" w:hAnsi="宋体" w:eastAsia="宋体" w:cs="宋体"/>
          <w:sz w:val="21"/>
          <w:lang w:val="en-US" w:eastAsia="zh-CN" w:bidi="ar-SA"/>
        </w:rPr>
      </w:pPr>
      <w:r>
        <w:rPr>
          <w:rFonts w:hint="eastAsia" w:ascii="宋体" w:hAnsi="宋体" w:eastAsia="宋体" w:cs="宋体"/>
          <w:sz w:val="21"/>
          <w:lang w:val="en-US" w:eastAsia="zh-CN" w:bidi="ar-SA"/>
        </w:rPr>
        <w:t xml:space="preserve"> GB/T 27000  合格评定 词汇和通用原则 </w:t>
      </w:r>
    </w:p>
    <w:bookmarkEnd w:id="90"/>
    <w:p>
      <w:pPr>
        <w:pStyle w:val="57"/>
        <w:bidi w:val="0"/>
        <w:ind w:firstLine="0" w:firstLineChars="0"/>
        <w:jc w:val="center"/>
        <w:rPr>
          <w:rFonts w:hint="eastAsia" w:eastAsia="宋体"/>
          <w:lang w:eastAsia="zh-CN"/>
        </w:rPr>
      </w:pPr>
      <w:bookmarkStart w:id="92" w:name="BookMark8"/>
      <w:r>
        <w:rPr>
          <w:rFonts w:hint="eastAsia" w:eastAsia="宋体"/>
          <w:lang w:eastAsia="zh-CN"/>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34"/>
                    <a:stretch>
                      <a:fillRect/>
                    </a:stretch>
                  </pic:blipFill>
                  <pic:spPr>
                    <a:xfrm>
                      <a:off x="0" y="0"/>
                      <a:ext cx="1485900" cy="317500"/>
                    </a:xfrm>
                    <a:prstGeom prst="rect">
                      <a:avLst/>
                    </a:prstGeom>
                  </pic:spPr>
                </pic:pic>
              </a:graphicData>
            </a:graphic>
          </wp:inline>
        </w:drawing>
      </w:r>
      <w:bookmarkEnd w:id="92"/>
    </w:p>
    <w:sectPr>
      <w:headerReference r:id="rId27" w:type="default"/>
      <w:footerReference r:id="rId29" w:type="default"/>
      <w:headerReference r:id="rId28" w:type="even"/>
      <w:footerReference r:id="rId30"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12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pPr>
    <w:r>
      <w:fldChar w:fldCharType="begin"/>
    </w:r>
    <w:r>
      <w:instrText xml:space="preserve"> STYLEREF  标准文件_文件编号  \* MERGEFORMAT </w:instrText>
    </w:r>
    <w:r>
      <w:fldChar w:fldCharType="separate"/>
    </w:r>
    <w:r>
      <w:t>T/XXX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50E0F"/>
    <w:multiLevelType w:val="multilevel"/>
    <w:tmpl w:val="8B450E0F"/>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CB4B7935"/>
    <w:multiLevelType w:val="singleLevel"/>
    <w:tmpl w:val="CB4B7935"/>
    <w:lvl w:ilvl="0" w:tentative="0">
      <w:start w:val="1"/>
      <w:numFmt w:val="decimal"/>
      <w:suff w:val="space"/>
      <w:lvlText w:val="[%1]"/>
      <w:lvlJc w:val="left"/>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CEE3D86"/>
    <w:multiLevelType w:val="multilevel"/>
    <w:tmpl w:val="0CEE3D86"/>
    <w:lvl w:ilvl="0" w:tentative="0">
      <w:start w:val="1"/>
      <w:numFmt w:val="lowerLetter"/>
      <w:pStyle w:val="23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5E9D2A"/>
    <w:multiLevelType w:val="multilevel"/>
    <w:tmpl w:val="595E9D2A"/>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0"/>
  </w:num>
  <w:num w:numId="3">
    <w:abstractNumId w:val="6"/>
  </w:num>
  <w:num w:numId="4">
    <w:abstractNumId w:val="26"/>
  </w:num>
  <w:num w:numId="5">
    <w:abstractNumId w:val="20"/>
  </w:num>
  <w:num w:numId="6">
    <w:abstractNumId w:val="15"/>
  </w:num>
  <w:num w:numId="7">
    <w:abstractNumId w:val="10"/>
  </w:num>
  <w:num w:numId="8">
    <w:abstractNumId w:val="4"/>
  </w:num>
  <w:num w:numId="9">
    <w:abstractNumId w:val="11"/>
  </w:num>
  <w:num w:numId="10">
    <w:abstractNumId w:val="18"/>
  </w:num>
  <w:num w:numId="11">
    <w:abstractNumId w:val="28"/>
  </w:num>
  <w:num w:numId="12">
    <w:abstractNumId w:val="14"/>
  </w:num>
  <w:num w:numId="13">
    <w:abstractNumId w:val="22"/>
  </w:num>
  <w:num w:numId="14">
    <w:abstractNumId w:val="9"/>
  </w:num>
  <w:num w:numId="15">
    <w:abstractNumId w:val="21"/>
  </w:num>
  <w:num w:numId="16">
    <w:abstractNumId w:val="24"/>
  </w:num>
  <w:num w:numId="17">
    <w:abstractNumId w:val="19"/>
  </w:num>
  <w:num w:numId="18">
    <w:abstractNumId w:val="32"/>
  </w:num>
  <w:num w:numId="19">
    <w:abstractNumId w:val="17"/>
  </w:num>
  <w:num w:numId="20">
    <w:abstractNumId w:val="3"/>
  </w:num>
  <w:num w:numId="21">
    <w:abstractNumId w:val="13"/>
  </w:num>
  <w:num w:numId="22">
    <w:abstractNumId w:val="33"/>
  </w:num>
  <w:num w:numId="23">
    <w:abstractNumId w:val="23"/>
  </w:num>
  <w:num w:numId="24">
    <w:abstractNumId w:val="8"/>
  </w:num>
  <w:num w:numId="25">
    <w:abstractNumId w:val="29"/>
  </w:num>
  <w:num w:numId="26">
    <w:abstractNumId w:val="31"/>
  </w:num>
  <w:num w:numId="27">
    <w:abstractNumId w:val="0"/>
  </w:num>
  <w:num w:numId="28">
    <w:abstractNumId w:val="5"/>
  </w:num>
  <w:num w:numId="29">
    <w:abstractNumId w:val="16"/>
  </w:num>
  <w:num w:numId="30">
    <w:abstractNumId w:val="27"/>
  </w:num>
  <w:num w:numId="31">
    <w:abstractNumId w:val="25"/>
  </w:num>
  <w:num w:numId="32">
    <w:abstractNumId w:val="12"/>
  </w:num>
  <w:num w:numId="33">
    <w:abstractNumId w:val="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Full" w:cryptAlgorithmClass="hash" w:cryptAlgorithmType="typeAny" w:cryptAlgorithmSid="4" w:cryptSpinCount="0" w:hash="Oma7HFWF9HSIOK4VdiixfKtqVi4=" w:salt="Uo+Vtle4iXjaIG6j+VbxkQ=="/>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D668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56E"/>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F523A5"/>
    <w:rsid w:val="04E47CDA"/>
    <w:rsid w:val="056C7B74"/>
    <w:rsid w:val="06A80172"/>
    <w:rsid w:val="06B925F7"/>
    <w:rsid w:val="08352FC5"/>
    <w:rsid w:val="0A46556E"/>
    <w:rsid w:val="0BBB2DCC"/>
    <w:rsid w:val="0BE80418"/>
    <w:rsid w:val="0BFF712F"/>
    <w:rsid w:val="0C2549FA"/>
    <w:rsid w:val="0D2F4C84"/>
    <w:rsid w:val="0E66543C"/>
    <w:rsid w:val="0F2E1262"/>
    <w:rsid w:val="0F2F50BC"/>
    <w:rsid w:val="107B6FFE"/>
    <w:rsid w:val="10AC3EE9"/>
    <w:rsid w:val="114724C3"/>
    <w:rsid w:val="124D32F5"/>
    <w:rsid w:val="12C31B0C"/>
    <w:rsid w:val="138C515E"/>
    <w:rsid w:val="138E6B51"/>
    <w:rsid w:val="14092927"/>
    <w:rsid w:val="141476FE"/>
    <w:rsid w:val="14B7278A"/>
    <w:rsid w:val="14E2094E"/>
    <w:rsid w:val="14F944F9"/>
    <w:rsid w:val="15221E3A"/>
    <w:rsid w:val="159544A8"/>
    <w:rsid w:val="16311EA3"/>
    <w:rsid w:val="16341290"/>
    <w:rsid w:val="16BA66D8"/>
    <w:rsid w:val="16EA240B"/>
    <w:rsid w:val="17840B9D"/>
    <w:rsid w:val="19B10934"/>
    <w:rsid w:val="19B14137"/>
    <w:rsid w:val="1A074196"/>
    <w:rsid w:val="1A8E3FD5"/>
    <w:rsid w:val="1AAE7552"/>
    <w:rsid w:val="1BE91858"/>
    <w:rsid w:val="1C0869F2"/>
    <w:rsid w:val="1C802178"/>
    <w:rsid w:val="1CED5BA0"/>
    <w:rsid w:val="1E127BE4"/>
    <w:rsid w:val="1E7E285D"/>
    <w:rsid w:val="207001F0"/>
    <w:rsid w:val="223F09BD"/>
    <w:rsid w:val="23BC3A5B"/>
    <w:rsid w:val="245E1936"/>
    <w:rsid w:val="247F624D"/>
    <w:rsid w:val="24AF2E2A"/>
    <w:rsid w:val="257D4B31"/>
    <w:rsid w:val="262223E4"/>
    <w:rsid w:val="26415C22"/>
    <w:rsid w:val="267A1628"/>
    <w:rsid w:val="27472987"/>
    <w:rsid w:val="27CB45BE"/>
    <w:rsid w:val="27DF2C7F"/>
    <w:rsid w:val="286E2A4B"/>
    <w:rsid w:val="2997344C"/>
    <w:rsid w:val="29C03AD7"/>
    <w:rsid w:val="2A4606BD"/>
    <w:rsid w:val="2AF54ACB"/>
    <w:rsid w:val="2B085BA8"/>
    <w:rsid w:val="2B163EB8"/>
    <w:rsid w:val="2C131F74"/>
    <w:rsid w:val="2C6A2BA2"/>
    <w:rsid w:val="2CE675AA"/>
    <w:rsid w:val="2D114186"/>
    <w:rsid w:val="2E5255AA"/>
    <w:rsid w:val="2E6F4B74"/>
    <w:rsid w:val="2F023E53"/>
    <w:rsid w:val="2F450EF9"/>
    <w:rsid w:val="2FF210E0"/>
    <w:rsid w:val="327C2EF0"/>
    <w:rsid w:val="32FC4D34"/>
    <w:rsid w:val="34E03C50"/>
    <w:rsid w:val="34F82673"/>
    <w:rsid w:val="358160C2"/>
    <w:rsid w:val="35C6539A"/>
    <w:rsid w:val="35DF4578"/>
    <w:rsid w:val="37DD7DB5"/>
    <w:rsid w:val="381006A8"/>
    <w:rsid w:val="388F26D6"/>
    <w:rsid w:val="39065299"/>
    <w:rsid w:val="39706EC7"/>
    <w:rsid w:val="3A452631"/>
    <w:rsid w:val="3ADC741E"/>
    <w:rsid w:val="3B4A7A51"/>
    <w:rsid w:val="3C72474C"/>
    <w:rsid w:val="3D0422A6"/>
    <w:rsid w:val="3DFE15C4"/>
    <w:rsid w:val="3EB176AB"/>
    <w:rsid w:val="3EC03970"/>
    <w:rsid w:val="3EEB0E14"/>
    <w:rsid w:val="3FC9475C"/>
    <w:rsid w:val="402E1919"/>
    <w:rsid w:val="407106A0"/>
    <w:rsid w:val="407D6686"/>
    <w:rsid w:val="40B21AB2"/>
    <w:rsid w:val="41CE569F"/>
    <w:rsid w:val="41F8002D"/>
    <w:rsid w:val="427D7E24"/>
    <w:rsid w:val="43557B07"/>
    <w:rsid w:val="43615785"/>
    <w:rsid w:val="4413593C"/>
    <w:rsid w:val="445E6B0F"/>
    <w:rsid w:val="44C766E4"/>
    <w:rsid w:val="44EE6E03"/>
    <w:rsid w:val="452C1554"/>
    <w:rsid w:val="459E68BA"/>
    <w:rsid w:val="46A141CE"/>
    <w:rsid w:val="47001304"/>
    <w:rsid w:val="490E4C65"/>
    <w:rsid w:val="4A4A0B20"/>
    <w:rsid w:val="4A4E3578"/>
    <w:rsid w:val="4AED6579"/>
    <w:rsid w:val="4B80444F"/>
    <w:rsid w:val="4C255581"/>
    <w:rsid w:val="4C536FA7"/>
    <w:rsid w:val="4CD52DDA"/>
    <w:rsid w:val="4CFF68C9"/>
    <w:rsid w:val="4D431B48"/>
    <w:rsid w:val="4D887880"/>
    <w:rsid w:val="4DE44DDC"/>
    <w:rsid w:val="4E045131"/>
    <w:rsid w:val="4E4C3CE6"/>
    <w:rsid w:val="4EE301DF"/>
    <w:rsid w:val="4F531CB1"/>
    <w:rsid w:val="4FB0014A"/>
    <w:rsid w:val="50791A93"/>
    <w:rsid w:val="518C0657"/>
    <w:rsid w:val="51E85641"/>
    <w:rsid w:val="5266562E"/>
    <w:rsid w:val="53902026"/>
    <w:rsid w:val="53A15B43"/>
    <w:rsid w:val="55E40C52"/>
    <w:rsid w:val="56375511"/>
    <w:rsid w:val="56881D03"/>
    <w:rsid w:val="58BF0A29"/>
    <w:rsid w:val="58DA11C1"/>
    <w:rsid w:val="591F64C4"/>
    <w:rsid w:val="596D7935"/>
    <w:rsid w:val="59813CF1"/>
    <w:rsid w:val="5A54467E"/>
    <w:rsid w:val="5A5468C1"/>
    <w:rsid w:val="5AD86B1A"/>
    <w:rsid w:val="5B42010B"/>
    <w:rsid w:val="5B6B2B94"/>
    <w:rsid w:val="5C0561A7"/>
    <w:rsid w:val="5CB47963"/>
    <w:rsid w:val="5D4B2985"/>
    <w:rsid w:val="5DCD7DA2"/>
    <w:rsid w:val="5DF330E8"/>
    <w:rsid w:val="5E5A2ED9"/>
    <w:rsid w:val="5EE420F9"/>
    <w:rsid w:val="5F905F57"/>
    <w:rsid w:val="5FAB7878"/>
    <w:rsid w:val="62944DD7"/>
    <w:rsid w:val="62AC3E43"/>
    <w:rsid w:val="62EC7001"/>
    <w:rsid w:val="655578CE"/>
    <w:rsid w:val="65657ADF"/>
    <w:rsid w:val="673C2130"/>
    <w:rsid w:val="673D4F12"/>
    <w:rsid w:val="67F225DA"/>
    <w:rsid w:val="6919384F"/>
    <w:rsid w:val="693E26B6"/>
    <w:rsid w:val="69C319DD"/>
    <w:rsid w:val="6A7F4206"/>
    <w:rsid w:val="6BDE28A9"/>
    <w:rsid w:val="6C713392"/>
    <w:rsid w:val="6CEB7CA7"/>
    <w:rsid w:val="6DB85607"/>
    <w:rsid w:val="6E784251"/>
    <w:rsid w:val="6FBB69BD"/>
    <w:rsid w:val="6FD7568B"/>
    <w:rsid w:val="6FED3FF8"/>
    <w:rsid w:val="70716758"/>
    <w:rsid w:val="70E37C85"/>
    <w:rsid w:val="72D12F9D"/>
    <w:rsid w:val="73FC5597"/>
    <w:rsid w:val="752D17B1"/>
    <w:rsid w:val="75645AA5"/>
    <w:rsid w:val="7603212B"/>
    <w:rsid w:val="77492442"/>
    <w:rsid w:val="77A4433C"/>
    <w:rsid w:val="796E0B9B"/>
    <w:rsid w:val="7A252318"/>
    <w:rsid w:val="7AEF29FD"/>
    <w:rsid w:val="7B380AB6"/>
    <w:rsid w:val="7B9F4C21"/>
    <w:rsid w:val="7C895733"/>
    <w:rsid w:val="7D627A59"/>
    <w:rsid w:val="7D931BC3"/>
    <w:rsid w:val="7E1B01F2"/>
    <w:rsid w:val="7FA0015F"/>
    <w:rsid w:val="7FB76B80"/>
    <w:rsid w:val="7FCF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一级条标题"/>
    <w:next w:val="233"/>
    <w:qFormat/>
    <w:uiPriority w:val="0"/>
    <w:pPr>
      <w:numPr>
        <w:ilvl w:val="1"/>
        <w:numId w:val="32"/>
      </w:numPr>
      <w:spacing w:before="50" w:beforeLines="50" w:after="50" w:afterLines="50"/>
      <w:outlineLvl w:val="2"/>
    </w:pPr>
    <w:rPr>
      <w:rFonts w:ascii="黑体" w:hAnsi="黑体" w:eastAsia="黑体" w:cs="Times New Roman"/>
      <w:sz w:val="21"/>
      <w:szCs w:val="21"/>
      <w:lang w:val="en-US" w:eastAsia="zh-CN" w:bidi="ar-SA"/>
    </w:rPr>
  </w:style>
  <w:style w:type="paragraph" w:customStyle="1" w:styleId="235">
    <w:name w:val="章标题"/>
    <w:next w:val="23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3"/>
    <w:qFormat/>
    <w:uiPriority w:val="0"/>
    <w:pPr>
      <w:numPr>
        <w:ilvl w:val="2"/>
        <w:numId w:val="32"/>
      </w:numPr>
      <w:spacing w:before="50" w:after="50"/>
      <w:outlineLvl w:val="3"/>
    </w:pPr>
  </w:style>
  <w:style w:type="paragraph" w:customStyle="1" w:styleId="237">
    <w:name w:val="字母编号列项（一级）"/>
    <w:qFormat/>
    <w:uiPriority w:val="0"/>
    <w:pPr>
      <w:numPr>
        <w:ilvl w:val="0"/>
        <w:numId w:val="3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554C8FE5DA4B9FB292E64524B3D244"/>
        <w:style w:val=""/>
        <w:category>
          <w:name w:val="常规"/>
          <w:gallery w:val="placeholder"/>
        </w:category>
        <w:types>
          <w:type w:val="bbPlcHdr"/>
        </w:types>
        <w:behaviors>
          <w:behavior w:val="content"/>
        </w:behaviors>
        <w:description w:val=""/>
        <w:guid w:val="{0E6328F9-7DAE-4F4B-8BE2-B643D07C381F}"/>
      </w:docPartPr>
      <w:docPartBody>
        <w:p>
          <w:pPr>
            <w:pStyle w:val="5"/>
          </w:pPr>
          <w:r>
            <w:rPr>
              <w:rStyle w:val="4"/>
              <w:rFonts w:hint="eastAsia"/>
            </w:rPr>
            <w:t>单击或点击此处输入文字。</w:t>
          </w:r>
        </w:p>
      </w:docPartBody>
    </w:docPart>
    <w:docPart>
      <w:docPartPr>
        <w:name w:val="7AB8F6F630504AF19735832308C14B5B"/>
        <w:style w:val=""/>
        <w:category>
          <w:name w:val="常规"/>
          <w:gallery w:val="placeholder"/>
        </w:category>
        <w:types>
          <w:type w:val="bbPlcHdr"/>
        </w:types>
        <w:behaviors>
          <w:behavior w:val="content"/>
        </w:behaviors>
        <w:description w:val=""/>
        <w:guid w:val="{00C9875D-2290-4439-AF2C-93E8AD8DB64A}"/>
      </w:docPartPr>
      <w:docPartBody>
        <w:p>
          <w:pPr>
            <w:pStyle w:val="6"/>
          </w:pPr>
          <w:r>
            <w:rPr>
              <w:rStyle w:val="4"/>
              <w:rFonts w:hint="eastAsia"/>
            </w:rPr>
            <w:t>选择一项。</w:t>
          </w:r>
        </w:p>
      </w:docPartBody>
    </w:docPart>
    <w:docPart>
      <w:docPartPr>
        <w:name w:val="E2E4DD8F30F7499B8F2E9EF63130012B"/>
        <w:style w:val=""/>
        <w:category>
          <w:name w:val="常规"/>
          <w:gallery w:val="placeholder"/>
        </w:category>
        <w:types>
          <w:type w:val="bbPlcHdr"/>
        </w:types>
        <w:behaviors>
          <w:behavior w:val="content"/>
        </w:behaviors>
        <w:description w:val=""/>
        <w:guid w:val="{22DCECEC-06CC-45AD-BEEE-CDD764C4542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E"/>
    <w:rsid w:val="000A4842"/>
    <w:rsid w:val="002A08C5"/>
    <w:rsid w:val="0088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7554C8FE5DA4B9FB292E64524B3D2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B8F6F630504AF19735832308C14B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2E4DD8F30F7499B8F2E9EF6313001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18</Pages>
  <Words>10800</Words>
  <Characters>11325</Characters>
  <Lines>46</Lines>
  <Paragraphs>49</Paragraphs>
  <TotalTime>13</TotalTime>
  <ScaleCrop>false</ScaleCrop>
  <LinksUpToDate>false</LinksUpToDate>
  <CharactersWithSpaces>11835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2025-09-17T09:50:00Z</dcterms:created>
  <dc:creator>夏溪</dc:creator>
  <dc:description>&lt;config cover="true" show_menu="true" version="1.0.0" doctype="SDKXY"&gt;_x000d_
&lt;/config&gt;</dc:description>
  <cp:lastModifiedBy>夏溪</cp:lastModifiedBy>
  <dcterms:modified xsi:type="dcterms:W3CDTF">2025-10-17T07:51:21Z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A25E06B3266D4624847189414BF4EACC</vt:lpwstr>
  </property>
  <property fmtid="{D5CDD505-2E9C-101B-9397-08002B2CF9AE}" pid="15" name="KSOProductBuildVer">
    <vt:lpwstr>2052-11.8.2.11716</vt:lpwstr>
  </property>
  <property fmtid="{D5CDD505-2E9C-101B-9397-08002B2CF9AE}" pid="16" name="DoublePage">
    <vt:lpwstr>true</vt:lpwstr>
  </property>
</Properties>
</file>